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1091565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1057275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320"/>
        <w:spacing w:after="0"/>
        <w:rPr>
          <w:sz w:val="20"/>
          <w:szCs w:val="20"/>
          <w:color w:val="auto"/>
        </w:rPr>
      </w:pPr>
      <w:r>
        <w:rPr>
          <w:rFonts w:ascii="Arial" w:cs="Arial" w:eastAsia="Arial" w:hAnsi="Arial"/>
          <w:sz w:val="18"/>
          <w:szCs w:val="18"/>
          <w:color w:val="auto"/>
        </w:rPr>
        <w:t>__________________________</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0" w:lineRule="exact"/>
        <w:rPr>
          <w:sz w:val="24"/>
          <w:szCs w:val="24"/>
          <w:color w:val="auto"/>
        </w:rPr>
      </w:pPr>
    </w:p>
    <w:p>
      <w:pPr>
        <w:ind w:left="680" w:right="20" w:hanging="654"/>
        <w:spacing w:after="0" w:line="237"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94" w:lineRule="exact"/>
        <w:rPr>
          <w:sz w:val="24"/>
          <w:szCs w:val="24"/>
          <w:color w:val="auto"/>
        </w:rPr>
      </w:pPr>
    </w:p>
    <w:p>
      <w:pPr>
        <w:jc w:val="center"/>
        <w:ind w:left="560"/>
        <w:spacing w:after="0"/>
        <w:rPr>
          <w:sz w:val="20"/>
          <w:szCs w:val="20"/>
          <w:color w:val="auto"/>
        </w:rPr>
      </w:pPr>
      <w:r>
        <w:rPr>
          <w:rFonts w:ascii="Arial" w:cs="Arial" w:eastAsia="Arial" w:hAnsi="Arial"/>
          <w:sz w:val="22"/>
          <w:szCs w:val="22"/>
          <w:b w:val="1"/>
          <w:bCs w:val="1"/>
          <w:color w:val="auto"/>
        </w:rPr>
        <w:t xml:space="preserve">For the fiscal year ended </w:t>
      </w:r>
      <w:r>
        <w:rPr>
          <w:rFonts w:ascii="Arial" w:cs="Arial" w:eastAsia="Arial" w:hAnsi="Arial"/>
          <w:sz w:val="22"/>
          <w:szCs w:val="22"/>
          <w:b w:val="1"/>
          <w:bCs w:val="1"/>
          <w:u w:val="single" w:color="auto"/>
          <w:color w:val="auto"/>
        </w:rPr>
        <w:t>October 31, 2021</w:t>
      </w:r>
    </w:p>
    <w:p>
      <w:pPr>
        <w:spacing w:after="0" w:line="30" w:lineRule="exact"/>
        <w:rPr>
          <w:sz w:val="24"/>
          <w:szCs w:val="24"/>
          <w:color w:val="auto"/>
        </w:rPr>
      </w:pPr>
    </w:p>
    <w:p>
      <w:pPr>
        <w:jc w:val="center"/>
        <w:ind w:left="560"/>
        <w:spacing w:after="0"/>
        <w:rPr>
          <w:sz w:val="20"/>
          <w:szCs w:val="20"/>
          <w:color w:val="auto"/>
        </w:rPr>
      </w:pPr>
      <w:r>
        <w:rPr>
          <w:rFonts w:ascii="Arial" w:cs="Arial" w:eastAsia="Arial" w:hAnsi="Arial"/>
          <w:sz w:val="22"/>
          <w:szCs w:val="22"/>
          <w:color w:val="auto"/>
        </w:rPr>
        <w:t>or</w:t>
      </w:r>
    </w:p>
    <w:p>
      <w:pPr>
        <w:spacing w:after="0" w:line="7" w:lineRule="exact"/>
        <w:rPr>
          <w:sz w:val="24"/>
          <w:szCs w:val="24"/>
          <w:color w:val="auto"/>
        </w:rPr>
      </w:pPr>
    </w:p>
    <w:p>
      <w:pPr>
        <w:ind w:left="680" w:right="20" w:hanging="641"/>
        <w:spacing w:after="0" w:line="236"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36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3923665</wp:posOffset>
            </wp:positionH>
            <wp:positionV relativeFrom="paragraph">
              <wp:posOffset>-5080</wp:posOffset>
            </wp:positionV>
            <wp:extent cx="932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9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88900</wp:posOffset>
            </wp:positionV>
            <wp:extent cx="1448435" cy="831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8435" cy="8312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ABM INDUSTRIES INCORPORATED</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3262630</wp:posOffset>
            </wp:positionH>
            <wp:positionV relativeFrom="paragraph">
              <wp:posOffset>126365</wp:posOffset>
            </wp:positionV>
            <wp:extent cx="608330" cy="61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330" cy="61722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tbl>
      <w:tblPr>
        <w:tblLayout w:type="fixed"/>
        <w:tblInd w:w="20" w:type="dxa"/>
        <w:tblCellMar>
          <w:top w:w="0" w:type="dxa"/>
          <w:left w:w="0" w:type="dxa"/>
          <w:bottom w:w="0" w:type="dxa"/>
          <w:right w:w="0" w:type="dxa"/>
        </w:tblCellMar>
      </w:tblPr>
      <w:tr>
        <w:trPr>
          <w:trHeight w:val="239"/>
        </w:trPr>
        <w:tc>
          <w:tcPr>
            <w:tcW w:w="324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Delaware</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40" w:type="dxa"/>
            <w:vAlign w:val="bottom"/>
          </w:tcPr>
          <w:p>
            <w:pPr>
              <w:jc w:val="center"/>
              <w:ind w:left="870"/>
              <w:spacing w:after="0"/>
              <w:rPr>
                <w:sz w:val="20"/>
                <w:szCs w:val="20"/>
                <w:color w:val="auto"/>
              </w:rPr>
            </w:pPr>
            <w:r>
              <w:rPr>
                <w:rFonts w:ascii="Arial" w:cs="Arial" w:eastAsia="Arial" w:hAnsi="Arial"/>
                <w:sz w:val="18"/>
                <w:szCs w:val="18"/>
                <w:b w:val="1"/>
                <w:bCs w:val="1"/>
                <w:color w:val="auto"/>
                <w:w w:val="99"/>
              </w:rPr>
              <w:t>94-1369354</w:t>
            </w:r>
          </w:p>
        </w:tc>
      </w:tr>
      <w:tr>
        <w:trPr>
          <w:trHeight w:val="188"/>
        </w:trPr>
        <w:tc>
          <w:tcPr>
            <w:tcW w:w="3240" w:type="dxa"/>
            <w:vAlign w:val="bottom"/>
          </w:tcPr>
          <w:p>
            <w:pPr>
              <w:jc w:val="center"/>
              <w:ind w:right="90"/>
              <w:spacing w:after="0" w:line="189" w:lineRule="exact"/>
              <w:rPr>
                <w:sz w:val="20"/>
                <w:szCs w:val="20"/>
                <w:color w:val="auto"/>
              </w:rPr>
            </w:pPr>
            <w:r>
              <w:rPr>
                <w:rFonts w:ascii="Arial" w:cs="Arial" w:eastAsia="Arial" w:hAnsi="Arial"/>
                <w:sz w:val="18"/>
                <w:szCs w:val="18"/>
                <w:color w:val="auto"/>
              </w:rPr>
              <w:t>(State or other jurisdiction of</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40" w:type="dxa"/>
            <w:vAlign w:val="bottom"/>
          </w:tcPr>
          <w:p>
            <w:pPr>
              <w:jc w:val="center"/>
              <w:ind w:left="870"/>
              <w:spacing w:after="0" w:line="189" w:lineRule="exact"/>
              <w:rPr>
                <w:sz w:val="20"/>
                <w:szCs w:val="20"/>
                <w:color w:val="auto"/>
              </w:rPr>
            </w:pPr>
            <w:r>
              <w:rPr>
                <w:rFonts w:ascii="Arial" w:cs="Arial" w:eastAsia="Arial" w:hAnsi="Arial"/>
                <w:sz w:val="18"/>
                <w:szCs w:val="18"/>
                <w:color w:val="auto"/>
                <w:w w:val="99"/>
              </w:rPr>
              <w:t>(I.R.S. Employer</w:t>
            </w:r>
          </w:p>
        </w:tc>
      </w:tr>
      <w:tr>
        <w:trPr>
          <w:trHeight w:val="217"/>
        </w:trPr>
        <w:tc>
          <w:tcPr>
            <w:tcW w:w="3240" w:type="dxa"/>
            <w:vAlign w:val="bottom"/>
          </w:tcPr>
          <w:p>
            <w:pPr>
              <w:jc w:val="center"/>
              <w:ind w:right="90"/>
              <w:spacing w:after="0"/>
              <w:rPr>
                <w:sz w:val="20"/>
                <w:szCs w:val="20"/>
                <w:color w:val="auto"/>
              </w:rPr>
            </w:pPr>
            <w:r>
              <w:rPr>
                <w:rFonts w:ascii="Arial" w:cs="Arial" w:eastAsia="Arial" w:hAnsi="Arial"/>
                <w:sz w:val="18"/>
                <w:szCs w:val="18"/>
                <w:color w:val="auto"/>
                <w:w w:val="99"/>
              </w:rPr>
              <w:t>incorporation or organization)</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40" w:type="dxa"/>
            <w:vAlign w:val="bottom"/>
          </w:tcPr>
          <w:p>
            <w:pPr>
              <w:jc w:val="center"/>
              <w:ind w:left="870"/>
              <w:spacing w:after="0"/>
              <w:rPr>
                <w:sz w:val="20"/>
                <w:szCs w:val="20"/>
                <w:color w:val="auto"/>
              </w:rPr>
            </w:pPr>
            <w:r>
              <w:rPr>
                <w:rFonts w:ascii="Arial" w:cs="Arial" w:eastAsia="Arial" w:hAnsi="Arial"/>
                <w:sz w:val="18"/>
                <w:szCs w:val="18"/>
                <w:color w:val="auto"/>
                <w:w w:val="99"/>
              </w:rPr>
              <w:t>Identification No.)</w:t>
            </w:r>
          </w:p>
        </w:tc>
      </w:tr>
      <w:tr>
        <w:trPr>
          <w:trHeight w:val="488"/>
        </w:trPr>
        <w:tc>
          <w:tcPr>
            <w:tcW w:w="3240" w:type="dxa"/>
            <w:vAlign w:val="bottom"/>
          </w:tcPr>
          <w:p>
            <w:pPr>
              <w:spacing w:after="0"/>
              <w:rPr>
                <w:sz w:val="24"/>
                <w:szCs w:val="24"/>
                <w:color w:val="auto"/>
              </w:rPr>
            </w:pPr>
          </w:p>
        </w:tc>
        <w:tc>
          <w:tcPr>
            <w:tcW w:w="3920" w:type="dxa"/>
            <w:vAlign w:val="bottom"/>
            <w:gridSpan w:val="7"/>
          </w:tcPr>
          <w:p>
            <w:pPr>
              <w:jc w:val="center"/>
              <w:ind w:left="710"/>
              <w:spacing w:after="0"/>
              <w:rPr>
                <w:sz w:val="20"/>
                <w:szCs w:val="20"/>
                <w:color w:val="auto"/>
              </w:rPr>
            </w:pPr>
            <w:r>
              <w:rPr>
                <w:rFonts w:ascii="Arial" w:cs="Arial" w:eastAsia="Arial" w:hAnsi="Arial"/>
                <w:sz w:val="18"/>
                <w:szCs w:val="18"/>
                <w:color w:val="auto"/>
                <w:w w:val="99"/>
              </w:rPr>
              <w:t>__________________________</w:t>
            </w:r>
          </w:p>
        </w:tc>
        <w:tc>
          <w:tcPr>
            <w:tcW w:w="4040" w:type="dxa"/>
            <w:vAlign w:val="bottom"/>
          </w:tcPr>
          <w:p>
            <w:pPr>
              <w:spacing w:after="0"/>
              <w:rPr>
                <w:sz w:val="24"/>
                <w:szCs w:val="24"/>
                <w:color w:val="auto"/>
              </w:rPr>
            </w:pPr>
          </w:p>
        </w:tc>
      </w:tr>
      <w:tr>
        <w:trPr>
          <w:trHeight w:val="218"/>
        </w:trPr>
        <w:tc>
          <w:tcPr>
            <w:tcW w:w="3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5"/>
          </w:tcPr>
          <w:p>
            <w:pPr>
              <w:jc w:val="center"/>
              <w:ind w:left="150"/>
              <w:spacing w:after="0" w:line="219" w:lineRule="exact"/>
              <w:rPr>
                <w:sz w:val="20"/>
                <w:szCs w:val="20"/>
                <w:color w:val="auto"/>
              </w:rPr>
            </w:pPr>
            <w:r>
              <w:rPr>
                <w:rFonts w:ascii="Arial" w:cs="Arial" w:eastAsia="Arial" w:hAnsi="Arial"/>
                <w:sz w:val="18"/>
                <w:szCs w:val="18"/>
                <w:b w:val="1"/>
                <w:bCs w:val="1"/>
                <w:color w:val="auto"/>
                <w:w w:val="98"/>
              </w:rPr>
              <w:t>One Liberty Plaza, 7</w:t>
            </w:r>
            <w:r>
              <w:rPr>
                <w:rFonts w:ascii="Arial" w:cs="Arial" w:eastAsia="Arial" w:hAnsi="Arial"/>
                <w:sz w:val="23"/>
                <w:szCs w:val="23"/>
                <w:b w:val="1"/>
                <w:bCs w:val="1"/>
                <w:color w:val="auto"/>
                <w:w w:val="98"/>
                <w:vertAlign w:val="superscript"/>
              </w:rPr>
              <w:t>th</w:t>
            </w:r>
            <w:r>
              <w:rPr>
                <w:rFonts w:ascii="Arial" w:cs="Arial" w:eastAsia="Arial" w:hAnsi="Arial"/>
                <w:sz w:val="18"/>
                <w:szCs w:val="18"/>
                <w:b w:val="1"/>
                <w:bCs w:val="1"/>
                <w:color w:val="auto"/>
                <w:w w:val="98"/>
              </w:rPr>
              <w:t xml:space="preserve"> Floor</w:t>
            </w:r>
          </w:p>
        </w:tc>
        <w:tc>
          <w:tcPr>
            <w:tcW w:w="4040" w:type="dxa"/>
            <w:vAlign w:val="bottom"/>
          </w:tcPr>
          <w:p>
            <w:pPr>
              <w:spacing w:after="0"/>
              <w:rPr>
                <w:sz w:val="18"/>
                <w:szCs w:val="18"/>
                <w:color w:val="auto"/>
              </w:rPr>
            </w:pPr>
          </w:p>
        </w:tc>
      </w:tr>
      <w:tr>
        <w:trPr>
          <w:trHeight w:val="239"/>
        </w:trPr>
        <w:tc>
          <w:tcPr>
            <w:tcW w:w="3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6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auto"/>
                <w:w w:val="98"/>
              </w:rPr>
              <w:t>New York, New York 10006</w:t>
            </w:r>
          </w:p>
        </w:tc>
        <w:tc>
          <w:tcPr>
            <w:tcW w:w="4040" w:type="dxa"/>
            <w:vAlign w:val="bottom"/>
          </w:tcPr>
          <w:p>
            <w:pPr>
              <w:spacing w:after="0"/>
              <w:rPr>
                <w:sz w:val="20"/>
                <w:szCs w:val="20"/>
                <w:color w:val="auto"/>
              </w:rPr>
            </w:pPr>
          </w:p>
        </w:tc>
      </w:tr>
      <w:tr>
        <w:trPr>
          <w:trHeight w:val="324"/>
        </w:trPr>
        <w:tc>
          <w:tcPr>
            <w:tcW w:w="3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gridSpan w:val="5"/>
          </w:tcPr>
          <w:p>
            <w:pPr>
              <w:jc w:val="center"/>
              <w:ind w:left="150"/>
              <w:spacing w:after="0"/>
              <w:rPr>
                <w:sz w:val="20"/>
                <w:szCs w:val="20"/>
                <w:color w:val="auto"/>
              </w:rPr>
            </w:pPr>
            <w:r>
              <w:rPr>
                <w:rFonts w:ascii="Arial" w:cs="Arial" w:eastAsia="Arial" w:hAnsi="Arial"/>
                <w:sz w:val="18"/>
                <w:szCs w:val="18"/>
                <w:color w:val="auto"/>
                <w:w w:val="99"/>
              </w:rPr>
              <w:t>(Address of principal executive offices)</w:t>
            </w:r>
          </w:p>
        </w:tc>
        <w:tc>
          <w:tcPr>
            <w:tcW w:w="4040" w:type="dxa"/>
            <w:vAlign w:val="bottom"/>
          </w:tcPr>
          <w:p>
            <w:pPr>
              <w:spacing w:after="0"/>
              <w:rPr>
                <w:sz w:val="24"/>
                <w:szCs w:val="24"/>
                <w:color w:val="auto"/>
              </w:rPr>
            </w:pPr>
          </w:p>
        </w:tc>
      </w:tr>
      <w:tr>
        <w:trPr>
          <w:trHeight w:val="526"/>
        </w:trPr>
        <w:tc>
          <w:tcPr>
            <w:tcW w:w="3240" w:type="dxa"/>
            <w:vAlign w:val="bottom"/>
          </w:tcPr>
          <w:p>
            <w:pPr>
              <w:spacing w:after="0"/>
              <w:rPr>
                <w:sz w:val="24"/>
                <w:szCs w:val="24"/>
                <w:color w:val="auto"/>
              </w:rPr>
            </w:pPr>
          </w:p>
        </w:tc>
        <w:tc>
          <w:tcPr>
            <w:tcW w:w="1740" w:type="dxa"/>
            <w:vAlign w:val="bottom"/>
            <w:gridSpan w:val="3"/>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(212) 297-0200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91"/>
        </w:trPr>
        <w:tc>
          <w:tcPr>
            <w:tcW w:w="3240" w:type="dxa"/>
            <w:vAlign w:val="bottom"/>
          </w:tcPr>
          <w:p>
            <w:pPr>
              <w:spacing w:after="0"/>
              <w:rPr>
                <w:sz w:val="24"/>
                <w:szCs w:val="24"/>
                <w:color w:val="auto"/>
              </w:rPr>
            </w:pPr>
          </w:p>
        </w:tc>
        <w:tc>
          <w:tcPr>
            <w:tcW w:w="7960" w:type="dxa"/>
            <w:vAlign w:val="bottom"/>
            <w:gridSpan w:val="8"/>
          </w:tcPr>
          <w:p>
            <w:pPr>
              <w:jc w:val="center"/>
              <w:ind w:right="3130"/>
              <w:spacing w:after="0"/>
              <w:rPr>
                <w:sz w:val="20"/>
                <w:szCs w:val="20"/>
                <w:color w:val="auto"/>
              </w:rPr>
            </w:pPr>
            <w:r>
              <w:rPr>
                <w:rFonts w:ascii="Arial" w:cs="Arial" w:eastAsia="Arial" w:hAnsi="Arial"/>
                <w:sz w:val="18"/>
                <w:szCs w:val="18"/>
                <w:color w:val="auto"/>
                <w:w w:val="99"/>
              </w:rPr>
              <w:t>(Registrant’s telephone number, including area code)</w:t>
            </w:r>
          </w:p>
        </w:tc>
      </w:tr>
      <w:tr>
        <w:trPr>
          <w:trHeight w:val="378"/>
        </w:trPr>
        <w:tc>
          <w:tcPr>
            <w:tcW w:w="3240" w:type="dxa"/>
            <w:vAlign w:val="bottom"/>
          </w:tcPr>
          <w:p>
            <w:pPr>
              <w:spacing w:after="0"/>
              <w:rPr>
                <w:sz w:val="24"/>
                <w:szCs w:val="24"/>
                <w:color w:val="auto"/>
              </w:rPr>
            </w:pPr>
          </w:p>
        </w:tc>
        <w:tc>
          <w:tcPr>
            <w:tcW w:w="3320" w:type="dxa"/>
            <w:vAlign w:val="bottom"/>
            <w:gridSpan w:val="5"/>
          </w:tcPr>
          <w:p>
            <w:pPr>
              <w:jc w:val="center"/>
              <w:ind w:left="1310"/>
              <w:spacing w:after="0"/>
              <w:rPr>
                <w:sz w:val="20"/>
                <w:szCs w:val="20"/>
                <w:color w:val="auto"/>
              </w:rPr>
            </w:pPr>
            <w:r>
              <w:rPr>
                <w:rFonts w:ascii="Arial" w:cs="Arial" w:eastAsia="Arial" w:hAnsi="Arial"/>
                <w:sz w:val="18"/>
                <w:szCs w:val="18"/>
                <w:color w:val="auto"/>
                <w:w w:val="99"/>
              </w:rPr>
              <w:t>__________________</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78"/>
        </w:trPr>
        <w:tc>
          <w:tcPr>
            <w:tcW w:w="3240" w:type="dxa"/>
            <w:vAlign w:val="bottom"/>
          </w:tcPr>
          <w:p>
            <w:pPr>
              <w:spacing w:after="0"/>
              <w:rPr>
                <w:sz w:val="24"/>
                <w:szCs w:val="24"/>
                <w:color w:val="auto"/>
              </w:rPr>
            </w:pPr>
          </w:p>
        </w:tc>
        <w:tc>
          <w:tcPr>
            <w:tcW w:w="7960" w:type="dxa"/>
            <w:vAlign w:val="bottom"/>
            <w:gridSpan w:val="8"/>
          </w:tcPr>
          <w:p>
            <w:pPr>
              <w:jc w:val="center"/>
              <w:ind w:right="3150"/>
              <w:spacing w:after="0"/>
              <w:rPr>
                <w:sz w:val="20"/>
                <w:szCs w:val="20"/>
                <w:color w:val="auto"/>
              </w:rPr>
            </w:pPr>
            <w:r>
              <w:rPr>
                <w:rFonts w:ascii="Arial" w:cs="Arial" w:eastAsia="Arial" w:hAnsi="Arial"/>
                <w:sz w:val="18"/>
                <w:szCs w:val="18"/>
                <w:color w:val="auto"/>
                <w:w w:val="99"/>
              </w:rPr>
              <w:t>Securities registered pursuant to Section 12(b) of the Act:</w:t>
            </w:r>
          </w:p>
        </w:tc>
      </w:tr>
      <w:tr>
        <w:trPr>
          <w:trHeight w:val="419"/>
        </w:trPr>
        <w:tc>
          <w:tcPr>
            <w:tcW w:w="3240" w:type="dxa"/>
            <w:vAlign w:val="bottom"/>
          </w:tcPr>
          <w:p>
            <w:pPr>
              <w:jc w:val="center"/>
              <w:ind w:left="310"/>
              <w:spacing w:after="0"/>
              <w:rPr>
                <w:sz w:val="20"/>
                <w:szCs w:val="20"/>
                <w:color w:val="auto"/>
              </w:rPr>
            </w:pPr>
            <w:r>
              <w:rPr>
                <w:rFonts w:ascii="Arial" w:cs="Arial" w:eastAsia="Arial" w:hAnsi="Arial"/>
                <w:sz w:val="18"/>
                <w:szCs w:val="18"/>
                <w:color w:val="auto"/>
                <w:w w:val="99"/>
              </w:rPr>
              <w:t>Title of each class</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gridSpan w:val="5"/>
          </w:tcPr>
          <w:p>
            <w:pPr>
              <w:jc w:val="center"/>
              <w:ind w:right="600"/>
              <w:spacing w:after="0"/>
              <w:rPr>
                <w:sz w:val="20"/>
                <w:szCs w:val="20"/>
                <w:color w:val="auto"/>
              </w:rPr>
            </w:pPr>
            <w:r>
              <w:rPr>
                <w:rFonts w:ascii="Arial" w:cs="Arial" w:eastAsia="Arial" w:hAnsi="Arial"/>
                <w:sz w:val="18"/>
                <w:szCs w:val="18"/>
                <w:color w:val="auto"/>
                <w:w w:val="98"/>
              </w:rPr>
              <w:t>Trading Symbol</w:t>
            </w:r>
          </w:p>
        </w:tc>
        <w:tc>
          <w:tcPr>
            <w:tcW w:w="4040" w:type="dxa"/>
            <w:vAlign w:val="bottom"/>
          </w:tcPr>
          <w:p>
            <w:pPr>
              <w:jc w:val="center"/>
              <w:ind w:right="350"/>
              <w:spacing w:after="0"/>
              <w:rPr>
                <w:sz w:val="20"/>
                <w:szCs w:val="20"/>
                <w:color w:val="auto"/>
              </w:rPr>
            </w:pPr>
            <w:r>
              <w:rPr>
                <w:rFonts w:ascii="Arial" w:cs="Arial" w:eastAsia="Arial" w:hAnsi="Arial"/>
                <w:sz w:val="18"/>
                <w:szCs w:val="18"/>
                <w:color w:val="auto"/>
                <w:w w:val="99"/>
              </w:rPr>
              <w:t>Name of each exchange on which registered</w:t>
            </w:r>
          </w:p>
        </w:tc>
      </w:tr>
      <w:tr>
        <w:trPr>
          <w:trHeight w:val="232"/>
        </w:trPr>
        <w:tc>
          <w:tcPr>
            <w:tcW w:w="3240" w:type="dxa"/>
            <w:vAlign w:val="bottom"/>
            <w:tcBorders>
              <w:top w:val="single" w:sz="8" w:color="auto"/>
            </w:tcBorders>
          </w:tcPr>
          <w:p>
            <w:pPr>
              <w:jc w:val="center"/>
              <w:ind w:left="310"/>
              <w:spacing w:after="0"/>
              <w:rPr>
                <w:sz w:val="20"/>
                <w:szCs w:val="20"/>
                <w:color w:val="auto"/>
              </w:rPr>
            </w:pPr>
            <w:r>
              <w:rPr>
                <w:rFonts w:ascii="Arial" w:cs="Arial" w:eastAsia="Arial" w:hAnsi="Arial"/>
                <w:sz w:val="18"/>
                <w:szCs w:val="18"/>
                <w:b w:val="1"/>
                <w:bCs w:val="1"/>
                <w:color w:val="auto"/>
              </w:rPr>
              <w:t>Common Stock, $0.01 par value</w:t>
            </w:r>
          </w:p>
        </w:tc>
        <w:tc>
          <w:tcPr>
            <w:tcW w:w="4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7"/>
              </w:rPr>
              <w:t>ABM</w:t>
            </w:r>
          </w:p>
        </w:tc>
        <w:tc>
          <w:tcPr>
            <w:tcW w:w="1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040" w:type="dxa"/>
            <w:vAlign w:val="bottom"/>
            <w:tcBorders>
              <w:top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9"/>
              </w:rPr>
              <w:t>New York Stock Exchange</w:t>
            </w:r>
          </w:p>
        </w:tc>
      </w:tr>
    </w:tbl>
    <w:p>
      <w:pPr>
        <w:spacing w:after="0" w:line="152"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color w:val="auto"/>
        </w:rPr>
        <w:t>Securities registered pursuant to Section 12(g) of the Act: None</w:t>
      </w:r>
    </w:p>
    <w:p>
      <w:pPr>
        <w:sectPr>
          <w:pgSz w:w="11900" w:h="16838" w:orient="portrait"/>
          <w:cols w:equalWidth="0" w:num="1">
            <w:col w:w="11240"/>
          </w:cols>
          <w:pgMar w:left="320" w:top="1232"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93" w:lineRule="exact"/>
        <w:rPr>
          <w:sz w:val="20"/>
          <w:szCs w:val="20"/>
          <w:color w:val="auto"/>
        </w:rPr>
      </w:pPr>
    </w:p>
    <w:p>
      <w:pPr>
        <w:sectPr>
          <w:pgSz w:w="11900" w:h="16838" w:orient="portrait"/>
          <w:cols w:equalWidth="0" w:num="5">
            <w:col w:w="9300" w:space="200"/>
            <w:col w:w="280" w:space="100"/>
            <w:col w:w="180" w:space="340"/>
            <w:col w:w="240" w:space="100"/>
            <w:col w:w="500"/>
          </w:cols>
          <w:pgMar w:left="320" w:top="1232"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r>
        <w:rPr>
          <w:rFonts w:ascii="MS PGothic" w:cs="MS PGothic" w:eastAsia="MS PGothic" w:hAnsi="MS PGothic"/>
          <w:sz w:val="16"/>
          <w:szCs w:val="16"/>
          <w:color w:val="auto"/>
        </w:rPr>
        <w:t>☑</w:t>
      </w:r>
    </w:p>
    <w:p>
      <w:pPr>
        <w:spacing w:after="0" w:line="293" w:lineRule="exact"/>
        <w:rPr>
          <w:sz w:val="20"/>
          <w:szCs w:val="20"/>
          <w:color w:val="auto"/>
        </w:rPr>
      </w:pPr>
    </w:p>
    <w:p>
      <w:pPr>
        <w:sectPr>
          <w:pgSz w:w="11900" w:h="16838" w:orient="portrait"/>
          <w:cols w:equalWidth="0" w:num="5">
            <w:col w:w="9400" w:space="200"/>
            <w:col w:w="300" w:space="100"/>
            <w:col w:w="160" w:space="200"/>
            <w:col w:w="240" w:space="100"/>
            <w:col w:w="540"/>
          </w:cols>
          <w:pgMar w:left="320" w:top="1232" w:right="339" w:bottom="1440" w:gutter="0" w:footer="0" w:header="0"/>
          <w:type w:val="continuous"/>
        </w:sectPr>
      </w:pPr>
    </w:p>
    <w:p>
      <w:pPr>
        <w:spacing w:after="0" w:line="52"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 w:lineRule="exact"/>
        <w:rPr>
          <w:sz w:val="20"/>
          <w:szCs w:val="20"/>
          <w:color w:val="auto"/>
        </w:rPr>
      </w:pPr>
    </w:p>
    <w:tbl>
      <w:tblPr>
        <w:tblLayout w:type="fixed"/>
        <w:tblInd w:w="80" w:type="dxa"/>
        <w:tblCellMar>
          <w:top w:w="0" w:type="dxa"/>
          <w:left w:w="0" w:type="dxa"/>
          <w:bottom w:w="0" w:type="dxa"/>
          <w:right w:w="0" w:type="dxa"/>
        </w:tblCellMar>
      </w:tblPr>
      <w:tr>
        <w:trPr>
          <w:trHeight w:val="244"/>
        </w:trPr>
        <w:tc>
          <w:tcPr>
            <w:tcW w:w="22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Accelerated</w:t>
            </w:r>
          </w:p>
        </w:tc>
        <w:tc>
          <w:tcPr>
            <w:tcW w:w="264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Smaller reporting</w:t>
            </w:r>
          </w:p>
        </w:tc>
        <w:tc>
          <w:tcPr>
            <w:tcW w:w="296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tc>
      </w:tr>
      <w:tr>
        <w:trPr>
          <w:trHeight w:val="217"/>
        </w:trPr>
        <w:tc>
          <w:tcPr>
            <w:tcW w:w="22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filer</w:t>
            </w:r>
          </w:p>
        </w:tc>
        <w:tc>
          <w:tcPr>
            <w:tcW w:w="26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8"/>
              </w:rPr>
              <w:t>company</w:t>
            </w:r>
          </w:p>
        </w:tc>
        <w:tc>
          <w:tcPr>
            <w:tcW w:w="2960" w:type="dxa"/>
            <w:vAlign w:val="bottom"/>
          </w:tcPr>
          <w:p>
            <w:pPr>
              <w:spacing w:after="0"/>
              <w:rPr>
                <w:sz w:val="18"/>
                <w:szCs w:val="18"/>
                <w:color w:val="auto"/>
              </w:rPr>
            </w:pPr>
          </w:p>
        </w:tc>
      </w:tr>
    </w:tbl>
    <w:p>
      <w:pPr>
        <w:spacing w:after="0" w:line="93"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2"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Aggregate market value of the registrant’s common stock held by non-affiliates of the registrant, based upon the closing price of a share of the registrant’s common stock on April 30, 2021 as reported on the New York Stock Exchange on that date: $3,412,315,302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the registrant’s common stock outstanding as of December 21, 2021: 67,317,979</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Certain parts of the registrant’s Definitive Proxy Statement relating to the registrant’s 2022 Annual Meeting of Stockholders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953770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143510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9480" w:type="dxa"/>
            <w:vAlign w:val="bottom"/>
          </w:tcPr>
          <w:p>
            <w:pPr>
              <w:ind w:left="3220"/>
              <w:spacing w:after="0"/>
              <w:rPr>
                <w:sz w:val="20"/>
                <w:szCs w:val="20"/>
                <w:color w:val="auto"/>
              </w:rPr>
            </w:pPr>
            <w:r>
              <w:rPr>
                <w:rFonts w:ascii="Arial" w:cs="Arial" w:eastAsia="Arial" w:hAnsi="Arial"/>
                <w:sz w:val="18"/>
                <w:szCs w:val="18"/>
                <w:b w:val="1"/>
                <w:bCs w:val="1"/>
                <w:color w:val="auto"/>
              </w:rPr>
              <w:t>ABM INDUSTRIES INCORPORATED AND SUBSIDIARIES</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51"/>
        </w:trPr>
        <w:tc>
          <w:tcPr>
            <w:tcW w:w="948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9480" w:type="dxa"/>
            <w:vAlign w:val="bottom"/>
          </w:tcPr>
          <w:p>
            <w:pPr>
              <w:ind w:left="20"/>
              <w:spacing w:after="0"/>
              <w:rPr>
                <w:rFonts w:ascii="Arial" w:cs="Arial" w:eastAsia="Arial" w:hAnsi="Arial"/>
                <w:sz w:val="14"/>
                <w:szCs w:val="14"/>
                <w:b w:val="1"/>
                <w:bCs w:val="1"/>
                <w:color w:val="0000FF"/>
              </w:rPr>
            </w:pPr>
            <w:hyperlink w:anchor="page3">
              <w:r>
                <w:rPr>
                  <w:rFonts w:ascii="Arial" w:cs="Arial" w:eastAsia="Arial" w:hAnsi="Arial"/>
                  <w:sz w:val="14"/>
                  <w:szCs w:val="14"/>
                  <w:b w:val="1"/>
                  <w:bCs w:val="1"/>
                  <w:color w:val="0000FF"/>
                </w:rPr>
                <w:t>FORWARD-LOOKING STATEMENTS</w:t>
              </w:r>
            </w:hyperlink>
          </w:p>
        </w:tc>
        <w:tc>
          <w:tcPr>
            <w:tcW w:w="1720" w:type="dxa"/>
            <w:vAlign w:val="bottom"/>
            <w:gridSpan w:val="4"/>
          </w:tcPr>
          <w:p>
            <w:pPr>
              <w:jc w:val="right"/>
              <w:spacing w:after="0"/>
              <w:rPr>
                <w:rFonts w:ascii="Arial" w:cs="Arial" w:eastAsia="Arial" w:hAnsi="Arial"/>
                <w:sz w:val="15"/>
                <w:szCs w:val="15"/>
                <w:color w:val="0000FF"/>
              </w:rPr>
            </w:pPr>
            <w:hyperlink w:anchor="page3">
              <w:r>
                <w:rPr>
                  <w:rFonts w:ascii="Arial" w:cs="Arial" w:eastAsia="Arial" w:hAnsi="Arial"/>
                  <w:sz w:val="15"/>
                  <w:szCs w:val="15"/>
                  <w:color w:val="0000FF"/>
                </w:rPr>
                <w:t>1</w:t>
              </w:r>
            </w:hyperlink>
          </w:p>
        </w:tc>
        <w:tc>
          <w:tcPr>
            <w:tcW w:w="40" w:type="dxa"/>
            <w:vAlign w:val="bottom"/>
          </w:tcPr>
          <w:p>
            <w:pPr>
              <w:spacing w:after="0"/>
              <w:rPr>
                <w:sz w:val="24"/>
                <w:szCs w:val="24"/>
                <w:color w:val="auto"/>
              </w:rPr>
            </w:pPr>
          </w:p>
        </w:tc>
      </w:tr>
      <w:tr>
        <w:trPr>
          <w:trHeight w:val="20"/>
        </w:trPr>
        <w:tc>
          <w:tcPr>
            <w:tcW w:w="9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9480" w:type="dxa"/>
            <w:vAlign w:val="bottom"/>
          </w:tcPr>
          <w:p>
            <w:pPr>
              <w:ind w:left="20"/>
              <w:spacing w:after="0"/>
              <w:rPr>
                <w:rFonts w:ascii="Arial" w:cs="Arial" w:eastAsia="Arial" w:hAnsi="Arial"/>
                <w:sz w:val="14"/>
                <w:szCs w:val="14"/>
                <w:b w:val="1"/>
                <w:bCs w:val="1"/>
                <w:color w:val="0000FF"/>
              </w:rPr>
            </w:pPr>
            <w:hyperlink w:anchor="page4">
              <w:r>
                <w:rPr>
                  <w:rFonts w:ascii="Arial" w:cs="Arial" w:eastAsia="Arial" w:hAnsi="Arial"/>
                  <w:sz w:val="14"/>
                  <w:szCs w:val="14"/>
                  <w:b w:val="1"/>
                  <w:bCs w:val="1"/>
                  <w:color w:val="0000FF"/>
                </w:rPr>
                <w:t>PART I</w:t>
              </w:r>
            </w:hyperlink>
          </w:p>
        </w:tc>
        <w:tc>
          <w:tcPr>
            <w:tcW w:w="1720" w:type="dxa"/>
            <w:vAlign w:val="bottom"/>
            <w:gridSpan w:val="4"/>
          </w:tcPr>
          <w:p>
            <w:pPr>
              <w:jc w:val="right"/>
              <w:spacing w:after="0" w:line="169" w:lineRule="exact"/>
              <w:rPr>
                <w:rFonts w:ascii="Arial" w:cs="Arial" w:eastAsia="Arial" w:hAnsi="Arial"/>
                <w:sz w:val="15"/>
                <w:szCs w:val="15"/>
                <w:color w:val="0000FF"/>
              </w:rPr>
            </w:pPr>
            <w:hyperlink w:anchor="page4">
              <w:r>
                <w:rPr>
                  <w:rFonts w:ascii="Arial" w:cs="Arial" w:eastAsia="Arial" w:hAnsi="Arial"/>
                  <w:sz w:val="15"/>
                  <w:szCs w:val="15"/>
                  <w:color w:val="0000FF"/>
                </w:rPr>
                <w:t>2</w:t>
              </w:r>
            </w:hyperlink>
          </w:p>
        </w:tc>
        <w:tc>
          <w:tcPr>
            <w:tcW w:w="40" w:type="dxa"/>
            <w:vAlign w:val="bottom"/>
          </w:tcPr>
          <w:p>
            <w:pPr>
              <w:spacing w:after="0"/>
              <w:rPr>
                <w:sz w:val="15"/>
                <w:szCs w:val="15"/>
                <w:color w:val="auto"/>
              </w:rPr>
            </w:pPr>
          </w:p>
        </w:tc>
      </w:tr>
      <w:tr>
        <w:trPr>
          <w:trHeight w:val="20"/>
        </w:trPr>
        <w:tc>
          <w:tcPr>
            <w:tcW w:w="9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9480" w:type="dxa"/>
            <w:vAlign w:val="bottom"/>
          </w:tcPr>
          <w:p>
            <w:pPr>
              <w:ind w:left="20"/>
              <w:spacing w:after="0"/>
              <w:rPr>
                <w:rFonts w:ascii="Arial" w:cs="Arial" w:eastAsia="Arial" w:hAnsi="Arial"/>
                <w:sz w:val="14"/>
                <w:szCs w:val="14"/>
                <w:color w:val="0000FF"/>
              </w:rPr>
            </w:pPr>
            <w:hyperlink w:anchor="page5">
              <w:r>
                <w:rPr>
                  <w:rFonts w:ascii="Arial" w:cs="Arial" w:eastAsia="Arial" w:hAnsi="Arial"/>
                  <w:sz w:val="14"/>
                  <w:szCs w:val="14"/>
                  <w:color w:val="0000FF"/>
                </w:rPr>
                <w:t>Item 1. Business.</w:t>
              </w:r>
            </w:hyperlink>
          </w:p>
        </w:tc>
        <w:tc>
          <w:tcPr>
            <w:tcW w:w="1720" w:type="dxa"/>
            <w:vAlign w:val="bottom"/>
            <w:gridSpan w:val="4"/>
          </w:tcPr>
          <w:p>
            <w:pPr>
              <w:jc w:val="right"/>
              <w:spacing w:after="0" w:line="169" w:lineRule="exact"/>
              <w:rPr>
                <w:rFonts w:ascii="Arial" w:cs="Arial" w:eastAsia="Arial" w:hAnsi="Arial"/>
                <w:sz w:val="15"/>
                <w:szCs w:val="15"/>
                <w:color w:val="0000FF"/>
              </w:rPr>
            </w:pPr>
            <w:hyperlink w:anchor="page5">
              <w:r>
                <w:rPr>
                  <w:rFonts w:ascii="Arial" w:cs="Arial" w:eastAsia="Arial" w:hAnsi="Arial"/>
                  <w:sz w:val="15"/>
                  <w:szCs w:val="15"/>
                  <w:color w:val="0000FF"/>
                </w:rPr>
                <w:t>2</w:t>
              </w:r>
            </w:hyperlink>
          </w:p>
        </w:tc>
        <w:tc>
          <w:tcPr>
            <w:tcW w:w="40" w:type="dxa"/>
            <w:vAlign w:val="bottom"/>
          </w:tcPr>
          <w:p>
            <w:pPr>
              <w:spacing w:after="0"/>
              <w:rPr>
                <w:sz w:val="15"/>
                <w:szCs w:val="15"/>
                <w:color w:val="auto"/>
              </w:rPr>
            </w:pPr>
          </w:p>
        </w:tc>
      </w:tr>
      <w:tr>
        <w:trPr>
          <w:trHeight w:val="20"/>
        </w:trPr>
        <w:tc>
          <w:tcPr>
            <w:tcW w:w="9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9480" w:type="dxa"/>
            <w:vAlign w:val="bottom"/>
          </w:tcPr>
          <w:p>
            <w:pPr>
              <w:ind w:left="20"/>
              <w:spacing w:after="0"/>
              <w:rPr>
                <w:rFonts w:ascii="Arial" w:cs="Arial" w:eastAsia="Arial" w:hAnsi="Arial"/>
                <w:sz w:val="14"/>
                <w:szCs w:val="14"/>
                <w:color w:val="0000FF"/>
              </w:rPr>
            </w:pPr>
            <w:hyperlink w:anchor="page12">
              <w:r>
                <w:rPr>
                  <w:rFonts w:ascii="Arial" w:cs="Arial" w:eastAsia="Arial" w:hAnsi="Arial"/>
                  <w:sz w:val="14"/>
                  <w:szCs w:val="14"/>
                  <w:color w:val="0000FF"/>
                </w:rPr>
                <w:t>Item 1A. Risk Factors.</w:t>
              </w:r>
            </w:hyperlink>
          </w:p>
        </w:tc>
        <w:tc>
          <w:tcPr>
            <w:tcW w:w="154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69" w:lineRule="exact"/>
              <w:rPr>
                <w:rFonts w:ascii="Arial" w:cs="Arial" w:eastAsia="Arial" w:hAnsi="Arial"/>
                <w:sz w:val="15"/>
                <w:szCs w:val="15"/>
                <w:color w:val="0000FF"/>
                <w:w w:val="95"/>
              </w:rPr>
            </w:pPr>
            <w:hyperlink w:anchor="page12">
              <w:r>
                <w:rPr>
                  <w:rFonts w:ascii="Arial" w:cs="Arial" w:eastAsia="Arial" w:hAnsi="Arial"/>
                  <w:sz w:val="15"/>
                  <w:szCs w:val="15"/>
                  <w:color w:val="0000FF"/>
                  <w:w w:val="95"/>
                </w:rPr>
                <w:t>10</w:t>
              </w:r>
            </w:hyperlink>
          </w:p>
        </w:tc>
        <w:tc>
          <w:tcPr>
            <w:tcW w:w="40" w:type="dxa"/>
            <w:vAlign w:val="bottom"/>
          </w:tcPr>
          <w:p>
            <w:pPr>
              <w:spacing w:after="0"/>
              <w:rPr>
                <w:sz w:val="15"/>
                <w:szCs w:val="15"/>
                <w:color w:val="auto"/>
              </w:rPr>
            </w:pPr>
          </w:p>
        </w:tc>
      </w:tr>
      <w:tr>
        <w:trPr>
          <w:trHeight w:val="183"/>
        </w:trPr>
        <w:tc>
          <w:tcPr>
            <w:tcW w:w="9480" w:type="dxa"/>
            <w:vAlign w:val="bottom"/>
          </w:tcPr>
          <w:p>
            <w:pPr>
              <w:ind w:left="20"/>
              <w:spacing w:after="0"/>
              <w:rPr>
                <w:rFonts w:ascii="Arial" w:cs="Arial" w:eastAsia="Arial" w:hAnsi="Arial"/>
                <w:sz w:val="14"/>
                <w:szCs w:val="14"/>
                <w:color w:val="0000FF"/>
              </w:rPr>
            </w:pPr>
            <w:hyperlink w:anchor="page21">
              <w:r>
                <w:rPr>
                  <w:rFonts w:ascii="Arial" w:cs="Arial" w:eastAsia="Arial" w:hAnsi="Arial"/>
                  <w:sz w:val="14"/>
                  <w:szCs w:val="14"/>
                  <w:color w:val="0000FF"/>
                </w:rPr>
                <w:t>Item 1B. Unresolved Staff Comments.</w:t>
              </w:r>
            </w:hyperlink>
          </w:p>
        </w:tc>
        <w:tc>
          <w:tcPr>
            <w:tcW w:w="154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69" w:lineRule="exact"/>
              <w:rPr>
                <w:rFonts w:ascii="Arial" w:cs="Arial" w:eastAsia="Arial" w:hAnsi="Arial"/>
                <w:sz w:val="15"/>
                <w:szCs w:val="15"/>
                <w:color w:val="0000FF"/>
                <w:w w:val="95"/>
              </w:rPr>
            </w:pPr>
            <w:hyperlink w:anchor="page21">
              <w:r>
                <w:rPr>
                  <w:rFonts w:ascii="Arial" w:cs="Arial" w:eastAsia="Arial" w:hAnsi="Arial"/>
                  <w:sz w:val="15"/>
                  <w:szCs w:val="15"/>
                  <w:color w:val="0000FF"/>
                  <w:w w:val="95"/>
                </w:rPr>
                <w:t>18</w:t>
              </w:r>
            </w:hyperlink>
          </w:p>
        </w:tc>
        <w:tc>
          <w:tcPr>
            <w:tcW w:w="40" w:type="dxa"/>
            <w:vAlign w:val="bottom"/>
          </w:tcPr>
          <w:p>
            <w:pPr>
              <w:spacing w:after="0"/>
              <w:rPr>
                <w:sz w:val="15"/>
                <w:szCs w:val="15"/>
                <w:color w:val="auto"/>
              </w:rPr>
            </w:pPr>
          </w:p>
        </w:tc>
      </w:tr>
      <w:tr>
        <w:trPr>
          <w:trHeight w:val="183"/>
        </w:trPr>
        <w:tc>
          <w:tcPr>
            <w:tcW w:w="9480" w:type="dxa"/>
            <w:vAlign w:val="bottom"/>
          </w:tcPr>
          <w:p>
            <w:pPr>
              <w:ind w:left="20"/>
              <w:spacing w:after="0"/>
              <w:rPr>
                <w:rFonts w:ascii="Arial" w:cs="Arial" w:eastAsia="Arial" w:hAnsi="Arial"/>
                <w:sz w:val="14"/>
                <w:szCs w:val="14"/>
                <w:color w:val="0000FF"/>
              </w:rPr>
            </w:pPr>
            <w:hyperlink w:anchor="page22">
              <w:r>
                <w:rPr>
                  <w:rFonts w:ascii="Arial" w:cs="Arial" w:eastAsia="Arial" w:hAnsi="Arial"/>
                  <w:sz w:val="14"/>
                  <w:szCs w:val="14"/>
                  <w:color w:val="0000FF"/>
                </w:rPr>
                <w:t>Item 2. Properties.</w:t>
              </w:r>
            </w:hyperlink>
          </w:p>
        </w:tc>
        <w:tc>
          <w:tcPr>
            <w:tcW w:w="154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69" w:lineRule="exact"/>
              <w:rPr>
                <w:rFonts w:ascii="Arial" w:cs="Arial" w:eastAsia="Arial" w:hAnsi="Arial"/>
                <w:sz w:val="15"/>
                <w:szCs w:val="15"/>
                <w:color w:val="0000FF"/>
                <w:w w:val="95"/>
              </w:rPr>
            </w:pPr>
            <w:hyperlink w:anchor="page22">
              <w:r>
                <w:rPr>
                  <w:rFonts w:ascii="Arial" w:cs="Arial" w:eastAsia="Arial" w:hAnsi="Arial"/>
                  <w:sz w:val="15"/>
                  <w:szCs w:val="15"/>
                  <w:color w:val="0000FF"/>
                  <w:w w:val="95"/>
                </w:rPr>
                <w:t>19</w:t>
              </w:r>
            </w:hyperlink>
          </w:p>
        </w:tc>
        <w:tc>
          <w:tcPr>
            <w:tcW w:w="40" w:type="dxa"/>
            <w:vAlign w:val="bottom"/>
          </w:tcPr>
          <w:p>
            <w:pPr>
              <w:spacing w:after="0"/>
              <w:rPr>
                <w:sz w:val="15"/>
                <w:szCs w:val="15"/>
                <w:color w:val="auto"/>
              </w:rPr>
            </w:pPr>
          </w:p>
        </w:tc>
      </w:tr>
      <w:tr>
        <w:trPr>
          <w:trHeight w:val="183"/>
        </w:trPr>
        <w:tc>
          <w:tcPr>
            <w:tcW w:w="9480" w:type="dxa"/>
            <w:vAlign w:val="bottom"/>
          </w:tcPr>
          <w:p>
            <w:pPr>
              <w:ind w:left="20"/>
              <w:spacing w:after="0"/>
              <w:rPr>
                <w:rFonts w:ascii="Arial" w:cs="Arial" w:eastAsia="Arial" w:hAnsi="Arial"/>
                <w:sz w:val="14"/>
                <w:szCs w:val="14"/>
                <w:color w:val="0000FF"/>
              </w:rPr>
            </w:pPr>
            <w:hyperlink w:anchor="page22">
              <w:r>
                <w:rPr>
                  <w:rFonts w:ascii="Arial" w:cs="Arial" w:eastAsia="Arial" w:hAnsi="Arial"/>
                  <w:sz w:val="14"/>
                  <w:szCs w:val="14"/>
                  <w:color w:val="0000FF"/>
                </w:rPr>
                <w:t>Item 3. Legal Proceedings.</w:t>
              </w:r>
            </w:hyperlink>
          </w:p>
        </w:tc>
        <w:tc>
          <w:tcPr>
            <w:tcW w:w="154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69" w:lineRule="exact"/>
              <w:rPr>
                <w:rFonts w:ascii="Arial" w:cs="Arial" w:eastAsia="Arial" w:hAnsi="Arial"/>
                <w:sz w:val="15"/>
                <w:szCs w:val="15"/>
                <w:color w:val="0000FF"/>
                <w:w w:val="95"/>
              </w:rPr>
            </w:pPr>
            <w:hyperlink w:anchor="page22">
              <w:r>
                <w:rPr>
                  <w:rFonts w:ascii="Arial" w:cs="Arial" w:eastAsia="Arial" w:hAnsi="Arial"/>
                  <w:sz w:val="15"/>
                  <w:szCs w:val="15"/>
                  <w:color w:val="0000FF"/>
                  <w:w w:val="95"/>
                </w:rPr>
                <w:t>19</w:t>
              </w:r>
            </w:hyperlink>
          </w:p>
        </w:tc>
        <w:tc>
          <w:tcPr>
            <w:tcW w:w="40" w:type="dxa"/>
            <w:vAlign w:val="bottom"/>
          </w:tcPr>
          <w:p>
            <w:pPr>
              <w:spacing w:after="0"/>
              <w:rPr>
                <w:sz w:val="15"/>
                <w:szCs w:val="15"/>
                <w:color w:val="auto"/>
              </w:rPr>
            </w:pPr>
          </w:p>
        </w:tc>
      </w:tr>
      <w:tr>
        <w:trPr>
          <w:trHeight w:val="183"/>
        </w:trPr>
        <w:tc>
          <w:tcPr>
            <w:tcW w:w="9480" w:type="dxa"/>
            <w:vAlign w:val="bottom"/>
          </w:tcPr>
          <w:p>
            <w:pPr>
              <w:ind w:left="20"/>
              <w:spacing w:after="0"/>
              <w:rPr>
                <w:rFonts w:ascii="Arial" w:cs="Arial" w:eastAsia="Arial" w:hAnsi="Arial"/>
                <w:sz w:val="14"/>
                <w:szCs w:val="14"/>
                <w:color w:val="0000FF"/>
              </w:rPr>
            </w:pPr>
            <w:hyperlink w:anchor="page22">
              <w:r>
                <w:rPr>
                  <w:rFonts w:ascii="Arial" w:cs="Arial" w:eastAsia="Arial" w:hAnsi="Arial"/>
                  <w:sz w:val="14"/>
                  <w:szCs w:val="14"/>
                  <w:color w:val="0000FF"/>
                </w:rPr>
                <w:t>Item 4. Mine Safety Disclosures.</w:t>
              </w:r>
            </w:hyperlink>
          </w:p>
        </w:tc>
        <w:tc>
          <w:tcPr>
            <w:tcW w:w="154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69" w:lineRule="exact"/>
              <w:rPr>
                <w:rFonts w:ascii="Arial" w:cs="Arial" w:eastAsia="Arial" w:hAnsi="Arial"/>
                <w:sz w:val="15"/>
                <w:szCs w:val="15"/>
                <w:color w:val="0000FF"/>
                <w:w w:val="95"/>
              </w:rPr>
            </w:pPr>
            <w:hyperlink w:anchor="page22">
              <w:r>
                <w:rPr>
                  <w:rFonts w:ascii="Arial" w:cs="Arial" w:eastAsia="Arial" w:hAnsi="Arial"/>
                  <w:sz w:val="15"/>
                  <w:szCs w:val="15"/>
                  <w:color w:val="0000FF"/>
                  <w:w w:val="95"/>
                </w:rPr>
                <w:t>19</w:t>
              </w:r>
            </w:hyperlink>
          </w:p>
        </w:tc>
        <w:tc>
          <w:tcPr>
            <w:tcW w:w="40" w:type="dxa"/>
            <w:vAlign w:val="bottom"/>
          </w:tcPr>
          <w:p>
            <w:pPr>
              <w:spacing w:after="0"/>
              <w:rPr>
                <w:sz w:val="15"/>
                <w:szCs w:val="15"/>
                <w:color w:val="auto"/>
              </w:rPr>
            </w:pPr>
          </w:p>
        </w:tc>
      </w:tr>
      <w:tr>
        <w:trPr>
          <w:trHeight w:val="183"/>
        </w:trPr>
        <w:tc>
          <w:tcPr>
            <w:tcW w:w="9480" w:type="dxa"/>
            <w:vAlign w:val="bottom"/>
          </w:tcPr>
          <w:p>
            <w:pPr>
              <w:ind w:left="20"/>
              <w:spacing w:after="0"/>
              <w:rPr>
                <w:rFonts w:ascii="Arial" w:cs="Arial" w:eastAsia="Arial" w:hAnsi="Arial"/>
                <w:sz w:val="14"/>
                <w:szCs w:val="14"/>
                <w:b w:val="1"/>
                <w:bCs w:val="1"/>
                <w:color w:val="0000FF"/>
              </w:rPr>
            </w:pPr>
            <w:hyperlink w:anchor="page22">
              <w:r>
                <w:rPr>
                  <w:rFonts w:ascii="Arial" w:cs="Arial" w:eastAsia="Arial" w:hAnsi="Arial"/>
                  <w:sz w:val="14"/>
                  <w:szCs w:val="14"/>
                  <w:b w:val="1"/>
                  <w:bCs w:val="1"/>
                  <w:color w:val="0000FF"/>
                </w:rPr>
                <w:t>PART II</w:t>
              </w:r>
            </w:hyperlink>
          </w:p>
        </w:tc>
        <w:tc>
          <w:tcPr>
            <w:tcW w:w="154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69" w:lineRule="exact"/>
              <w:rPr>
                <w:rFonts w:ascii="Arial" w:cs="Arial" w:eastAsia="Arial" w:hAnsi="Arial"/>
                <w:sz w:val="15"/>
                <w:szCs w:val="15"/>
                <w:color w:val="0000FF"/>
                <w:w w:val="95"/>
              </w:rPr>
            </w:pPr>
            <w:hyperlink w:anchor="page22">
              <w:r>
                <w:rPr>
                  <w:rFonts w:ascii="Arial" w:cs="Arial" w:eastAsia="Arial" w:hAnsi="Arial"/>
                  <w:sz w:val="15"/>
                  <w:szCs w:val="15"/>
                  <w:color w:val="0000FF"/>
                  <w:w w:val="95"/>
                </w:rPr>
                <w:t>20</w:t>
              </w:r>
            </w:hyperlink>
          </w:p>
        </w:tc>
        <w:tc>
          <w:tcPr>
            <w:tcW w:w="40" w:type="dxa"/>
            <w:vAlign w:val="bottom"/>
          </w:tcPr>
          <w:p>
            <w:pPr>
              <w:spacing w:after="0"/>
              <w:rPr>
                <w:sz w:val="15"/>
                <w:szCs w:val="15"/>
                <w:color w:val="auto"/>
              </w:rPr>
            </w:pPr>
          </w:p>
        </w:tc>
      </w:tr>
      <w:tr>
        <w:trPr>
          <w:trHeight w:val="183"/>
        </w:trPr>
        <w:tc>
          <w:tcPr>
            <w:tcW w:w="9480" w:type="dxa"/>
            <w:vAlign w:val="bottom"/>
          </w:tcPr>
          <w:p>
            <w:pPr>
              <w:ind w:left="20"/>
              <w:spacing w:after="0"/>
              <w:rPr>
                <w:rFonts w:ascii="Arial" w:cs="Arial" w:eastAsia="Arial" w:hAnsi="Arial"/>
                <w:sz w:val="14"/>
                <w:szCs w:val="14"/>
                <w:color w:val="0000FF"/>
              </w:rPr>
            </w:pPr>
            <w:hyperlink w:anchor="page23">
              <w:r>
                <w:rPr>
                  <w:rFonts w:ascii="Arial" w:cs="Arial" w:eastAsia="Arial" w:hAnsi="Arial"/>
                  <w:sz w:val="14"/>
                  <w:szCs w:val="14"/>
                  <w:color w:val="0000FF"/>
                </w:rPr>
                <w:t>Item 5. Market for Registrant’s Common Equity, Related Stockholder Matters and Issuer Purchases of Equity Securities.</w:t>
              </w:r>
            </w:hyperlink>
          </w:p>
        </w:tc>
        <w:tc>
          <w:tcPr>
            <w:tcW w:w="154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69" w:lineRule="exact"/>
              <w:rPr>
                <w:rFonts w:ascii="Arial" w:cs="Arial" w:eastAsia="Arial" w:hAnsi="Arial"/>
                <w:sz w:val="15"/>
                <w:szCs w:val="15"/>
                <w:color w:val="0000FF"/>
                <w:w w:val="95"/>
              </w:rPr>
            </w:pPr>
            <w:hyperlink w:anchor="page23">
              <w:r>
                <w:rPr>
                  <w:rFonts w:ascii="Arial" w:cs="Arial" w:eastAsia="Arial" w:hAnsi="Arial"/>
                  <w:sz w:val="15"/>
                  <w:szCs w:val="15"/>
                  <w:color w:val="0000FF"/>
                  <w:w w:val="95"/>
                </w:rPr>
                <w:t>20</w:t>
              </w:r>
            </w:hyperlink>
          </w:p>
        </w:tc>
        <w:tc>
          <w:tcPr>
            <w:tcW w:w="40" w:type="dxa"/>
            <w:vAlign w:val="bottom"/>
          </w:tcPr>
          <w:p>
            <w:pPr>
              <w:spacing w:after="0"/>
              <w:rPr>
                <w:sz w:val="15"/>
                <w:szCs w:val="15"/>
                <w:color w:val="auto"/>
              </w:rPr>
            </w:pPr>
          </w:p>
        </w:tc>
      </w:tr>
      <w:tr>
        <w:trPr>
          <w:trHeight w:val="183"/>
        </w:trPr>
        <w:tc>
          <w:tcPr>
            <w:tcW w:w="9480" w:type="dxa"/>
            <w:vAlign w:val="bottom"/>
          </w:tcPr>
          <w:p>
            <w:pPr>
              <w:ind w:left="20"/>
              <w:spacing w:after="0"/>
              <w:rPr>
                <w:rFonts w:ascii="Arial" w:cs="Arial" w:eastAsia="Arial" w:hAnsi="Arial"/>
                <w:sz w:val="14"/>
                <w:szCs w:val="14"/>
                <w:color w:val="0000FF"/>
              </w:rPr>
            </w:pPr>
            <w:hyperlink w:anchor="page24">
              <w:r>
                <w:rPr>
                  <w:rFonts w:ascii="Arial" w:cs="Arial" w:eastAsia="Arial" w:hAnsi="Arial"/>
                  <w:sz w:val="14"/>
                  <w:szCs w:val="14"/>
                  <w:color w:val="0000FF"/>
                </w:rPr>
                <w:t>Item 6. [Reserved].</w:t>
              </w:r>
            </w:hyperlink>
          </w:p>
        </w:tc>
        <w:tc>
          <w:tcPr>
            <w:tcW w:w="154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69" w:lineRule="exact"/>
              <w:rPr>
                <w:rFonts w:ascii="Arial" w:cs="Arial" w:eastAsia="Arial" w:hAnsi="Arial"/>
                <w:sz w:val="15"/>
                <w:szCs w:val="15"/>
                <w:color w:val="0000FF"/>
                <w:w w:val="95"/>
              </w:rPr>
            </w:pPr>
            <w:hyperlink w:anchor="page24">
              <w:r>
                <w:rPr>
                  <w:rFonts w:ascii="Arial" w:cs="Arial" w:eastAsia="Arial" w:hAnsi="Arial"/>
                  <w:sz w:val="15"/>
                  <w:szCs w:val="15"/>
                  <w:color w:val="0000FF"/>
                  <w:w w:val="95"/>
                </w:rPr>
                <w:t>22</w:t>
              </w:r>
            </w:hyperlink>
          </w:p>
        </w:tc>
        <w:tc>
          <w:tcPr>
            <w:tcW w:w="40" w:type="dxa"/>
            <w:vAlign w:val="bottom"/>
          </w:tcPr>
          <w:p>
            <w:pPr>
              <w:spacing w:after="0"/>
              <w:rPr>
                <w:sz w:val="15"/>
                <w:szCs w:val="15"/>
                <w:color w:val="auto"/>
              </w:rPr>
            </w:pPr>
          </w:p>
        </w:tc>
      </w:tr>
      <w:tr>
        <w:trPr>
          <w:trHeight w:val="183"/>
        </w:trPr>
        <w:tc>
          <w:tcPr>
            <w:tcW w:w="9480" w:type="dxa"/>
            <w:vAlign w:val="bottom"/>
          </w:tcPr>
          <w:p>
            <w:pPr>
              <w:ind w:left="20"/>
              <w:spacing w:after="0"/>
              <w:rPr>
                <w:rFonts w:ascii="Arial" w:cs="Arial" w:eastAsia="Arial" w:hAnsi="Arial"/>
                <w:sz w:val="14"/>
                <w:szCs w:val="14"/>
                <w:color w:val="0000FF"/>
              </w:rPr>
            </w:pPr>
            <w:hyperlink w:anchor="page25">
              <w:r>
                <w:rPr>
                  <w:rFonts w:ascii="Arial" w:cs="Arial" w:eastAsia="Arial" w:hAnsi="Arial"/>
                  <w:sz w:val="14"/>
                  <w:szCs w:val="14"/>
                  <w:color w:val="0000FF"/>
                </w:rPr>
                <w:t>Item 7. Management’s Discussion and Analysis of Financial Condition and Results of Operations.</w:t>
              </w:r>
            </w:hyperlink>
          </w:p>
        </w:tc>
        <w:tc>
          <w:tcPr>
            <w:tcW w:w="154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69" w:lineRule="exact"/>
              <w:rPr>
                <w:rFonts w:ascii="Arial" w:cs="Arial" w:eastAsia="Arial" w:hAnsi="Arial"/>
                <w:sz w:val="15"/>
                <w:szCs w:val="15"/>
                <w:color w:val="0000FF"/>
                <w:w w:val="95"/>
              </w:rPr>
            </w:pPr>
            <w:hyperlink w:anchor="page25">
              <w:r>
                <w:rPr>
                  <w:rFonts w:ascii="Arial" w:cs="Arial" w:eastAsia="Arial" w:hAnsi="Arial"/>
                  <w:sz w:val="15"/>
                  <w:szCs w:val="15"/>
                  <w:color w:val="0000FF"/>
                  <w:w w:val="95"/>
                </w:rPr>
                <w:t>22</w:t>
              </w:r>
            </w:hyperlink>
          </w:p>
        </w:tc>
        <w:tc>
          <w:tcPr>
            <w:tcW w:w="40" w:type="dxa"/>
            <w:vAlign w:val="bottom"/>
          </w:tcPr>
          <w:p>
            <w:pPr>
              <w:spacing w:after="0"/>
              <w:rPr>
                <w:sz w:val="15"/>
                <w:szCs w:val="15"/>
                <w:color w:val="auto"/>
              </w:rPr>
            </w:pPr>
          </w:p>
        </w:tc>
      </w:tr>
      <w:tr>
        <w:trPr>
          <w:trHeight w:val="183"/>
        </w:trPr>
        <w:tc>
          <w:tcPr>
            <w:tcW w:w="9480" w:type="dxa"/>
            <w:vAlign w:val="bottom"/>
          </w:tcPr>
          <w:p>
            <w:pPr>
              <w:ind w:left="20"/>
              <w:spacing w:after="0"/>
              <w:rPr>
                <w:rFonts w:ascii="Arial" w:cs="Arial" w:eastAsia="Arial" w:hAnsi="Arial"/>
                <w:sz w:val="14"/>
                <w:szCs w:val="14"/>
                <w:color w:val="0000FF"/>
              </w:rPr>
            </w:pPr>
            <w:hyperlink w:anchor="page46">
              <w:r>
                <w:rPr>
                  <w:rFonts w:ascii="Arial" w:cs="Arial" w:eastAsia="Arial" w:hAnsi="Arial"/>
                  <w:sz w:val="14"/>
                  <w:szCs w:val="14"/>
                  <w:color w:val="0000FF"/>
                </w:rPr>
                <w:t>Item 7A. Quantitative and Qualitative Disclosures About Market Risk.</w:t>
              </w:r>
            </w:hyperlink>
          </w:p>
        </w:tc>
        <w:tc>
          <w:tcPr>
            <w:tcW w:w="154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69" w:lineRule="exact"/>
              <w:rPr>
                <w:rFonts w:ascii="Arial" w:cs="Arial" w:eastAsia="Arial" w:hAnsi="Arial"/>
                <w:sz w:val="15"/>
                <w:szCs w:val="15"/>
                <w:color w:val="0000FF"/>
                <w:w w:val="95"/>
              </w:rPr>
            </w:pPr>
            <w:hyperlink w:anchor="page46">
              <w:r>
                <w:rPr>
                  <w:rFonts w:ascii="Arial" w:cs="Arial" w:eastAsia="Arial" w:hAnsi="Arial"/>
                  <w:sz w:val="15"/>
                  <w:szCs w:val="15"/>
                  <w:color w:val="0000FF"/>
                  <w:w w:val="95"/>
                </w:rPr>
                <w:t>44</w:t>
              </w:r>
            </w:hyperlink>
          </w:p>
        </w:tc>
        <w:tc>
          <w:tcPr>
            <w:tcW w:w="40" w:type="dxa"/>
            <w:vAlign w:val="bottom"/>
          </w:tcPr>
          <w:p>
            <w:pPr>
              <w:spacing w:after="0"/>
              <w:rPr>
                <w:sz w:val="15"/>
                <w:szCs w:val="15"/>
                <w:color w:val="auto"/>
              </w:rPr>
            </w:pPr>
          </w:p>
        </w:tc>
      </w:tr>
      <w:tr>
        <w:trPr>
          <w:trHeight w:val="183"/>
        </w:trPr>
        <w:tc>
          <w:tcPr>
            <w:tcW w:w="9480" w:type="dxa"/>
            <w:vAlign w:val="bottom"/>
          </w:tcPr>
          <w:p>
            <w:pPr>
              <w:ind w:left="20"/>
              <w:spacing w:after="0"/>
              <w:rPr>
                <w:rFonts w:ascii="Arial" w:cs="Arial" w:eastAsia="Arial" w:hAnsi="Arial"/>
                <w:sz w:val="14"/>
                <w:szCs w:val="14"/>
                <w:color w:val="0000FF"/>
              </w:rPr>
            </w:pPr>
            <w:hyperlink w:anchor="page47">
              <w:r>
                <w:rPr>
                  <w:rFonts w:ascii="Arial" w:cs="Arial" w:eastAsia="Arial" w:hAnsi="Arial"/>
                  <w:sz w:val="14"/>
                  <w:szCs w:val="14"/>
                  <w:color w:val="0000FF"/>
                </w:rPr>
                <w:t>Item 8. Financial Statements and Supplementary Data.</w:t>
              </w:r>
            </w:hyperlink>
          </w:p>
        </w:tc>
        <w:tc>
          <w:tcPr>
            <w:tcW w:w="154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69" w:lineRule="exact"/>
              <w:rPr>
                <w:rFonts w:ascii="Arial" w:cs="Arial" w:eastAsia="Arial" w:hAnsi="Arial"/>
                <w:sz w:val="15"/>
                <w:szCs w:val="15"/>
                <w:color w:val="0000FF"/>
                <w:w w:val="95"/>
              </w:rPr>
            </w:pPr>
            <w:hyperlink w:anchor="page47">
              <w:r>
                <w:rPr>
                  <w:rFonts w:ascii="Arial" w:cs="Arial" w:eastAsia="Arial" w:hAnsi="Arial"/>
                  <w:sz w:val="15"/>
                  <w:szCs w:val="15"/>
                  <w:color w:val="0000FF"/>
                  <w:w w:val="95"/>
                </w:rPr>
                <w:t>45</w:t>
              </w:r>
            </w:hyperlink>
          </w:p>
        </w:tc>
        <w:tc>
          <w:tcPr>
            <w:tcW w:w="40" w:type="dxa"/>
            <w:vAlign w:val="bottom"/>
          </w:tcPr>
          <w:p>
            <w:pPr>
              <w:spacing w:after="0"/>
              <w:rPr>
                <w:sz w:val="15"/>
                <w:szCs w:val="15"/>
                <w:color w:val="auto"/>
              </w:rPr>
            </w:pPr>
          </w:p>
        </w:tc>
      </w:tr>
      <w:tr>
        <w:trPr>
          <w:trHeight w:val="183"/>
        </w:trPr>
        <w:tc>
          <w:tcPr>
            <w:tcW w:w="9480" w:type="dxa"/>
            <w:vAlign w:val="bottom"/>
          </w:tcPr>
          <w:p>
            <w:pPr>
              <w:ind w:left="20"/>
              <w:spacing w:after="0"/>
              <w:rPr>
                <w:rFonts w:ascii="Arial" w:cs="Arial" w:eastAsia="Arial" w:hAnsi="Arial"/>
                <w:sz w:val="14"/>
                <w:szCs w:val="14"/>
                <w:color w:val="0000FF"/>
              </w:rPr>
            </w:pPr>
            <w:hyperlink w:anchor="page96">
              <w:r>
                <w:rPr>
                  <w:rFonts w:ascii="Arial" w:cs="Arial" w:eastAsia="Arial" w:hAnsi="Arial"/>
                  <w:sz w:val="14"/>
                  <w:szCs w:val="14"/>
                  <w:color w:val="0000FF"/>
                </w:rPr>
                <w:t>Item 9. Changes in and Disagreements With Accountants on Accounting and Financial Disclosure.</w:t>
              </w:r>
            </w:hyperlink>
          </w:p>
        </w:tc>
        <w:tc>
          <w:tcPr>
            <w:tcW w:w="154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69" w:lineRule="exact"/>
              <w:rPr>
                <w:rFonts w:ascii="Arial" w:cs="Arial" w:eastAsia="Arial" w:hAnsi="Arial"/>
                <w:sz w:val="15"/>
                <w:szCs w:val="15"/>
                <w:color w:val="0000FF"/>
                <w:w w:val="95"/>
              </w:rPr>
            </w:pPr>
            <w:hyperlink w:anchor="page96">
              <w:r>
                <w:rPr>
                  <w:rFonts w:ascii="Arial" w:cs="Arial" w:eastAsia="Arial" w:hAnsi="Arial"/>
                  <w:sz w:val="15"/>
                  <w:szCs w:val="15"/>
                  <w:color w:val="0000FF"/>
                  <w:w w:val="95"/>
                </w:rPr>
                <w:t>94</w:t>
              </w:r>
            </w:hyperlink>
          </w:p>
        </w:tc>
        <w:tc>
          <w:tcPr>
            <w:tcW w:w="40" w:type="dxa"/>
            <w:vAlign w:val="bottom"/>
          </w:tcPr>
          <w:p>
            <w:pPr>
              <w:spacing w:after="0"/>
              <w:rPr>
                <w:sz w:val="15"/>
                <w:szCs w:val="15"/>
                <w:color w:val="auto"/>
              </w:rPr>
            </w:pPr>
          </w:p>
        </w:tc>
      </w:tr>
      <w:tr>
        <w:trPr>
          <w:trHeight w:val="183"/>
        </w:trPr>
        <w:tc>
          <w:tcPr>
            <w:tcW w:w="9480" w:type="dxa"/>
            <w:vAlign w:val="bottom"/>
          </w:tcPr>
          <w:p>
            <w:pPr>
              <w:ind w:left="20"/>
              <w:spacing w:after="0"/>
              <w:rPr>
                <w:rFonts w:ascii="Arial" w:cs="Arial" w:eastAsia="Arial" w:hAnsi="Arial"/>
                <w:sz w:val="14"/>
                <w:szCs w:val="14"/>
                <w:color w:val="0000FF"/>
              </w:rPr>
            </w:pPr>
            <w:hyperlink w:anchor="page97">
              <w:r>
                <w:rPr>
                  <w:rFonts w:ascii="Arial" w:cs="Arial" w:eastAsia="Arial" w:hAnsi="Arial"/>
                  <w:sz w:val="14"/>
                  <w:szCs w:val="14"/>
                  <w:color w:val="0000FF"/>
                </w:rPr>
                <w:t>Item 9A. Controls and Procedures.</w:t>
              </w:r>
            </w:hyperlink>
          </w:p>
        </w:tc>
        <w:tc>
          <w:tcPr>
            <w:tcW w:w="154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69" w:lineRule="exact"/>
              <w:rPr>
                <w:rFonts w:ascii="Arial" w:cs="Arial" w:eastAsia="Arial" w:hAnsi="Arial"/>
                <w:sz w:val="15"/>
                <w:szCs w:val="15"/>
                <w:color w:val="0000FF"/>
                <w:w w:val="95"/>
              </w:rPr>
            </w:pPr>
            <w:hyperlink w:anchor="page97">
              <w:r>
                <w:rPr>
                  <w:rFonts w:ascii="Arial" w:cs="Arial" w:eastAsia="Arial" w:hAnsi="Arial"/>
                  <w:sz w:val="15"/>
                  <w:szCs w:val="15"/>
                  <w:color w:val="0000FF"/>
                  <w:w w:val="95"/>
                </w:rPr>
                <w:t>94</w:t>
              </w:r>
            </w:hyperlink>
          </w:p>
        </w:tc>
        <w:tc>
          <w:tcPr>
            <w:tcW w:w="40" w:type="dxa"/>
            <w:vAlign w:val="bottom"/>
          </w:tcPr>
          <w:p>
            <w:pPr>
              <w:spacing w:after="0"/>
              <w:rPr>
                <w:sz w:val="15"/>
                <w:szCs w:val="15"/>
                <w:color w:val="auto"/>
              </w:rPr>
            </w:pPr>
          </w:p>
        </w:tc>
      </w:tr>
      <w:tr>
        <w:trPr>
          <w:trHeight w:val="183"/>
        </w:trPr>
        <w:tc>
          <w:tcPr>
            <w:tcW w:w="9480" w:type="dxa"/>
            <w:vAlign w:val="bottom"/>
          </w:tcPr>
          <w:p>
            <w:pPr>
              <w:ind w:left="20"/>
              <w:spacing w:after="0"/>
              <w:rPr>
                <w:rFonts w:ascii="Arial" w:cs="Arial" w:eastAsia="Arial" w:hAnsi="Arial"/>
                <w:sz w:val="14"/>
                <w:szCs w:val="14"/>
                <w:color w:val="0000FF"/>
              </w:rPr>
            </w:pPr>
            <w:hyperlink w:anchor="page97">
              <w:r>
                <w:rPr>
                  <w:rFonts w:ascii="Arial" w:cs="Arial" w:eastAsia="Arial" w:hAnsi="Arial"/>
                  <w:sz w:val="14"/>
                  <w:szCs w:val="14"/>
                  <w:color w:val="0000FF"/>
                </w:rPr>
                <w:t>Item 9B. Other Information.</w:t>
              </w:r>
            </w:hyperlink>
          </w:p>
        </w:tc>
        <w:tc>
          <w:tcPr>
            <w:tcW w:w="154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69" w:lineRule="exact"/>
              <w:rPr>
                <w:rFonts w:ascii="Arial" w:cs="Arial" w:eastAsia="Arial" w:hAnsi="Arial"/>
                <w:sz w:val="15"/>
                <w:szCs w:val="15"/>
                <w:color w:val="0000FF"/>
                <w:w w:val="95"/>
              </w:rPr>
            </w:pPr>
            <w:hyperlink w:anchor="page97">
              <w:r>
                <w:rPr>
                  <w:rFonts w:ascii="Arial" w:cs="Arial" w:eastAsia="Arial" w:hAnsi="Arial"/>
                  <w:sz w:val="15"/>
                  <w:szCs w:val="15"/>
                  <w:color w:val="0000FF"/>
                  <w:w w:val="95"/>
                </w:rPr>
                <w:t>95</w:t>
              </w:r>
            </w:hyperlink>
          </w:p>
        </w:tc>
        <w:tc>
          <w:tcPr>
            <w:tcW w:w="40" w:type="dxa"/>
            <w:vAlign w:val="bottom"/>
          </w:tcPr>
          <w:p>
            <w:pPr>
              <w:spacing w:after="0"/>
              <w:rPr>
                <w:sz w:val="15"/>
                <w:szCs w:val="15"/>
                <w:color w:val="auto"/>
              </w:rPr>
            </w:pPr>
          </w:p>
        </w:tc>
      </w:tr>
      <w:tr>
        <w:trPr>
          <w:trHeight w:val="183"/>
        </w:trPr>
        <w:tc>
          <w:tcPr>
            <w:tcW w:w="9480" w:type="dxa"/>
            <w:vAlign w:val="bottom"/>
          </w:tcPr>
          <w:p>
            <w:pPr>
              <w:ind w:left="20"/>
              <w:spacing w:after="0"/>
              <w:rPr>
                <w:rFonts w:ascii="Arial" w:cs="Arial" w:eastAsia="Arial" w:hAnsi="Arial"/>
                <w:sz w:val="14"/>
                <w:szCs w:val="14"/>
                <w:b w:val="1"/>
                <w:bCs w:val="1"/>
                <w:color w:val="0000FF"/>
              </w:rPr>
            </w:pPr>
            <w:hyperlink w:anchor="page98">
              <w:r>
                <w:rPr>
                  <w:rFonts w:ascii="Arial" w:cs="Arial" w:eastAsia="Arial" w:hAnsi="Arial"/>
                  <w:sz w:val="14"/>
                  <w:szCs w:val="14"/>
                  <w:b w:val="1"/>
                  <w:bCs w:val="1"/>
                  <w:color w:val="0000FF"/>
                </w:rPr>
                <w:t>PART III</w:t>
              </w:r>
            </w:hyperlink>
          </w:p>
        </w:tc>
        <w:tc>
          <w:tcPr>
            <w:tcW w:w="154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69" w:lineRule="exact"/>
              <w:rPr>
                <w:rFonts w:ascii="Arial" w:cs="Arial" w:eastAsia="Arial" w:hAnsi="Arial"/>
                <w:sz w:val="15"/>
                <w:szCs w:val="15"/>
                <w:color w:val="0000FF"/>
                <w:w w:val="95"/>
              </w:rPr>
            </w:pPr>
            <w:hyperlink w:anchor="page98">
              <w:r>
                <w:rPr>
                  <w:rFonts w:ascii="Arial" w:cs="Arial" w:eastAsia="Arial" w:hAnsi="Arial"/>
                  <w:sz w:val="15"/>
                  <w:szCs w:val="15"/>
                  <w:color w:val="0000FF"/>
                  <w:w w:val="95"/>
                </w:rPr>
                <w:t>96</w:t>
              </w:r>
            </w:hyperlink>
          </w:p>
        </w:tc>
        <w:tc>
          <w:tcPr>
            <w:tcW w:w="40" w:type="dxa"/>
            <w:vAlign w:val="bottom"/>
          </w:tcPr>
          <w:p>
            <w:pPr>
              <w:spacing w:after="0"/>
              <w:rPr>
                <w:sz w:val="15"/>
                <w:szCs w:val="15"/>
                <w:color w:val="auto"/>
              </w:rPr>
            </w:pPr>
          </w:p>
        </w:tc>
      </w:tr>
      <w:tr>
        <w:trPr>
          <w:trHeight w:val="183"/>
        </w:trPr>
        <w:tc>
          <w:tcPr>
            <w:tcW w:w="9480" w:type="dxa"/>
            <w:vAlign w:val="bottom"/>
          </w:tcPr>
          <w:p>
            <w:pPr>
              <w:ind w:left="20"/>
              <w:spacing w:after="0"/>
              <w:rPr>
                <w:rFonts w:ascii="Arial" w:cs="Arial" w:eastAsia="Arial" w:hAnsi="Arial"/>
                <w:sz w:val="14"/>
                <w:szCs w:val="14"/>
                <w:color w:val="0000FF"/>
              </w:rPr>
            </w:pPr>
            <w:hyperlink w:anchor="page99">
              <w:r>
                <w:rPr>
                  <w:rFonts w:ascii="Arial" w:cs="Arial" w:eastAsia="Arial" w:hAnsi="Arial"/>
                  <w:sz w:val="14"/>
                  <w:szCs w:val="14"/>
                  <w:color w:val="0000FF"/>
                </w:rPr>
                <w:t>Item 10. Directors, Executive Officers and Corporate Governance.</w:t>
              </w:r>
            </w:hyperlink>
          </w:p>
        </w:tc>
        <w:tc>
          <w:tcPr>
            <w:tcW w:w="154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69" w:lineRule="exact"/>
              <w:rPr>
                <w:rFonts w:ascii="Arial" w:cs="Arial" w:eastAsia="Arial" w:hAnsi="Arial"/>
                <w:sz w:val="15"/>
                <w:szCs w:val="15"/>
                <w:color w:val="0000FF"/>
                <w:w w:val="95"/>
              </w:rPr>
            </w:pPr>
            <w:hyperlink w:anchor="page99">
              <w:r>
                <w:rPr>
                  <w:rFonts w:ascii="Arial" w:cs="Arial" w:eastAsia="Arial" w:hAnsi="Arial"/>
                  <w:sz w:val="15"/>
                  <w:szCs w:val="15"/>
                  <w:color w:val="0000FF"/>
                  <w:w w:val="95"/>
                </w:rPr>
                <w:t>96</w:t>
              </w:r>
            </w:hyperlink>
          </w:p>
        </w:tc>
        <w:tc>
          <w:tcPr>
            <w:tcW w:w="40" w:type="dxa"/>
            <w:vAlign w:val="bottom"/>
          </w:tcPr>
          <w:p>
            <w:pPr>
              <w:spacing w:after="0"/>
              <w:rPr>
                <w:sz w:val="15"/>
                <w:szCs w:val="15"/>
                <w:color w:val="auto"/>
              </w:rPr>
            </w:pPr>
          </w:p>
        </w:tc>
      </w:tr>
      <w:tr>
        <w:trPr>
          <w:trHeight w:val="182"/>
        </w:trPr>
        <w:tc>
          <w:tcPr>
            <w:tcW w:w="9480" w:type="dxa"/>
            <w:vAlign w:val="bottom"/>
          </w:tcPr>
          <w:p>
            <w:pPr>
              <w:ind w:left="20"/>
              <w:spacing w:after="0"/>
              <w:rPr>
                <w:rFonts w:ascii="Arial" w:cs="Arial" w:eastAsia="Arial" w:hAnsi="Arial"/>
                <w:sz w:val="14"/>
                <w:szCs w:val="14"/>
                <w:color w:val="0000FF"/>
              </w:rPr>
            </w:pPr>
            <w:hyperlink w:anchor="page99">
              <w:r>
                <w:rPr>
                  <w:rFonts w:ascii="Arial" w:cs="Arial" w:eastAsia="Arial" w:hAnsi="Arial"/>
                  <w:sz w:val="14"/>
                  <w:szCs w:val="14"/>
                  <w:color w:val="0000FF"/>
                </w:rPr>
                <w:t>Item 11. Executive Compensation.</w:t>
              </w:r>
            </w:hyperlink>
          </w:p>
        </w:tc>
        <w:tc>
          <w:tcPr>
            <w:tcW w:w="154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69" w:lineRule="exact"/>
              <w:rPr>
                <w:rFonts w:ascii="Arial" w:cs="Arial" w:eastAsia="Arial" w:hAnsi="Arial"/>
                <w:sz w:val="15"/>
                <w:szCs w:val="15"/>
                <w:color w:val="0000FF"/>
                <w:w w:val="95"/>
              </w:rPr>
            </w:pPr>
            <w:hyperlink w:anchor="page99">
              <w:r>
                <w:rPr>
                  <w:rFonts w:ascii="Arial" w:cs="Arial" w:eastAsia="Arial" w:hAnsi="Arial"/>
                  <w:sz w:val="15"/>
                  <w:szCs w:val="15"/>
                  <w:color w:val="0000FF"/>
                  <w:w w:val="95"/>
                </w:rPr>
                <w:t>96</w:t>
              </w:r>
            </w:hyperlink>
          </w:p>
        </w:tc>
        <w:tc>
          <w:tcPr>
            <w:tcW w:w="40" w:type="dxa"/>
            <w:vAlign w:val="bottom"/>
          </w:tcPr>
          <w:p>
            <w:pPr>
              <w:spacing w:after="0"/>
              <w:rPr>
                <w:sz w:val="15"/>
                <w:szCs w:val="15"/>
                <w:color w:val="auto"/>
              </w:rPr>
            </w:pPr>
          </w:p>
        </w:tc>
      </w:tr>
      <w:tr>
        <w:trPr>
          <w:trHeight w:val="183"/>
        </w:trPr>
        <w:tc>
          <w:tcPr>
            <w:tcW w:w="9480" w:type="dxa"/>
            <w:vAlign w:val="bottom"/>
          </w:tcPr>
          <w:p>
            <w:pPr>
              <w:ind w:left="20"/>
              <w:spacing w:after="0"/>
              <w:rPr>
                <w:rFonts w:ascii="Arial" w:cs="Arial" w:eastAsia="Arial" w:hAnsi="Arial"/>
                <w:sz w:val="14"/>
                <w:szCs w:val="14"/>
                <w:color w:val="0000FF"/>
              </w:rPr>
            </w:pPr>
            <w:hyperlink w:anchor="page99">
              <w:r>
                <w:rPr>
                  <w:rFonts w:ascii="Arial" w:cs="Arial" w:eastAsia="Arial" w:hAnsi="Arial"/>
                  <w:sz w:val="14"/>
                  <w:szCs w:val="14"/>
                  <w:color w:val="0000FF"/>
                </w:rPr>
                <w:t>Item 12. Security Ownership of Certain Beneficial Owners and Management and Related Stockholder Matters.</w:t>
              </w:r>
            </w:hyperlink>
          </w:p>
        </w:tc>
        <w:tc>
          <w:tcPr>
            <w:tcW w:w="154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69" w:lineRule="exact"/>
              <w:rPr>
                <w:rFonts w:ascii="Arial" w:cs="Arial" w:eastAsia="Arial" w:hAnsi="Arial"/>
                <w:sz w:val="15"/>
                <w:szCs w:val="15"/>
                <w:color w:val="0000FF"/>
                <w:w w:val="95"/>
              </w:rPr>
            </w:pPr>
            <w:hyperlink w:anchor="page99">
              <w:r>
                <w:rPr>
                  <w:rFonts w:ascii="Arial" w:cs="Arial" w:eastAsia="Arial" w:hAnsi="Arial"/>
                  <w:sz w:val="15"/>
                  <w:szCs w:val="15"/>
                  <w:color w:val="0000FF"/>
                  <w:w w:val="95"/>
                </w:rPr>
                <w:t>96</w:t>
              </w:r>
            </w:hyperlink>
          </w:p>
        </w:tc>
        <w:tc>
          <w:tcPr>
            <w:tcW w:w="40" w:type="dxa"/>
            <w:vAlign w:val="bottom"/>
          </w:tcPr>
          <w:p>
            <w:pPr>
              <w:spacing w:after="0"/>
              <w:rPr>
                <w:sz w:val="15"/>
                <w:szCs w:val="15"/>
                <w:color w:val="auto"/>
              </w:rPr>
            </w:pPr>
          </w:p>
        </w:tc>
      </w:tr>
      <w:tr>
        <w:trPr>
          <w:trHeight w:val="183"/>
        </w:trPr>
        <w:tc>
          <w:tcPr>
            <w:tcW w:w="9480" w:type="dxa"/>
            <w:vAlign w:val="bottom"/>
          </w:tcPr>
          <w:p>
            <w:pPr>
              <w:ind w:left="20"/>
              <w:spacing w:after="0"/>
              <w:rPr>
                <w:rFonts w:ascii="Arial" w:cs="Arial" w:eastAsia="Arial" w:hAnsi="Arial"/>
                <w:sz w:val="14"/>
                <w:szCs w:val="14"/>
                <w:color w:val="0000FF"/>
              </w:rPr>
            </w:pPr>
            <w:hyperlink w:anchor="page99">
              <w:r>
                <w:rPr>
                  <w:rFonts w:ascii="Arial" w:cs="Arial" w:eastAsia="Arial" w:hAnsi="Arial"/>
                  <w:sz w:val="14"/>
                  <w:szCs w:val="14"/>
                  <w:color w:val="0000FF"/>
                </w:rPr>
                <w:t>Item 13. Certain Relationships and Related Transactions, and Director Independence.</w:t>
              </w:r>
            </w:hyperlink>
          </w:p>
        </w:tc>
        <w:tc>
          <w:tcPr>
            <w:tcW w:w="154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69" w:lineRule="exact"/>
              <w:rPr>
                <w:rFonts w:ascii="Arial" w:cs="Arial" w:eastAsia="Arial" w:hAnsi="Arial"/>
                <w:sz w:val="15"/>
                <w:szCs w:val="15"/>
                <w:color w:val="0000FF"/>
                <w:w w:val="95"/>
              </w:rPr>
            </w:pPr>
            <w:hyperlink w:anchor="page99">
              <w:r>
                <w:rPr>
                  <w:rFonts w:ascii="Arial" w:cs="Arial" w:eastAsia="Arial" w:hAnsi="Arial"/>
                  <w:sz w:val="15"/>
                  <w:szCs w:val="15"/>
                  <w:color w:val="0000FF"/>
                  <w:w w:val="95"/>
                </w:rPr>
                <w:t>96</w:t>
              </w:r>
            </w:hyperlink>
          </w:p>
        </w:tc>
        <w:tc>
          <w:tcPr>
            <w:tcW w:w="40" w:type="dxa"/>
            <w:vAlign w:val="bottom"/>
          </w:tcPr>
          <w:p>
            <w:pPr>
              <w:spacing w:after="0"/>
              <w:rPr>
                <w:sz w:val="15"/>
                <w:szCs w:val="15"/>
                <w:color w:val="auto"/>
              </w:rPr>
            </w:pPr>
          </w:p>
        </w:tc>
      </w:tr>
      <w:tr>
        <w:trPr>
          <w:trHeight w:val="183"/>
        </w:trPr>
        <w:tc>
          <w:tcPr>
            <w:tcW w:w="9480" w:type="dxa"/>
            <w:vAlign w:val="bottom"/>
          </w:tcPr>
          <w:p>
            <w:pPr>
              <w:ind w:left="20"/>
              <w:spacing w:after="0"/>
              <w:rPr>
                <w:rFonts w:ascii="Arial" w:cs="Arial" w:eastAsia="Arial" w:hAnsi="Arial"/>
                <w:sz w:val="14"/>
                <w:szCs w:val="14"/>
                <w:color w:val="0000FF"/>
              </w:rPr>
            </w:pPr>
            <w:hyperlink w:anchor="page99">
              <w:r>
                <w:rPr>
                  <w:rFonts w:ascii="Arial" w:cs="Arial" w:eastAsia="Arial" w:hAnsi="Arial"/>
                  <w:sz w:val="14"/>
                  <w:szCs w:val="14"/>
                  <w:color w:val="0000FF"/>
                </w:rPr>
                <w:t>Item 14. Principal Accounting Fees and Services.</w:t>
              </w:r>
            </w:hyperlink>
          </w:p>
        </w:tc>
        <w:tc>
          <w:tcPr>
            <w:tcW w:w="154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69" w:lineRule="exact"/>
              <w:rPr>
                <w:rFonts w:ascii="Arial" w:cs="Arial" w:eastAsia="Arial" w:hAnsi="Arial"/>
                <w:sz w:val="15"/>
                <w:szCs w:val="15"/>
                <w:color w:val="0000FF"/>
                <w:w w:val="95"/>
              </w:rPr>
            </w:pPr>
            <w:hyperlink w:anchor="page99">
              <w:r>
                <w:rPr>
                  <w:rFonts w:ascii="Arial" w:cs="Arial" w:eastAsia="Arial" w:hAnsi="Arial"/>
                  <w:sz w:val="15"/>
                  <w:szCs w:val="15"/>
                  <w:color w:val="0000FF"/>
                  <w:w w:val="95"/>
                </w:rPr>
                <w:t>96</w:t>
              </w:r>
            </w:hyperlink>
          </w:p>
        </w:tc>
        <w:tc>
          <w:tcPr>
            <w:tcW w:w="40" w:type="dxa"/>
            <w:vAlign w:val="bottom"/>
          </w:tcPr>
          <w:p>
            <w:pPr>
              <w:spacing w:after="0"/>
              <w:rPr>
                <w:sz w:val="15"/>
                <w:szCs w:val="15"/>
                <w:color w:val="auto"/>
              </w:rPr>
            </w:pPr>
          </w:p>
        </w:tc>
      </w:tr>
      <w:tr>
        <w:trPr>
          <w:trHeight w:val="183"/>
        </w:trPr>
        <w:tc>
          <w:tcPr>
            <w:tcW w:w="9480" w:type="dxa"/>
            <w:vAlign w:val="bottom"/>
          </w:tcPr>
          <w:p>
            <w:pPr>
              <w:ind w:left="20"/>
              <w:spacing w:after="0"/>
              <w:rPr>
                <w:rFonts w:ascii="Arial" w:cs="Arial" w:eastAsia="Arial" w:hAnsi="Arial"/>
                <w:sz w:val="14"/>
                <w:szCs w:val="14"/>
                <w:b w:val="1"/>
                <w:bCs w:val="1"/>
                <w:color w:val="0000FF"/>
              </w:rPr>
            </w:pPr>
            <w:hyperlink w:anchor="page99">
              <w:r>
                <w:rPr>
                  <w:rFonts w:ascii="Arial" w:cs="Arial" w:eastAsia="Arial" w:hAnsi="Arial"/>
                  <w:sz w:val="14"/>
                  <w:szCs w:val="14"/>
                  <w:b w:val="1"/>
                  <w:bCs w:val="1"/>
                  <w:color w:val="0000FF"/>
                </w:rPr>
                <w:t>PART IV</w:t>
              </w:r>
            </w:hyperlink>
          </w:p>
        </w:tc>
        <w:tc>
          <w:tcPr>
            <w:tcW w:w="154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69" w:lineRule="exact"/>
              <w:rPr>
                <w:rFonts w:ascii="Arial" w:cs="Arial" w:eastAsia="Arial" w:hAnsi="Arial"/>
                <w:sz w:val="15"/>
                <w:szCs w:val="15"/>
                <w:color w:val="0000FF"/>
                <w:w w:val="95"/>
              </w:rPr>
            </w:pPr>
            <w:hyperlink w:anchor="page99">
              <w:r>
                <w:rPr>
                  <w:rFonts w:ascii="Arial" w:cs="Arial" w:eastAsia="Arial" w:hAnsi="Arial"/>
                  <w:sz w:val="15"/>
                  <w:szCs w:val="15"/>
                  <w:color w:val="0000FF"/>
                  <w:w w:val="95"/>
                </w:rPr>
                <w:t>97</w:t>
              </w:r>
            </w:hyperlink>
          </w:p>
        </w:tc>
        <w:tc>
          <w:tcPr>
            <w:tcW w:w="40" w:type="dxa"/>
            <w:vAlign w:val="bottom"/>
          </w:tcPr>
          <w:p>
            <w:pPr>
              <w:spacing w:after="0"/>
              <w:rPr>
                <w:sz w:val="15"/>
                <w:szCs w:val="15"/>
                <w:color w:val="auto"/>
              </w:rPr>
            </w:pPr>
          </w:p>
        </w:tc>
      </w:tr>
      <w:tr>
        <w:trPr>
          <w:trHeight w:val="183"/>
        </w:trPr>
        <w:tc>
          <w:tcPr>
            <w:tcW w:w="9480" w:type="dxa"/>
            <w:vAlign w:val="bottom"/>
          </w:tcPr>
          <w:p>
            <w:pPr>
              <w:ind w:left="20"/>
              <w:spacing w:after="0"/>
              <w:rPr>
                <w:rFonts w:ascii="Arial" w:cs="Arial" w:eastAsia="Arial" w:hAnsi="Arial"/>
                <w:sz w:val="14"/>
                <w:szCs w:val="14"/>
                <w:color w:val="0000FF"/>
              </w:rPr>
            </w:pPr>
            <w:hyperlink w:anchor="page100">
              <w:r>
                <w:rPr>
                  <w:rFonts w:ascii="Arial" w:cs="Arial" w:eastAsia="Arial" w:hAnsi="Arial"/>
                  <w:sz w:val="14"/>
                  <w:szCs w:val="14"/>
                  <w:color w:val="0000FF"/>
                </w:rPr>
                <w:t>Item 15. Exhibits, Financial Statement Schedules.</w:t>
              </w:r>
            </w:hyperlink>
          </w:p>
        </w:tc>
        <w:tc>
          <w:tcPr>
            <w:tcW w:w="154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69" w:lineRule="exact"/>
              <w:rPr>
                <w:rFonts w:ascii="Arial" w:cs="Arial" w:eastAsia="Arial" w:hAnsi="Arial"/>
                <w:sz w:val="15"/>
                <w:szCs w:val="15"/>
                <w:color w:val="0000FF"/>
                <w:w w:val="95"/>
              </w:rPr>
            </w:pPr>
            <w:hyperlink w:anchor="page100">
              <w:r>
                <w:rPr>
                  <w:rFonts w:ascii="Arial" w:cs="Arial" w:eastAsia="Arial" w:hAnsi="Arial"/>
                  <w:sz w:val="15"/>
                  <w:szCs w:val="15"/>
                  <w:color w:val="0000FF"/>
                  <w:w w:val="95"/>
                </w:rPr>
                <w:t>97</w:t>
              </w:r>
            </w:hyperlink>
          </w:p>
        </w:tc>
        <w:tc>
          <w:tcPr>
            <w:tcW w:w="40" w:type="dxa"/>
            <w:vAlign w:val="bottom"/>
          </w:tcPr>
          <w:p>
            <w:pPr>
              <w:spacing w:after="0"/>
              <w:rPr>
                <w:sz w:val="15"/>
                <w:szCs w:val="15"/>
                <w:color w:val="auto"/>
              </w:rPr>
            </w:pPr>
          </w:p>
        </w:tc>
      </w:tr>
      <w:tr>
        <w:trPr>
          <w:trHeight w:val="183"/>
        </w:trPr>
        <w:tc>
          <w:tcPr>
            <w:tcW w:w="9480" w:type="dxa"/>
            <w:vAlign w:val="bottom"/>
          </w:tcPr>
          <w:p>
            <w:pPr>
              <w:ind w:left="20"/>
              <w:spacing w:after="0"/>
              <w:rPr>
                <w:rFonts w:ascii="Arial" w:cs="Arial" w:eastAsia="Arial" w:hAnsi="Arial"/>
                <w:sz w:val="14"/>
                <w:szCs w:val="14"/>
                <w:b w:val="1"/>
                <w:bCs w:val="1"/>
                <w:color w:val="0000FF"/>
              </w:rPr>
            </w:pPr>
            <w:hyperlink w:anchor="page105">
              <w:r>
                <w:rPr>
                  <w:rFonts w:ascii="Arial" w:cs="Arial" w:eastAsia="Arial" w:hAnsi="Arial"/>
                  <w:sz w:val="14"/>
                  <w:szCs w:val="14"/>
                  <w:b w:val="1"/>
                  <w:bCs w:val="1"/>
                  <w:color w:val="0000FF"/>
                </w:rPr>
                <w:t>SIGNATURES</w:t>
              </w:r>
            </w:hyperlink>
          </w:p>
        </w:tc>
        <w:tc>
          <w:tcPr>
            <w:tcW w:w="1720" w:type="dxa"/>
            <w:vAlign w:val="bottom"/>
            <w:gridSpan w:val="4"/>
          </w:tcPr>
          <w:p>
            <w:pPr>
              <w:jc w:val="right"/>
              <w:spacing w:after="0" w:line="169" w:lineRule="exact"/>
              <w:rPr>
                <w:rFonts w:ascii="Arial" w:cs="Arial" w:eastAsia="Arial" w:hAnsi="Arial"/>
                <w:sz w:val="15"/>
                <w:szCs w:val="15"/>
                <w:color w:val="0000FF"/>
              </w:rPr>
            </w:pPr>
            <w:hyperlink w:anchor="page105">
              <w:r>
                <w:rPr>
                  <w:rFonts w:ascii="Arial" w:cs="Arial" w:eastAsia="Arial" w:hAnsi="Arial"/>
                  <w:sz w:val="15"/>
                  <w:szCs w:val="15"/>
                  <w:color w:val="0000FF"/>
                </w:rPr>
                <w:t>103</w:t>
              </w:r>
            </w:hyperlink>
          </w:p>
        </w:tc>
        <w:tc>
          <w:tcPr>
            <w:tcW w:w="40" w:type="dxa"/>
            <w:vAlign w:val="bottom"/>
          </w:tcPr>
          <w:p>
            <w:pPr>
              <w:spacing w:after="0"/>
              <w:rPr>
                <w:sz w:val="15"/>
                <w:szCs w:val="15"/>
                <w:color w:val="auto"/>
              </w:rPr>
            </w:pPr>
          </w:p>
        </w:tc>
      </w:tr>
      <w:tr>
        <w:trPr>
          <w:trHeight w:val="1310"/>
        </w:trPr>
        <w:tc>
          <w:tcPr>
            <w:tcW w:w="94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0046AD"/>
        </w:rPr>
        <w:t>FORWARD-LOOKING STATEMENTS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This Annual Report on Form 10-K for ABM Industries Incorporated and its subsidiaries (collectively referred to as “ABM,” “we,” “us,” “our,” or the “Company”) contains both historical and forward-looking statements, within the meaning of the Private Securities Litigation Reform Act of 1995, that involve risks and uncertainties.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Factors that might cause such differences include, but are not limited to, those discussed in Part 1 of this Form 10-K under Item 1A., “Risk Factors,” and 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0046AD"/>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General</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ABM Industries Incorporated, which operates through its subsidiaries (collectively referred to as “ABM,” “we,” “us,” “our,” or the “Company”), is a leading provider of integrated facility solutions with a mission to </w:t>
      </w:r>
      <w:r>
        <w:rPr>
          <w:rFonts w:ascii="Arial" w:cs="Arial" w:eastAsia="Arial" w:hAnsi="Arial"/>
          <w:sz w:val="18"/>
          <w:szCs w:val="18"/>
          <w:b w:val="1"/>
          <w:bCs w:val="1"/>
          <w:color w:val="003DA5"/>
        </w:rPr>
        <w:t>make a difference, every person, every day</w:t>
      </w:r>
      <w:r>
        <w:rPr>
          <w:rFonts w:ascii="Arial" w:cs="Arial" w:eastAsia="Arial" w:hAnsi="Arial"/>
          <w:sz w:val="18"/>
          <w:szCs w:val="18"/>
          <w:color w:val="auto"/>
        </w:rPr>
        <w:t>. Our history dates back to 1909, when American Building Maintenance Company began as a window washing company in San Francisco with one employee. In 1985, we were incorporated in Delaware under the name American Building Maintenance Industries, Inc., as the successor to the business originally founded in 1909. In 1994, we changed our name to ABM Industries Incorporated. Since that time, we have grown into a multi-segment facility solutions company, primarily through strategic acquisitions and new service offerings, increasing our revenue from $3 billion to more than $6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97790</wp:posOffset>
            </wp:positionV>
            <wp:extent cx="5863590" cy="22199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359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acquisition of OneSource in 2007 bolstered ABM as a leader in the janitorial market, while the Linc Group acquisition in 2010 established ABM as a “facility solutions” company with new service offerings, including lighting, mechanical, and electrical “technical solutions.” With demand increasing for industry-specific service providers, in 2012 we purchased Air Serv and established our first industry group, “aviation.” In recent years, we have strategically acquired companies in the United Kingdom (“U.K.”), particularly with the GBM and Westway acquisitions, which expanded our janitorial and technical solutions businesses overseas.</w:t>
      </w:r>
    </w:p>
    <w:p>
      <w:pPr>
        <w:spacing w:after="0" w:line="12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2015, we began a comprehensive transformational initiative (“</w:t>
      </w:r>
      <w:r>
        <w:rPr>
          <w:rFonts w:ascii="Arial" w:cs="Arial" w:eastAsia="Arial" w:hAnsi="Arial"/>
          <w:sz w:val="18"/>
          <w:szCs w:val="18"/>
          <w:b w:val="1"/>
          <w:bCs w:val="1"/>
          <w:color w:val="E98300"/>
        </w:rPr>
        <w:t>2020</w:t>
      </w:r>
      <w:r>
        <w:rPr>
          <w:rFonts w:ascii="Arial" w:cs="Arial" w:eastAsia="Arial" w:hAnsi="Arial"/>
          <w:sz w:val="18"/>
          <w:szCs w:val="18"/>
          <w:color w:val="auto"/>
        </w:rPr>
        <w:t xml:space="preserve"> </w:t>
      </w:r>
      <w:r>
        <w:rPr>
          <w:rFonts w:ascii="Arial" w:cs="Arial" w:eastAsia="Arial" w:hAnsi="Arial"/>
          <w:sz w:val="18"/>
          <w:szCs w:val="18"/>
          <w:b w:val="1"/>
          <w:bCs w:val="1"/>
          <w:color w:val="003DA5"/>
        </w:rPr>
        <w:t>Vision</w:t>
      </w:r>
      <w:r>
        <w:rPr>
          <w:rFonts w:ascii="Arial" w:cs="Arial" w:eastAsia="Arial" w:hAnsi="Arial"/>
          <w:sz w:val="18"/>
          <w:szCs w:val="18"/>
          <w:color w:val="auto"/>
        </w:rPr>
        <w:t>”) to drive long-term, profitable growth through an industry-based, go-to-market approach. As part of this initiative, we centralized key functional areas, strengthened our sales capabilities, and initiated investments in service delivery tools and processes to help support standard operating practices that we believe are foundational to our long-term success.</w:t>
      </w:r>
    </w:p>
    <w:p>
      <w:pPr>
        <w:spacing w:after="0" w:line="144"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As part of the transformation initiative, we also evaluated all of our service offerings and sold our Security and Government Services businesses, which did not align with our long-term focus on industry groups.</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2017, we acquired GCA Services Group (“GCA”), a provider of integrated facility services to educational institutions and commercial facilities, for approximately $1.3 billion, the largest acquisition in ABM history. The acquisition accelerated the Company’s position as a leading facility solutions provider in the education market.</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2021, we acquired Crown Building Maintenance Co. and Crown Energy Services, Inc. (collectively, “Able”), a leading facilities services company headquartered in San Francisco, California, with the goal to provide additional scaling to the Company’s core businesses and key geographies and bolstering ABM’s janitorial and facilities services service lines. In addition, the acquisition of Able (“the Able Acquisition”) further expands ABM’s sustainability and energy efficiency offerings amid growing demand for environmentally responsible solutions.</w:t>
      </w:r>
    </w:p>
    <w:p>
      <w:pPr>
        <w:spacing w:after="0" w:line="15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a result of these strategic changes, we have strengthened our ability to offer Janitorial, Parking, Facilities Services, Building &amp; Energy Solutions, and Airline Services, on a standalone basis or in combination, and positioned ourselves as a leading integrated facilities management company.</w:t>
      </w:r>
    </w:p>
    <w:p>
      <w:pPr>
        <w:sectPr>
          <w:pgSz w:w="11900" w:h="16838" w:orient="portrait"/>
          <w:cols w:equalWidth="0" w:num="1">
            <w:col w:w="11240"/>
          </w:cols>
          <w:pgMar w:left="320" w:top="1210"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type w:val="continuous"/>
        </w:sectPr>
      </w:pPr>
    </w:p>
    <w:bookmarkStart w:id="5" w:name="page6"/>
    <w:bookmarkEnd w:id="5"/>
    <w:p>
      <w:pPr>
        <w:ind w:left="660"/>
        <w:spacing w:after="0"/>
        <w:rPr>
          <w:sz w:val="20"/>
          <w:szCs w:val="20"/>
          <w:color w:val="auto"/>
        </w:rPr>
      </w:pPr>
      <w:r>
        <w:rPr>
          <w:rFonts w:ascii="Arial" w:cs="Arial" w:eastAsia="Arial" w:hAnsi="Arial"/>
          <w:sz w:val="18"/>
          <w:szCs w:val="18"/>
          <w:color w:val="auto"/>
        </w:rPr>
        <w:t>Unless otherwise indicated, all references to years are to our fiscal year, which ends on October 31.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Forward-Looking Strategic Plan</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Leveraging the various accomplishments achieved through </w:t>
      </w:r>
      <w:r>
        <w:rPr>
          <w:rFonts w:ascii="Arial" w:cs="Arial" w:eastAsia="Arial" w:hAnsi="Arial"/>
          <w:sz w:val="18"/>
          <w:szCs w:val="18"/>
          <w:b w:val="1"/>
          <w:bCs w:val="1"/>
          <w:color w:val="E98300"/>
        </w:rPr>
        <w:t>2020</w:t>
      </w:r>
      <w:r>
        <w:rPr>
          <w:rFonts w:ascii="Arial" w:cs="Arial" w:eastAsia="Arial" w:hAnsi="Arial"/>
          <w:sz w:val="18"/>
          <w:szCs w:val="18"/>
          <w:color w:val="auto"/>
        </w:rPr>
        <w:t xml:space="preserve"> </w:t>
      </w:r>
      <w:r>
        <w:rPr>
          <w:rFonts w:ascii="Arial" w:cs="Arial" w:eastAsia="Arial" w:hAnsi="Arial"/>
          <w:sz w:val="18"/>
          <w:szCs w:val="18"/>
          <w:b w:val="1"/>
          <w:bCs w:val="1"/>
          <w:color w:val="003DA5"/>
        </w:rPr>
        <w:t>Vision</w:t>
      </w:r>
      <w:r>
        <w:rPr>
          <w:rFonts w:ascii="Arial" w:cs="Arial" w:eastAsia="Arial" w:hAnsi="Arial"/>
          <w:sz w:val="18"/>
          <w:szCs w:val="18"/>
          <w:color w:val="auto"/>
        </w:rPr>
        <w:t xml:space="preserve">, the Company is embarking on the next step of our journey with a multi-year strategic plan called </w:t>
      </w:r>
      <w:r>
        <w:rPr>
          <w:rFonts w:ascii="Arial" w:cs="Arial" w:eastAsia="Arial" w:hAnsi="Arial"/>
          <w:sz w:val="18"/>
          <w:szCs w:val="18"/>
          <w:b w:val="1"/>
          <w:bCs w:val="1"/>
          <w:color w:val="E98300"/>
        </w:rPr>
        <w:t>ELEVATE</w:t>
      </w:r>
      <w:r>
        <w:rPr>
          <w:rFonts w:ascii="Arial" w:cs="Arial" w:eastAsia="Arial" w:hAnsi="Arial"/>
          <w:sz w:val="18"/>
          <w:szCs w:val="18"/>
          <w:color w:val="auto"/>
        </w:rPr>
        <w:t>. Our new strategy is designed to strengthen our industry leadership position through end-market repositioning and build on our core services, which we expect will drive significant long-term value for our stakeholders.</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Over the next four years, we plan to make significant investments totaling $150 - $175 million and implement various measures with the aim to </w:t>
      </w:r>
      <w:r>
        <w:rPr>
          <w:rFonts w:ascii="Arial" w:cs="Arial" w:eastAsia="Arial" w:hAnsi="Arial"/>
          <w:sz w:val="18"/>
          <w:szCs w:val="18"/>
          <w:b w:val="1"/>
          <w:bCs w:val="1"/>
          <w:color w:val="E98300"/>
        </w:rPr>
        <w:t>ELEVATE</w:t>
      </w:r>
      <w:r>
        <w:rPr>
          <w:rFonts w:ascii="Arial" w:cs="Arial" w:eastAsia="Arial" w:hAnsi="Arial"/>
          <w:sz w:val="18"/>
          <w:szCs w:val="18"/>
          <w:color w:val="auto"/>
        </w:rPr>
        <w:t>:</w:t>
      </w:r>
    </w:p>
    <w:p>
      <w:pPr>
        <w:spacing w:after="0" w:line="225" w:lineRule="exact"/>
        <w:rPr>
          <w:sz w:val="20"/>
          <w:szCs w:val="20"/>
          <w:color w:val="auto"/>
        </w:rPr>
      </w:pPr>
    </w:p>
    <w:p>
      <w:pPr>
        <w:ind w:left="660" w:hanging="328"/>
        <w:spacing w:after="0" w:line="222"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18"/>
          <w:szCs w:val="18"/>
          <w:color w:val="auto"/>
        </w:rPr>
        <w:t>the client experience, by serving as a trusted advisor who can provide innovative multiservice solutions and consistent service delivery;</w:t>
      </w:r>
    </w:p>
    <w:p>
      <w:pPr>
        <w:spacing w:after="0" w:line="243" w:lineRule="exact"/>
        <w:rPr>
          <w:rFonts w:ascii="Arial" w:cs="Arial" w:eastAsia="Arial" w:hAnsi="Arial"/>
          <w:sz w:val="20"/>
          <w:szCs w:val="20"/>
          <w:color w:val="auto"/>
        </w:rPr>
      </w:pPr>
    </w:p>
    <w:p>
      <w:pPr>
        <w:ind w:left="660" w:hanging="328"/>
        <w:spacing w:after="0" w:line="237"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18"/>
          <w:szCs w:val="18"/>
          <w:color w:val="auto"/>
        </w:rPr>
        <w:t>the team member experience, by investing in workforce management, training, developing the next generation of ABM leaders, and building on our inclusive culture; and</w:t>
      </w:r>
    </w:p>
    <w:p>
      <w:pPr>
        <w:spacing w:after="0" w:line="256" w:lineRule="exact"/>
        <w:rPr>
          <w:rFonts w:ascii="Arial" w:cs="Arial" w:eastAsia="Arial" w:hAnsi="Arial"/>
          <w:sz w:val="20"/>
          <w:szCs w:val="20"/>
          <w:color w:val="auto"/>
        </w:rPr>
      </w:pPr>
    </w:p>
    <w:p>
      <w:pPr>
        <w:ind w:left="660" w:right="20" w:hanging="328"/>
        <w:spacing w:after="0" w:line="237"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use of technology and data to power client and employee experiences with cutting-edge data and analytics, processes, and tools that will fundamentally change how we operate our business.</w:t>
      </w:r>
    </w:p>
    <w:p>
      <w:pPr>
        <w:sectPr>
          <w:pgSz w:w="11900" w:h="16838" w:orient="portrait"/>
          <w:cols w:equalWidth="0" w:num="1">
            <w:col w:w="11240"/>
          </w:cols>
          <w:pgMar w:left="320" w:top="12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0046AD"/>
        </w:rPr>
        <w:t>Contract Types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generate revenues under several types of contracts, as explained below. Generally, the type of contract is determined by the nature of the services. Although many of our service agreements are cancelable on short notice, we have historically had a high rate of client retention and expect to continue maintaining long-term relationships with our clients. See Note 2, “Basis of Presentation and Significant Accounting Policies,” in the Notes to consolidated financial statements for additional information regarding the contract types that are most common in each of our service lines.</w:t>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780" w:type="dxa"/>
            <w:vAlign w:val="bottom"/>
            <w:tcBorders>
              <w:top w:val="single" w:sz="8" w:color="auto"/>
              <w:left w:val="single" w:sz="8" w:color="auto"/>
              <w:bottom w:val="single" w:sz="8" w:color="auto"/>
              <w:right w:val="single" w:sz="8" w:color="auto"/>
            </w:tcBorders>
            <w:shd w:val="clear" w:color="auto" w:fill="DCE2EF"/>
          </w:tcPr>
          <w:p>
            <w:pPr>
              <w:jc w:val="center"/>
              <w:spacing w:after="0"/>
              <w:rPr>
                <w:sz w:val="20"/>
                <w:szCs w:val="20"/>
                <w:color w:val="auto"/>
              </w:rPr>
            </w:pPr>
            <w:r>
              <w:rPr>
                <w:rFonts w:ascii="Arial" w:cs="Arial" w:eastAsia="Arial" w:hAnsi="Arial"/>
                <w:sz w:val="18"/>
                <w:szCs w:val="18"/>
                <w:b w:val="1"/>
                <w:bCs w:val="1"/>
                <w:color w:val="0046AD"/>
                <w:w w:val="99"/>
              </w:rPr>
              <w:t>Contract Type</w:t>
            </w:r>
          </w:p>
        </w:tc>
        <w:tc>
          <w:tcPr>
            <w:tcW w:w="9460" w:type="dxa"/>
            <w:vAlign w:val="bottom"/>
            <w:tcBorders>
              <w:top w:val="single" w:sz="8" w:color="auto"/>
              <w:bottom w:val="single" w:sz="8" w:color="auto"/>
              <w:right w:val="single" w:sz="8" w:color="auto"/>
            </w:tcBorders>
            <w:shd w:val="clear" w:color="auto" w:fill="DCE2EF"/>
          </w:tcPr>
          <w:p>
            <w:pPr>
              <w:ind w:left="4220"/>
              <w:spacing w:after="0"/>
              <w:rPr>
                <w:sz w:val="20"/>
                <w:szCs w:val="20"/>
                <w:color w:val="auto"/>
              </w:rPr>
            </w:pPr>
            <w:r>
              <w:rPr>
                <w:rFonts w:ascii="Arial" w:cs="Arial" w:eastAsia="Arial" w:hAnsi="Arial"/>
                <w:sz w:val="18"/>
                <w:szCs w:val="18"/>
                <w:b w:val="1"/>
                <w:bCs w:val="1"/>
                <w:color w:val="0046AD"/>
              </w:rPr>
              <w:t>Description</w:t>
            </w:r>
          </w:p>
        </w:tc>
        <w:tc>
          <w:tcPr>
            <w:tcW w:w="0" w:type="dxa"/>
            <w:vAlign w:val="bottom"/>
          </w:tcPr>
          <w:p>
            <w:pPr>
              <w:spacing w:after="0"/>
              <w:rPr>
                <w:sz w:val="1"/>
                <w:szCs w:val="1"/>
                <w:color w:val="auto"/>
              </w:rPr>
            </w:pPr>
          </w:p>
        </w:tc>
      </w:tr>
      <w:tr>
        <w:trPr>
          <w:trHeight w:val="250"/>
        </w:trPr>
        <w:tc>
          <w:tcPr>
            <w:tcW w:w="1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Monthly Fixed-Price</w:t>
            </w:r>
          </w:p>
        </w:tc>
        <w:tc>
          <w:tcPr>
            <w:tcW w:w="9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These arrangements are contracts in which the client agrees to pay a fixed fee every month over a specified contract</w:t>
            </w:r>
          </w:p>
        </w:tc>
        <w:tc>
          <w:tcPr>
            <w:tcW w:w="0" w:type="dxa"/>
            <w:vAlign w:val="bottom"/>
          </w:tcPr>
          <w:p>
            <w:pPr>
              <w:spacing w:after="0"/>
              <w:rPr>
                <w:sz w:val="1"/>
                <w:szCs w:val="1"/>
                <w:color w:val="auto"/>
              </w:rPr>
            </w:pPr>
          </w:p>
        </w:tc>
      </w:tr>
      <w:tr>
        <w:trPr>
          <w:trHeight w:val="149"/>
        </w:trPr>
        <w:tc>
          <w:tcPr>
            <w:tcW w:w="1780" w:type="dxa"/>
            <w:vAlign w:val="bottom"/>
            <w:tcBorders>
              <w:left w:val="single" w:sz="8" w:color="auto"/>
              <w:bottom w:val="single" w:sz="8" w:color="auto"/>
              <w:right w:val="single" w:sz="8" w:color="auto"/>
            </w:tcBorders>
          </w:tcPr>
          <w:p>
            <w:pPr>
              <w:spacing w:after="0"/>
              <w:rPr>
                <w:sz w:val="12"/>
                <w:szCs w:val="12"/>
                <w:color w:val="auto"/>
              </w:rPr>
            </w:pPr>
          </w:p>
        </w:tc>
        <w:tc>
          <w:tcPr>
            <w:tcW w:w="9460" w:type="dxa"/>
            <w:vAlign w:val="bottom"/>
            <w:tcBorders>
              <w:bottom w:val="single" w:sz="8" w:color="auto"/>
              <w:right w:val="single" w:sz="8" w:color="auto"/>
            </w:tcBorders>
          </w:tcPr>
          <w:p>
            <w:pPr>
              <w:ind w:left="20"/>
              <w:spacing w:after="0" w:line="149" w:lineRule="exact"/>
              <w:rPr>
                <w:sz w:val="20"/>
                <w:szCs w:val="20"/>
                <w:color w:val="auto"/>
              </w:rPr>
            </w:pPr>
            <w:r>
              <w:rPr>
                <w:rFonts w:ascii="Arial" w:cs="Arial" w:eastAsia="Arial" w:hAnsi="Arial"/>
                <w:sz w:val="17"/>
                <w:szCs w:val="17"/>
                <w:color w:val="auto"/>
              </w:rPr>
              <w:t>term.</w:t>
            </w:r>
          </w:p>
        </w:tc>
        <w:tc>
          <w:tcPr>
            <w:tcW w:w="0" w:type="dxa"/>
            <w:vAlign w:val="bottom"/>
          </w:tcPr>
          <w:p>
            <w:pPr>
              <w:spacing w:after="0"/>
              <w:rPr>
                <w:sz w:val="1"/>
                <w:szCs w:val="1"/>
                <w:color w:val="auto"/>
              </w:rPr>
            </w:pPr>
          </w:p>
        </w:tc>
      </w:tr>
      <w:tr>
        <w:trPr>
          <w:trHeight w:val="182"/>
        </w:trPr>
        <w:tc>
          <w:tcPr>
            <w:tcW w:w="1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Square-Foot</w:t>
            </w:r>
          </w:p>
        </w:tc>
        <w:tc>
          <w:tcPr>
            <w:tcW w:w="94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Square-foot arrangements are contracts in which the client agrees to pay a fixed fee every month based on the actual</w:t>
            </w:r>
          </w:p>
        </w:tc>
        <w:tc>
          <w:tcPr>
            <w:tcW w:w="0" w:type="dxa"/>
            <w:vAlign w:val="bottom"/>
          </w:tcPr>
          <w:p>
            <w:pPr>
              <w:spacing w:after="0"/>
              <w:rPr>
                <w:sz w:val="1"/>
                <w:szCs w:val="1"/>
                <w:color w:val="auto"/>
              </w:rPr>
            </w:pPr>
          </w:p>
        </w:tc>
      </w:tr>
      <w:tr>
        <w:trPr>
          <w:trHeight w:val="122"/>
        </w:trPr>
        <w:tc>
          <w:tcPr>
            <w:tcW w:w="1780" w:type="dxa"/>
            <w:vAlign w:val="bottom"/>
            <w:tcBorders>
              <w:left w:val="single" w:sz="8" w:color="auto"/>
              <w:right w:val="single" w:sz="8" w:color="auto"/>
            </w:tcBorders>
            <w:vMerge w:val="continue"/>
          </w:tcPr>
          <w:p>
            <w:pPr>
              <w:spacing w:after="0"/>
              <w:rPr>
                <w:sz w:val="10"/>
                <w:szCs w:val="10"/>
                <w:color w:val="auto"/>
              </w:rPr>
            </w:pPr>
          </w:p>
        </w:tc>
        <w:tc>
          <w:tcPr>
            <w:tcW w:w="94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square footage serviced over a specified contract term.</w:t>
            </w:r>
          </w:p>
        </w:tc>
        <w:tc>
          <w:tcPr>
            <w:tcW w:w="0" w:type="dxa"/>
            <w:vAlign w:val="bottom"/>
          </w:tcPr>
          <w:p>
            <w:pPr>
              <w:spacing w:after="0"/>
              <w:rPr>
                <w:sz w:val="1"/>
                <w:szCs w:val="1"/>
                <w:color w:val="auto"/>
              </w:rPr>
            </w:pPr>
          </w:p>
        </w:tc>
      </w:tr>
      <w:tr>
        <w:trPr>
          <w:trHeight w:val="94"/>
        </w:trPr>
        <w:tc>
          <w:tcPr>
            <w:tcW w:w="1780" w:type="dxa"/>
            <w:vAlign w:val="bottom"/>
            <w:tcBorders>
              <w:left w:val="single" w:sz="8" w:color="auto"/>
              <w:bottom w:val="single" w:sz="8" w:color="auto"/>
              <w:right w:val="single" w:sz="8" w:color="auto"/>
            </w:tcBorders>
          </w:tcPr>
          <w:p>
            <w:pPr>
              <w:spacing w:after="0"/>
              <w:rPr>
                <w:sz w:val="8"/>
                <w:szCs w:val="8"/>
                <w:color w:val="auto"/>
              </w:rPr>
            </w:pPr>
          </w:p>
        </w:tc>
        <w:tc>
          <w:tcPr>
            <w:tcW w:w="94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780" w:type="dxa"/>
            <w:vAlign w:val="bottom"/>
            <w:tcBorders>
              <w:left w:val="single" w:sz="8" w:color="auto"/>
              <w:right w:val="single" w:sz="8" w:color="auto"/>
            </w:tcBorders>
          </w:tcPr>
          <w:p>
            <w:pPr>
              <w:spacing w:after="0"/>
              <w:rPr>
                <w:sz w:val="15"/>
                <w:szCs w:val="15"/>
                <w:color w:val="auto"/>
              </w:rPr>
            </w:pPr>
          </w:p>
        </w:tc>
        <w:tc>
          <w:tcPr>
            <w:tcW w:w="94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These arrangements are contracts in which the clients reimburse us for the agreed-upon amount of wages and</w:t>
            </w:r>
          </w:p>
        </w:tc>
        <w:tc>
          <w:tcPr>
            <w:tcW w:w="0" w:type="dxa"/>
            <w:vAlign w:val="bottom"/>
          </w:tcPr>
          <w:p>
            <w:pPr>
              <w:spacing w:after="0"/>
              <w:rPr>
                <w:sz w:val="1"/>
                <w:szCs w:val="1"/>
                <w:color w:val="auto"/>
              </w:rPr>
            </w:pPr>
          </w:p>
        </w:tc>
      </w:tr>
      <w:tr>
        <w:trPr>
          <w:trHeight w:val="175"/>
        </w:trPr>
        <w:tc>
          <w:tcPr>
            <w:tcW w:w="17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Cost-Plus</w:t>
            </w:r>
          </w:p>
        </w:tc>
        <w:tc>
          <w:tcPr>
            <w:tcW w:w="94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benefits, payroll taxes, insurance charges, and other expenses associated with the contracted work, plus a profit</w:t>
            </w:r>
          </w:p>
        </w:tc>
        <w:tc>
          <w:tcPr>
            <w:tcW w:w="0" w:type="dxa"/>
            <w:vAlign w:val="bottom"/>
          </w:tcPr>
          <w:p>
            <w:pPr>
              <w:spacing w:after="0"/>
              <w:rPr>
                <w:sz w:val="1"/>
                <w:szCs w:val="1"/>
                <w:color w:val="auto"/>
              </w:rPr>
            </w:pPr>
          </w:p>
        </w:tc>
      </w:tr>
      <w:tr>
        <w:trPr>
          <w:trHeight w:val="217"/>
        </w:trPr>
        <w:tc>
          <w:tcPr>
            <w:tcW w:w="1780" w:type="dxa"/>
            <w:vAlign w:val="bottom"/>
            <w:tcBorders>
              <w:left w:val="single" w:sz="8" w:color="auto"/>
              <w:bottom w:val="single" w:sz="8" w:color="auto"/>
              <w:right w:val="single" w:sz="8" w:color="auto"/>
            </w:tcBorders>
          </w:tcPr>
          <w:p>
            <w:pPr>
              <w:spacing w:after="0"/>
              <w:rPr>
                <w:sz w:val="18"/>
                <w:szCs w:val="18"/>
                <w:color w:val="auto"/>
              </w:rPr>
            </w:pPr>
          </w:p>
        </w:tc>
        <w:tc>
          <w:tcPr>
            <w:tcW w:w="9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margin.</w:t>
            </w:r>
          </w:p>
        </w:tc>
        <w:tc>
          <w:tcPr>
            <w:tcW w:w="0" w:type="dxa"/>
            <w:vAlign w:val="bottom"/>
          </w:tcPr>
          <w:p>
            <w:pPr>
              <w:spacing w:after="0"/>
              <w:rPr>
                <w:sz w:val="1"/>
                <w:szCs w:val="1"/>
                <w:color w:val="auto"/>
              </w:rPr>
            </w:pPr>
          </w:p>
        </w:tc>
      </w:tr>
      <w:tr>
        <w:trPr>
          <w:trHeight w:val="182"/>
        </w:trPr>
        <w:tc>
          <w:tcPr>
            <w:tcW w:w="1780" w:type="dxa"/>
            <w:vAlign w:val="bottom"/>
            <w:tcBorders>
              <w:left w:val="single" w:sz="8" w:color="auto"/>
              <w:right w:val="single" w:sz="8" w:color="auto"/>
            </w:tcBorders>
          </w:tcPr>
          <w:p>
            <w:pPr>
              <w:spacing w:after="0"/>
              <w:rPr>
                <w:sz w:val="15"/>
                <w:szCs w:val="15"/>
                <w:color w:val="auto"/>
              </w:rPr>
            </w:pPr>
          </w:p>
        </w:tc>
        <w:tc>
          <w:tcPr>
            <w:tcW w:w="94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Work orders generally consist of supplemental services requested by clients outside of the standard service</w:t>
            </w:r>
          </w:p>
        </w:tc>
        <w:tc>
          <w:tcPr>
            <w:tcW w:w="0" w:type="dxa"/>
            <w:vAlign w:val="bottom"/>
          </w:tcPr>
          <w:p>
            <w:pPr>
              <w:spacing w:after="0"/>
              <w:rPr>
                <w:sz w:val="1"/>
                <w:szCs w:val="1"/>
                <w:color w:val="auto"/>
              </w:rPr>
            </w:pPr>
          </w:p>
        </w:tc>
      </w:tr>
      <w:tr>
        <w:trPr>
          <w:trHeight w:val="175"/>
        </w:trPr>
        <w:tc>
          <w:tcPr>
            <w:tcW w:w="17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Work Orders</w:t>
            </w:r>
          </w:p>
        </w:tc>
        <w:tc>
          <w:tcPr>
            <w:tcW w:w="94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specification and include cleanup after tenant moves, construction cleanup, flood cleanup, snow removal, and high</w:t>
            </w:r>
          </w:p>
        </w:tc>
        <w:tc>
          <w:tcPr>
            <w:tcW w:w="0" w:type="dxa"/>
            <w:vAlign w:val="bottom"/>
          </w:tcPr>
          <w:p>
            <w:pPr>
              <w:spacing w:after="0"/>
              <w:rPr>
                <w:sz w:val="1"/>
                <w:szCs w:val="1"/>
                <w:color w:val="auto"/>
              </w:rPr>
            </w:pPr>
          </w:p>
        </w:tc>
      </w:tr>
      <w:tr>
        <w:trPr>
          <w:trHeight w:val="217"/>
        </w:trPr>
        <w:tc>
          <w:tcPr>
            <w:tcW w:w="1780" w:type="dxa"/>
            <w:vAlign w:val="bottom"/>
            <w:tcBorders>
              <w:left w:val="single" w:sz="8" w:color="auto"/>
              <w:bottom w:val="single" w:sz="8" w:color="auto"/>
              <w:right w:val="single" w:sz="8" w:color="auto"/>
            </w:tcBorders>
          </w:tcPr>
          <w:p>
            <w:pPr>
              <w:spacing w:after="0"/>
              <w:rPr>
                <w:sz w:val="18"/>
                <w:szCs w:val="18"/>
                <w:color w:val="auto"/>
              </w:rPr>
            </w:pPr>
          </w:p>
        </w:tc>
        <w:tc>
          <w:tcPr>
            <w:tcW w:w="9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touchpoint disinfecting services.</w:t>
            </w:r>
          </w:p>
        </w:tc>
        <w:tc>
          <w:tcPr>
            <w:tcW w:w="0" w:type="dxa"/>
            <w:vAlign w:val="bottom"/>
          </w:tcPr>
          <w:p>
            <w:pPr>
              <w:spacing w:after="0"/>
              <w:rPr>
                <w:sz w:val="1"/>
                <w:szCs w:val="1"/>
                <w:color w:val="auto"/>
              </w:rPr>
            </w:pPr>
          </w:p>
        </w:tc>
      </w:tr>
      <w:tr>
        <w:trPr>
          <w:trHeight w:val="182"/>
        </w:trPr>
        <w:tc>
          <w:tcPr>
            <w:tcW w:w="1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Transaction-Price</w:t>
            </w:r>
          </w:p>
        </w:tc>
        <w:tc>
          <w:tcPr>
            <w:tcW w:w="94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w w:val="99"/>
              </w:rPr>
              <w:t>These are arrangements in which customers are billed a fixed price for each transaction performed on a monthly basis</w:t>
            </w:r>
          </w:p>
        </w:tc>
        <w:tc>
          <w:tcPr>
            <w:tcW w:w="0" w:type="dxa"/>
            <w:vAlign w:val="bottom"/>
          </w:tcPr>
          <w:p>
            <w:pPr>
              <w:spacing w:after="0"/>
              <w:rPr>
                <w:sz w:val="1"/>
                <w:szCs w:val="1"/>
                <w:color w:val="auto"/>
              </w:rPr>
            </w:pPr>
          </w:p>
        </w:tc>
      </w:tr>
      <w:tr>
        <w:trPr>
          <w:trHeight w:val="122"/>
        </w:trPr>
        <w:tc>
          <w:tcPr>
            <w:tcW w:w="1780" w:type="dxa"/>
            <w:vAlign w:val="bottom"/>
            <w:tcBorders>
              <w:left w:val="single" w:sz="8" w:color="auto"/>
              <w:right w:val="single" w:sz="8" w:color="auto"/>
            </w:tcBorders>
            <w:vMerge w:val="continue"/>
          </w:tcPr>
          <w:p>
            <w:pPr>
              <w:spacing w:after="0"/>
              <w:rPr>
                <w:sz w:val="10"/>
                <w:szCs w:val="10"/>
                <w:color w:val="auto"/>
              </w:rPr>
            </w:pPr>
          </w:p>
        </w:tc>
        <w:tc>
          <w:tcPr>
            <w:tcW w:w="94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(e.g., wheelchair passengers served or airplane cabins cleaned).</w:t>
            </w:r>
          </w:p>
        </w:tc>
        <w:tc>
          <w:tcPr>
            <w:tcW w:w="0" w:type="dxa"/>
            <w:vAlign w:val="bottom"/>
          </w:tcPr>
          <w:p>
            <w:pPr>
              <w:spacing w:after="0"/>
              <w:rPr>
                <w:sz w:val="1"/>
                <w:szCs w:val="1"/>
                <w:color w:val="auto"/>
              </w:rPr>
            </w:pPr>
          </w:p>
        </w:tc>
      </w:tr>
      <w:tr>
        <w:trPr>
          <w:trHeight w:val="94"/>
        </w:trPr>
        <w:tc>
          <w:tcPr>
            <w:tcW w:w="1780" w:type="dxa"/>
            <w:vAlign w:val="bottom"/>
            <w:tcBorders>
              <w:left w:val="single" w:sz="8" w:color="auto"/>
              <w:bottom w:val="single" w:sz="8" w:color="auto"/>
              <w:right w:val="single" w:sz="8" w:color="auto"/>
            </w:tcBorders>
          </w:tcPr>
          <w:p>
            <w:pPr>
              <w:spacing w:after="0"/>
              <w:rPr>
                <w:sz w:val="8"/>
                <w:szCs w:val="8"/>
                <w:color w:val="auto"/>
              </w:rPr>
            </w:pPr>
          </w:p>
        </w:tc>
        <w:tc>
          <w:tcPr>
            <w:tcW w:w="94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Hourly</w:t>
            </w:r>
          </w:p>
        </w:tc>
        <w:tc>
          <w:tcPr>
            <w:tcW w:w="9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hourly arrangements, the client is billed a fixed hourly rate for each labor hour provided.</w:t>
            </w:r>
          </w:p>
        </w:tc>
        <w:tc>
          <w:tcPr>
            <w:tcW w:w="0" w:type="dxa"/>
            <w:vAlign w:val="bottom"/>
          </w:tcPr>
          <w:p>
            <w:pPr>
              <w:spacing w:after="0"/>
              <w:rPr>
                <w:sz w:val="1"/>
                <w:szCs w:val="1"/>
                <w:color w:val="auto"/>
              </w:rPr>
            </w:pPr>
          </w:p>
        </w:tc>
      </w:tr>
      <w:tr>
        <w:trPr>
          <w:trHeight w:val="182"/>
        </w:trPr>
        <w:tc>
          <w:tcPr>
            <w:tcW w:w="178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rPr>
              <w:t>Management</w:t>
            </w:r>
          </w:p>
        </w:tc>
        <w:tc>
          <w:tcPr>
            <w:tcW w:w="94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Under these parking arrangements, we manage a parking facility for a management fee and pass through the</w:t>
            </w:r>
          </w:p>
        </w:tc>
        <w:tc>
          <w:tcPr>
            <w:tcW w:w="0" w:type="dxa"/>
            <w:vAlign w:val="bottom"/>
          </w:tcPr>
          <w:p>
            <w:pPr>
              <w:spacing w:after="0"/>
              <w:rPr>
                <w:sz w:val="1"/>
                <w:szCs w:val="1"/>
                <w:color w:val="auto"/>
              </w:rPr>
            </w:pPr>
          </w:p>
        </w:tc>
      </w:tr>
      <w:tr>
        <w:trPr>
          <w:trHeight w:val="217"/>
        </w:trPr>
        <w:tc>
          <w:tcPr>
            <w:tcW w:w="1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Reimbursement</w:t>
            </w:r>
          </w:p>
        </w:tc>
        <w:tc>
          <w:tcPr>
            <w:tcW w:w="9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revenue and expenses associated with the facility to the owner.</w:t>
            </w:r>
          </w:p>
        </w:tc>
        <w:tc>
          <w:tcPr>
            <w:tcW w:w="0" w:type="dxa"/>
            <w:vAlign w:val="bottom"/>
          </w:tcPr>
          <w:p>
            <w:pPr>
              <w:spacing w:after="0"/>
              <w:rPr>
                <w:sz w:val="1"/>
                <w:szCs w:val="1"/>
                <w:color w:val="auto"/>
              </w:rPr>
            </w:pPr>
          </w:p>
        </w:tc>
      </w:tr>
      <w:tr>
        <w:trPr>
          <w:trHeight w:val="182"/>
        </w:trPr>
        <w:tc>
          <w:tcPr>
            <w:tcW w:w="1780" w:type="dxa"/>
            <w:vAlign w:val="bottom"/>
            <w:tcBorders>
              <w:left w:val="single" w:sz="8" w:color="auto"/>
              <w:right w:val="single" w:sz="8" w:color="auto"/>
            </w:tcBorders>
          </w:tcPr>
          <w:p>
            <w:pPr>
              <w:spacing w:after="0"/>
              <w:rPr>
                <w:sz w:val="15"/>
                <w:szCs w:val="15"/>
                <w:color w:val="auto"/>
              </w:rPr>
            </w:pPr>
          </w:p>
        </w:tc>
        <w:tc>
          <w:tcPr>
            <w:tcW w:w="94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Under these parking arrangements, we pay a fixed amount of rent plus a percentage of revenues derived from</w:t>
            </w:r>
          </w:p>
        </w:tc>
        <w:tc>
          <w:tcPr>
            <w:tcW w:w="0" w:type="dxa"/>
            <w:vAlign w:val="bottom"/>
          </w:tcPr>
          <w:p>
            <w:pPr>
              <w:spacing w:after="0"/>
              <w:rPr>
                <w:sz w:val="1"/>
                <w:szCs w:val="1"/>
                <w:color w:val="auto"/>
              </w:rPr>
            </w:pPr>
          </w:p>
        </w:tc>
      </w:tr>
      <w:tr>
        <w:trPr>
          <w:trHeight w:val="176"/>
        </w:trPr>
        <w:tc>
          <w:tcPr>
            <w:tcW w:w="17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Leased Location</w:t>
            </w:r>
          </w:p>
        </w:tc>
        <w:tc>
          <w:tcPr>
            <w:tcW w:w="94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monthly and transient parkers to the property owner. We retain all revenues received and are responsible for most</w:t>
            </w:r>
          </w:p>
        </w:tc>
        <w:tc>
          <w:tcPr>
            <w:tcW w:w="0" w:type="dxa"/>
            <w:vAlign w:val="bottom"/>
          </w:tcPr>
          <w:p>
            <w:pPr>
              <w:spacing w:after="0"/>
              <w:rPr>
                <w:sz w:val="1"/>
                <w:szCs w:val="1"/>
                <w:color w:val="auto"/>
              </w:rPr>
            </w:pPr>
          </w:p>
        </w:tc>
      </w:tr>
      <w:tr>
        <w:trPr>
          <w:trHeight w:val="217"/>
        </w:trPr>
        <w:tc>
          <w:tcPr>
            <w:tcW w:w="1780" w:type="dxa"/>
            <w:vAlign w:val="bottom"/>
            <w:tcBorders>
              <w:left w:val="single" w:sz="8" w:color="auto"/>
              <w:bottom w:val="single" w:sz="8" w:color="auto"/>
              <w:right w:val="single" w:sz="8" w:color="auto"/>
            </w:tcBorders>
          </w:tcPr>
          <w:p>
            <w:pPr>
              <w:spacing w:after="0"/>
              <w:rPr>
                <w:sz w:val="18"/>
                <w:szCs w:val="18"/>
                <w:color w:val="auto"/>
              </w:rPr>
            </w:pPr>
          </w:p>
        </w:tc>
        <w:tc>
          <w:tcPr>
            <w:tcW w:w="9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operating expenses incurred.</w:t>
            </w:r>
          </w:p>
        </w:tc>
        <w:tc>
          <w:tcPr>
            <w:tcW w:w="0" w:type="dxa"/>
            <w:vAlign w:val="bottom"/>
          </w:tcPr>
          <w:p>
            <w:pPr>
              <w:spacing w:after="0"/>
              <w:rPr>
                <w:sz w:val="1"/>
                <w:szCs w:val="1"/>
                <w:color w:val="auto"/>
              </w:rPr>
            </w:pPr>
          </w:p>
        </w:tc>
      </w:tr>
      <w:tr>
        <w:trPr>
          <w:trHeight w:val="182"/>
        </w:trPr>
        <w:tc>
          <w:tcPr>
            <w:tcW w:w="1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Allowance</w:t>
            </w:r>
          </w:p>
        </w:tc>
        <w:tc>
          <w:tcPr>
            <w:tcW w:w="94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Under these parking arrangements, we are paid a fixed amount or hourly fee to provide parking services, and we are</w:t>
            </w:r>
          </w:p>
        </w:tc>
        <w:tc>
          <w:tcPr>
            <w:tcW w:w="0" w:type="dxa"/>
            <w:vAlign w:val="bottom"/>
          </w:tcPr>
          <w:p>
            <w:pPr>
              <w:spacing w:after="0"/>
              <w:rPr>
                <w:sz w:val="1"/>
                <w:szCs w:val="1"/>
                <w:color w:val="auto"/>
              </w:rPr>
            </w:pPr>
          </w:p>
        </w:tc>
      </w:tr>
      <w:tr>
        <w:trPr>
          <w:trHeight w:val="122"/>
        </w:trPr>
        <w:tc>
          <w:tcPr>
            <w:tcW w:w="1780" w:type="dxa"/>
            <w:vAlign w:val="bottom"/>
            <w:tcBorders>
              <w:left w:val="single" w:sz="8" w:color="auto"/>
              <w:right w:val="single" w:sz="8" w:color="auto"/>
            </w:tcBorders>
            <w:vMerge w:val="continue"/>
          </w:tcPr>
          <w:p>
            <w:pPr>
              <w:spacing w:after="0"/>
              <w:rPr>
                <w:sz w:val="10"/>
                <w:szCs w:val="10"/>
                <w:color w:val="auto"/>
              </w:rPr>
            </w:pPr>
          </w:p>
        </w:tc>
        <w:tc>
          <w:tcPr>
            <w:tcW w:w="94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responsible for certain operating expenses, as specified in the contract.</w:t>
            </w:r>
          </w:p>
        </w:tc>
        <w:tc>
          <w:tcPr>
            <w:tcW w:w="0" w:type="dxa"/>
            <w:vAlign w:val="bottom"/>
          </w:tcPr>
          <w:p>
            <w:pPr>
              <w:spacing w:after="0"/>
              <w:rPr>
                <w:sz w:val="1"/>
                <w:szCs w:val="1"/>
                <w:color w:val="auto"/>
              </w:rPr>
            </w:pPr>
          </w:p>
        </w:tc>
      </w:tr>
      <w:tr>
        <w:trPr>
          <w:trHeight w:val="94"/>
        </w:trPr>
        <w:tc>
          <w:tcPr>
            <w:tcW w:w="1780" w:type="dxa"/>
            <w:vAlign w:val="bottom"/>
            <w:tcBorders>
              <w:left w:val="single" w:sz="8" w:color="auto"/>
              <w:bottom w:val="single" w:sz="8" w:color="auto"/>
              <w:right w:val="single" w:sz="8" w:color="auto"/>
            </w:tcBorders>
          </w:tcPr>
          <w:p>
            <w:pPr>
              <w:spacing w:after="0"/>
              <w:rPr>
                <w:sz w:val="8"/>
                <w:szCs w:val="8"/>
                <w:color w:val="auto"/>
              </w:rPr>
            </w:pPr>
          </w:p>
        </w:tc>
        <w:tc>
          <w:tcPr>
            <w:tcW w:w="94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78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Energy Savings</w:t>
            </w:r>
          </w:p>
        </w:tc>
        <w:tc>
          <w:tcPr>
            <w:tcW w:w="9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Contracts and Fixed-</w:t>
            </w:r>
          </w:p>
        </w:tc>
        <w:tc>
          <w:tcPr>
            <w:tcW w:w="94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Under these arrangements, we agree to develop, design, engineer, and construct a project. Additionally, as part of</w:t>
            </w:r>
          </w:p>
        </w:tc>
        <w:tc>
          <w:tcPr>
            <w:tcW w:w="0" w:type="dxa"/>
            <w:vAlign w:val="bottom"/>
          </w:tcPr>
          <w:p>
            <w:pPr>
              <w:spacing w:after="0"/>
              <w:rPr>
                <w:sz w:val="1"/>
                <w:szCs w:val="1"/>
                <w:color w:val="auto"/>
              </w:rPr>
            </w:pPr>
          </w:p>
        </w:tc>
      </w:tr>
      <w:tr>
        <w:trPr>
          <w:trHeight w:val="176"/>
        </w:trPr>
        <w:tc>
          <w:tcPr>
            <w:tcW w:w="17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Price Repair and</w:t>
            </w:r>
          </w:p>
        </w:tc>
        <w:tc>
          <w:tcPr>
            <w:tcW w:w="94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bundled energy solutions arrangements, we guarantee the project will satisfy agreed-upon performance standards.</w:t>
            </w:r>
          </w:p>
        </w:tc>
        <w:tc>
          <w:tcPr>
            <w:tcW w:w="0" w:type="dxa"/>
            <w:vAlign w:val="bottom"/>
          </w:tcPr>
          <w:p>
            <w:pPr>
              <w:spacing w:after="0"/>
              <w:rPr>
                <w:sz w:val="1"/>
                <w:szCs w:val="1"/>
                <w:color w:val="auto"/>
              </w:rPr>
            </w:pPr>
          </w:p>
        </w:tc>
      </w:tr>
      <w:tr>
        <w:trPr>
          <w:trHeight w:val="217"/>
        </w:trPr>
        <w:tc>
          <w:tcPr>
            <w:tcW w:w="1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Refurbishment</w:t>
            </w:r>
          </w:p>
        </w:tc>
        <w:tc>
          <w:tcPr>
            <w:tcW w:w="9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Franchise</w:t>
            </w:r>
          </w:p>
        </w:tc>
        <w:tc>
          <w:tcPr>
            <w:tcW w:w="94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We franchise certain engineering services through individual and area franchises under the Linc Service and TEGG</w:t>
            </w:r>
          </w:p>
        </w:tc>
        <w:tc>
          <w:tcPr>
            <w:tcW w:w="0" w:type="dxa"/>
            <w:vAlign w:val="bottom"/>
          </w:tcPr>
          <w:p>
            <w:pPr>
              <w:spacing w:after="0"/>
              <w:rPr>
                <w:sz w:val="1"/>
                <w:szCs w:val="1"/>
                <w:color w:val="auto"/>
              </w:rPr>
            </w:pPr>
          </w:p>
        </w:tc>
      </w:tr>
      <w:tr>
        <w:trPr>
          <w:trHeight w:val="122"/>
        </w:trPr>
        <w:tc>
          <w:tcPr>
            <w:tcW w:w="1780" w:type="dxa"/>
            <w:vAlign w:val="bottom"/>
            <w:tcBorders>
              <w:left w:val="single" w:sz="8" w:color="auto"/>
              <w:right w:val="single" w:sz="8" w:color="auto"/>
            </w:tcBorders>
            <w:vMerge w:val="continue"/>
          </w:tcPr>
          <w:p>
            <w:pPr>
              <w:spacing w:after="0"/>
              <w:rPr>
                <w:sz w:val="10"/>
                <w:szCs w:val="10"/>
                <w:color w:val="auto"/>
              </w:rPr>
            </w:pPr>
          </w:p>
        </w:tc>
        <w:tc>
          <w:tcPr>
            <w:tcW w:w="94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brands, which are part of ABM Technical Solutions.</w:t>
            </w:r>
          </w:p>
        </w:tc>
        <w:tc>
          <w:tcPr>
            <w:tcW w:w="0" w:type="dxa"/>
            <w:vAlign w:val="bottom"/>
          </w:tcPr>
          <w:p>
            <w:pPr>
              <w:spacing w:after="0"/>
              <w:rPr>
                <w:sz w:val="1"/>
                <w:szCs w:val="1"/>
                <w:color w:val="auto"/>
              </w:rPr>
            </w:pPr>
          </w:p>
        </w:tc>
      </w:tr>
      <w:tr>
        <w:trPr>
          <w:trHeight w:val="94"/>
        </w:trPr>
        <w:tc>
          <w:tcPr>
            <w:tcW w:w="1780" w:type="dxa"/>
            <w:vAlign w:val="bottom"/>
            <w:tcBorders>
              <w:left w:val="single" w:sz="8" w:color="auto"/>
              <w:bottom w:val="single" w:sz="8" w:color="auto"/>
              <w:right w:val="single" w:sz="8" w:color="auto"/>
            </w:tcBorders>
          </w:tcPr>
          <w:p>
            <w:pPr>
              <w:spacing w:after="0"/>
              <w:rPr>
                <w:sz w:val="8"/>
                <w:szCs w:val="8"/>
                <w:color w:val="auto"/>
              </w:rPr>
            </w:pPr>
          </w:p>
        </w:tc>
        <w:tc>
          <w:tcPr>
            <w:tcW w:w="94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1"/>
        </w:trPr>
        <w:tc>
          <w:tcPr>
            <w:tcW w:w="1780" w:type="dxa"/>
            <w:vAlign w:val="bottom"/>
          </w:tcPr>
          <w:p>
            <w:pPr>
              <w:spacing w:after="0"/>
              <w:rPr>
                <w:sz w:val="24"/>
                <w:szCs w:val="24"/>
                <w:color w:val="auto"/>
              </w:rPr>
            </w:pPr>
          </w:p>
        </w:tc>
        <w:tc>
          <w:tcPr>
            <w:tcW w:w="9460" w:type="dxa"/>
            <w:vAlign w:val="bottom"/>
          </w:tcPr>
          <w:p>
            <w:pPr>
              <w:ind w:left="38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15"/>
        </w:trPr>
        <w:tc>
          <w:tcPr>
            <w:tcW w:w="1780" w:type="dxa"/>
            <w:vAlign w:val="bottom"/>
            <w:tcBorders>
              <w:bottom w:val="single" w:sz="8" w:color="9A9A9A"/>
            </w:tcBorders>
          </w:tcPr>
          <w:p>
            <w:pPr>
              <w:spacing w:after="0"/>
              <w:rPr>
                <w:sz w:val="10"/>
                <w:szCs w:val="10"/>
                <w:color w:val="auto"/>
              </w:rPr>
            </w:pPr>
          </w:p>
        </w:tc>
        <w:tc>
          <w:tcPr>
            <w:tcW w:w="9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0046AD"/>
        </w:rPr>
        <w:t>Segment and Geographic Financial Information</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current reportable segments consist of Business &amp; Industry (“B&amp;I”), Technology &amp; Manufacturing (“T&amp;M”), Education, Aviation, and Technical Solutions. The newly acquired Able is integrated within our B&amp;I reportable segment. For segment and geographic financial information, see Note 17, “Segment and Geographic Information,” in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111760</wp:posOffset>
            </wp:positionV>
            <wp:extent cx="7115175" cy="62064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6206490"/>
                    </a:xfrm>
                    <a:prstGeom prst="rect">
                      <a:avLst/>
                    </a:prstGeom>
                    <a:noFill/>
                  </pic:spPr>
                </pic:pic>
              </a:graphicData>
            </a:graphic>
          </wp:anchor>
        </w:drawing>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46AD"/>
        </w:rPr>
        <w:t>REPORTABLE SEGMENTS AND DESCRIPTIONS</w:t>
      </w:r>
    </w:p>
    <w:p>
      <w:pPr>
        <w:spacing w:after="0" w:line="355" w:lineRule="exact"/>
        <w:rPr>
          <w:sz w:val="20"/>
          <w:szCs w:val="20"/>
          <w:color w:val="auto"/>
        </w:rPr>
      </w:pPr>
    </w:p>
    <w:p>
      <w:pPr>
        <w:jc w:val="both"/>
        <w:ind w:left="3880" w:right="40"/>
        <w:spacing w:after="0" w:line="210" w:lineRule="auto"/>
        <w:rPr>
          <w:sz w:val="20"/>
          <w:szCs w:val="20"/>
          <w:color w:val="auto"/>
        </w:rPr>
      </w:pPr>
      <w:r>
        <w:rPr>
          <w:rFonts w:ascii="Arial" w:cs="Arial" w:eastAsia="Arial" w:hAnsi="Arial"/>
          <w:sz w:val="18"/>
          <w:szCs w:val="18"/>
          <w:color w:val="auto"/>
        </w:rPr>
        <w:t>B&amp;I, our largest reportable segment, encompasses janitorial, facilities engineering, and parking services for commercial real estate properties, sports and entertainment venues, and traditional hospitals and non-acute healthcare facilities. B&amp;I also provides vehicle maintenance and other services to rental car providers. We typically provide services in this segment pursuant to monthly fixed-price, square-foot, cost-plus, and parking arrangements (i.e., management reimbursement, leased location, or allowance) that are obtained through a competitive bid process as well as pursuant to work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3880" w:right="40"/>
        <w:spacing w:after="0" w:line="215" w:lineRule="auto"/>
        <w:rPr>
          <w:sz w:val="20"/>
          <w:szCs w:val="20"/>
          <w:color w:val="auto"/>
        </w:rPr>
      </w:pPr>
      <w:r>
        <w:rPr>
          <w:rFonts w:ascii="Arial" w:cs="Arial" w:eastAsia="Arial" w:hAnsi="Arial"/>
          <w:sz w:val="18"/>
          <w:szCs w:val="18"/>
          <w:color w:val="auto"/>
        </w:rPr>
        <w:t>T&amp;M provides janitorial, facilities engineering, and parking services to industrial and high-tech manufacturing facilities. We typically provide these services pursuant to monthly fixed-price, square-foot, cost-plus, and parking arrangements that are obtained through a competitive bid process as well as pursuant to work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3880" w:right="40"/>
        <w:spacing w:after="0" w:line="213" w:lineRule="auto"/>
        <w:rPr>
          <w:sz w:val="20"/>
          <w:szCs w:val="20"/>
          <w:color w:val="auto"/>
        </w:rPr>
      </w:pPr>
      <w:r>
        <w:rPr>
          <w:rFonts w:ascii="Arial" w:cs="Arial" w:eastAsia="Arial" w:hAnsi="Arial"/>
          <w:sz w:val="18"/>
          <w:szCs w:val="18"/>
          <w:color w:val="auto"/>
        </w:rPr>
        <w:t>Education delivers janitorial, custodial, landscaping and grounds, facilities engineering, and parking services for public school districts, private schools, colleges, and universities. These services are typically provided pursuant to monthly fixed-price, square-foot, and cost-plus arrangements that are obtained through either a competitive bid process or re-bid upon renewal as well as pursuant to work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3880" w:right="40"/>
        <w:spacing w:after="0" w:line="210" w:lineRule="auto"/>
        <w:rPr>
          <w:sz w:val="20"/>
          <w:szCs w:val="20"/>
          <w:color w:val="auto"/>
        </w:rPr>
      </w:pPr>
      <w:r>
        <w:rPr>
          <w:rFonts w:ascii="Arial" w:cs="Arial" w:eastAsia="Arial" w:hAnsi="Arial"/>
          <w:sz w:val="18"/>
          <w:szCs w:val="18"/>
          <w:color w:val="auto"/>
        </w:rPr>
        <w:t>Aviation supports airlines and airports with services ranging from parking and janitorial to passenger assistance, catering logistics, air cabin maintenance, and transportation. We typically provide services to clients in this segment under master services agreements. These agreements are typically re-bid upon renewal and are generally structured as monthly fixed-price, square-foot, cost-plus, parking, transaction-price, and hourly arrangements. One client accounted for approximately 16% of revenues for this segment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3880" w:right="40"/>
        <w:spacing w:after="0" w:line="215" w:lineRule="auto"/>
        <w:rPr>
          <w:sz w:val="20"/>
          <w:szCs w:val="20"/>
          <w:color w:val="auto"/>
        </w:rPr>
      </w:pPr>
      <w:r>
        <w:rPr>
          <w:rFonts w:ascii="Arial" w:cs="Arial" w:eastAsia="Arial" w:hAnsi="Arial"/>
          <w:sz w:val="18"/>
          <w:szCs w:val="18"/>
          <w:color w:val="auto"/>
        </w:rPr>
        <w:t>Technical Solutions specializes in mechanical and electrical services. These services can also be leveraged for cross-selling across all of our industry groups, both domestically and internationally. Contracts for this segment are generally structured as energy savings, fixed-price repair, refurbishment contracts, and franchise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0046AD"/>
        </w:rPr>
        <w:t>Service Marks, Trademarks, and Trade Names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hold various service marks, trademarks, and trade names, such as “ABM,” “ABM Building Value,” “ABM Greencare,” “EnhancedClean,” “EnhancedFacility,” “Linc Service,” “MPower,” and “TEGG,” which we deem important to our marketing activities, to our business, and, in some cases, to the franchising activities conducted by our Technical Solutions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Dependence on Significant Client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client accounted for more than 10% of our consolidated revenues during 2021, 2020, or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Competition</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believe that each aspect of our business is highly competitive and that such competition is based primarily on price, quality of service, efficiency enhancements, adapting to changing workplace conditions, and ability to anticipate and respond to industry changes. A majority of our revenue is derived from projects requiring competitive bids; however, an invitation to bid is often conditioned upon prior experience, industry expertise, and financial strength. The low cost of entry in the facility services business results in a very competitive market. We mainly compete with regional and local owner-operated companies that may have more acute vision into local markets and significantly lower labor and overhead costs, providing them with competitive advantages in those regards. We also compete indirectly with companies that can perform for themselves one or more of the services we provide.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Sales and Marketing</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sales and marketing activities include digital engagement and direct interactions with prospective and existing clients, pricing, proposal management, and customer relationship management by dedicated business development teams, operations personnel, and management. These activities are executed by branch and regional sales, marketing, and operations teams assigned to our industry groups and are supported by centralized sales support teams, inside sales teams, and marketing personnel. The sales and marketing teams acquire, nurture, and manage leads through the sales buying process, as well as train personnel on product offerings, sales tools, and proposal systems, all governed by standard operating procedures.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Regulatory Environment</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operations are subject to various federal, state, and/or local laws, rules, and regulations regulating the discharge of materials into the environment or otherwise relating to the protection of the environment, as well as laws and regulations relating to, among other things, labor, wages, and health and safety matters. Historically, the cost of complying with these laws, rules, and regulations has not had a material adverse effect on our financial position, results of operations, or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Corporate Responsibility and Sustainability</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a company with more than 110 years of history and experience, we understand the need to embed and integrate corporate responsibility into and within our business practices and commit to sustainable operations to create value and support the long-term success of our business, shareholders, employees, and clients.</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strategy has evolved over the years to align with our stakeholders’ expectations regarding environmental, social, and governance (“ESG”) policies. We have established three strategic axes of our sustainability strategy based on the topics that are critical to our business: doing business in a responsible way to ensure compliance with ethical business practices and bring sustainable services to the market; ensuring the well-being and professional development of our employees; and managing our carbon footprint to grow environmentally friendly practices.</w:t>
      </w:r>
    </w:p>
    <w:p>
      <w:pPr>
        <w:spacing w:after="0" w:line="15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Board of Directors and its Stakeholder and Enterprise Risk Committee are responsible for the Company’s activities and practices relating to social, environmental, and public policy matters. Additionally, our internal sustainability team works in cross functional collaboration with departments throughout and across the enterprise to advance our sustainability and ESG strategies.</w:t>
      </w:r>
    </w:p>
    <w:p>
      <w:pPr>
        <w:spacing w:after="0" w:line="14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Since 2011, we have voluntarily published a Sustainability Report on an annual basis in alignment with the Global Reporting Initiative framework and the Sustainability Accounting Standards Board to address our business,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9" w:name="page10"/>
    <w:bookmarkEnd w:id="9"/>
    <w:p>
      <w:pPr>
        <w:jc w:val="both"/>
        <w:spacing w:after="0" w:line="261" w:lineRule="auto"/>
        <w:rPr>
          <w:sz w:val="20"/>
          <w:szCs w:val="20"/>
          <w:color w:val="auto"/>
        </w:rPr>
      </w:pPr>
      <w:r>
        <w:rPr>
          <w:rFonts w:ascii="Arial" w:cs="Arial" w:eastAsia="Arial" w:hAnsi="Arial"/>
          <w:sz w:val="18"/>
          <w:szCs w:val="18"/>
          <w:color w:val="auto"/>
        </w:rPr>
        <w:t>our employees, and the environment. More information about our sustainability performance, progress, and goals can be found in the corporate sustainability section of our corporate website.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Human Capital</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employees are the driving force behind everything we do, and supporting our employees is a foundational value for the Company. Direct labor costs represented 68% of our total revenue for fiscal year 2021. As of October 31, 2021, we employed approximately 124,000 employees, of whom approximately 44,000, or 35%, were subject to various local collective bargaining agreements. As of October 31, 2021, our frontline employees represented 93% of our total workforce, while staff and management employees represented the other 7%.</w:t>
      </w:r>
    </w:p>
    <w:p>
      <w:pPr>
        <w:spacing w:after="0" w:line="3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human capital strategy is grounded by our values and our employees; we prioritize our human capital development in order to do business in a responsible way and ensure our employees’ success. The execution of this strategy is overseen at the highest levels of our organization, from our Board of Directors, our Board of Directors’ Stakeholder and Enterprise Risk Committee, and across our senior management</w:t>
      </w:r>
      <w:r>
        <w:rPr>
          <w:rFonts w:ascii="Arial" w:cs="Arial" w:eastAsia="Arial" w:hAnsi="Arial"/>
          <w:sz w:val="18"/>
          <w:szCs w:val="18"/>
          <w:i w:val="1"/>
          <w:iCs w:val="1"/>
          <w:color w:val="0046AD"/>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Business ethics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Code of Business Conduct ensures that our core values of respect, integrity, collaboration, innovation, trust, and excellence are applied throughout our operations. Our Code of Business Conduct serves as a critical tool to help all of us recognize and report unethical conduct, while preserving and nurturing our culture of honesty and accountability. We provide a comprehensive annual training and certification program on our Code of Business Conduct for our Board of Directors and all of our staff and management employees.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Human resources, hiring, and training</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With a team of approximately 124,000 employees across the United States, United Kingdom, and other locations, we continue to make investments in our human resources (“HR”) organization and structure toward centralized and standardized hiring and training practices, including incorporating modeling and advanced analytics in our HR processes to drive improvement in the retention and engagement of our frontline employees, who constitute the majority of our workforce.</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fiscal year 2021, we successfully piloted a frontline leadership training program, which we plan to formally launch enterprise-wide. Through this program, we are aiming to develop the management and coaching skills of frontline supervisors to improve the employee experience, create an environment for career growth, and increase retention.</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also enhanced recruiting strategies to keep our client facilities staffed and improve our ability to hire in a more efficient manner. Specifically, in fiscal year 2021, we introduced a rapid recruiting program that expands the reach of our talent acquisition efforts through new processes, strategic solutions, and targeted marketing efforts to better attract and retain talent.</w:t>
      </w:r>
    </w:p>
    <w:p>
      <w:pPr>
        <w:spacing w:after="0" w:line="12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Team Member Experience is one of the main pillars of our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strategy. We plan to make significant investments to attract, develop, and retain talent and to help our operators manage labor more efficiently, including the development of a new applicant tracking system and enhanced workforce management tools.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online training platform, ABM University, provides our staff and management employees with access to a multitude of training courses, videos, reference material, and other tools. Outside of ABM University our frontline employees receive on-the-job training to ensure we are executing for our clients.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Compensation and employee benefits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to competitive wages and salaries, we provide all of our employees access to a variety of health and wellness benefits, including a 24/7 employee assistance program, as well as the addition of telemedicine benefits and a dedicated COVID-19 employee resource site in response to the Novel Coronavirus (“COVID-19”) Pandemic (the “Pandemic”). Our comprehensive benefits offerings are designed to meet the needs of our employees.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Labor relations</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With approximately 44,000 union-represented employees, we are party to more than 300 collective bargaining agreements nationwide, with more than 20 major labor unions. Our collective bargaining agreements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10" w:name="page11"/>
    <w:bookmarkEnd w:id="10"/>
    <w:p>
      <w:pPr>
        <w:jc w:val="both"/>
        <w:spacing w:after="0" w:line="256" w:lineRule="auto"/>
        <w:rPr>
          <w:sz w:val="20"/>
          <w:szCs w:val="20"/>
          <w:color w:val="auto"/>
        </w:rPr>
      </w:pPr>
      <w:r>
        <w:rPr>
          <w:rFonts w:ascii="Arial" w:cs="Arial" w:eastAsia="Arial" w:hAnsi="Arial"/>
          <w:sz w:val="18"/>
          <w:szCs w:val="18"/>
          <w:color w:val="auto"/>
        </w:rPr>
        <w:t>include regional multiemployer agreements covering thousands of employees as well as localized site agreements covering smaller groups. We strive to interact with our labor partners in an atmosphere of mutual respect, and we always seek to resolve any dispute in an equitable manner.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Safe working environment</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cornerstone of our comprehensive risk management and safety program is safety awareness. We have established a “safety-first” culture through various programs and initiatives including, but not limited to, incorporation into our daily shift protocols, training, and alignment with our corporate incentive plans. Our safety programs for fiscal year 2021 helped produce claim frequency reductions.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critical component of ABM’s commitment to fostering a professional and safe working environment for all of our employees is our zero tolerance for sexual and other unlawful harassment. For example, in recent years, we have taken actions to further strengthen our safeguards against harassment, including expanding our robust anti-harassment trainings and policies. We take any claim of unlawful harassment seriously and remain committed to providing a safe workplace for all.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Culture and inclusion</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Grounded by our values and guided by our mission, we employ approximately 124,000 individuals from all backgrounds with the talent, experience, and compassion that enable us to best deliver for those we serve. We cultivate a culture aimed at ensuring that our employees feel seen, heard, and valued.</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Diversity, inclusion, equity, and belonging are core to this culture. Inviting different perspectives and driving inclusion enables us to connect meaningfully, adapt, and innovate. In 2020, we established the Company’s Culture and Inclusion Leadership Council, supported by our executive leadership team and guided by our employees. This council is focused on how ABM successfully converts its values into measurable action. In fiscal year 2021, through meetings of this council and employees surveys and with the assistance of third-party experts, the council identified four key focus areas, including: training, data and analytics, internal engagement, and partnering with respected organizations dedicated to building a more equitable society.</w:t>
      </w:r>
    </w:p>
    <w:p>
      <w:pPr>
        <w:spacing w:after="0" w:line="1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Activities of the Culture and Inclusion Leadership Council are reported to the Board’s Stakeholder and Enterprise Risk Committee through management presentations on matters such as corporate culture, diversity, equity, and inclusion.</w:t>
      </w:r>
    </w:p>
    <w:p>
      <w:pPr>
        <w:spacing w:after="0" w:line="14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are an Equal Opportunity and Affirmative Action employer in compliance with the requirements of the Executive Order 11246 of the Rehabilitation Act of 1973 and the Vietnam Era Veterans’ Readjustment Assistance Act.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0046AD"/>
        </w:rPr>
        <w:t>Available Information</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corporate website is www.abm.com. The content on any website referred to in this filing does not constitute, and should not be viewed as, a part of this Annual Report, and our website is not incorporated into this or any of our other filings with the Securities and Exchange Commission (“SEC”). We make available, free of charge through our website, our Annual Reports on Form 10-K, Quarterly Reports on Form 10-Q, Current Reports on Form 8-K, proxy statements, and amendments to those reports filed or furnished pursuant to Section 13(a) or 15(d) of the Securities Exchange Act of 1934 as soon as reasonably practicable after such reports are electronically filed with or furnished to the SEC. Additionally, the SEC maintains a website at www.sec.gov that contains reports, proxy and information statements, and other information regarding issuers that file electronically with the SEC.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Executive Officers of Registrant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Executive Officers on December 22, 2021</w:t>
      </w:r>
    </w:p>
    <w:p>
      <w:pPr>
        <w:sectPr>
          <w:pgSz w:w="11900" w:h="16838" w:orient="portrait"/>
          <w:cols w:equalWidth="0" w:num="1">
            <w:col w:w="11240"/>
          </w:cols>
          <w:pgMar w:left="320" w:top="1048" w:right="339" w:bottom="1440" w:gutter="0" w:footer="0" w:header="0"/>
        </w:sect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Name</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Scott Salmirs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Age</w:t>
      </w:r>
      <w:r>
        <w:rPr>
          <w:sz w:val="20"/>
          <w:szCs w:val="20"/>
          <w:color w:val="auto"/>
        </w:rPr>
        <w:tab/>
      </w:r>
      <w:r>
        <w:rPr>
          <w:rFonts w:ascii="Arial" w:cs="Arial" w:eastAsia="Arial" w:hAnsi="Arial"/>
          <w:sz w:val="18"/>
          <w:szCs w:val="18"/>
          <w:b w:val="1"/>
          <w:bCs w:val="1"/>
          <w:color w:val="auto"/>
        </w:rPr>
        <w:t>Principal Occupations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20320</wp:posOffset>
            </wp:positionV>
            <wp:extent cx="7106285" cy="557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557530"/>
                    </a:xfrm>
                    <a:prstGeom prst="rect">
                      <a:avLst/>
                    </a:prstGeom>
                    <a:noFill/>
                  </pic:spPr>
                </pic:pic>
              </a:graphicData>
            </a:graphic>
          </wp:anchor>
        </w:drawing>
      </w:r>
    </w:p>
    <w:p>
      <w:pPr>
        <w:spacing w:after="0" w:line="41" w:lineRule="exact"/>
        <w:rPr>
          <w:sz w:val="20"/>
          <w:szCs w:val="20"/>
          <w:color w:val="auto"/>
        </w:rPr>
      </w:pPr>
    </w:p>
    <w:p>
      <w:pPr>
        <w:jc w:val="both"/>
        <w:ind w:left="860" w:right="60" w:hanging="784"/>
        <w:spacing w:after="0" w:line="219"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President and Chief Executive Officer of ABM since March 2015; Executive Vice President of ABM from September 2014 to March 2015, with global responsibility for ABM’s Aviation division and all international activities; Executive Vice President of ABM’s Onsite Services division focused on the Northeast from 2003 to September 2014; Member of the Board of Directors of ABM since January 2015.</w:t>
      </w:r>
    </w:p>
    <w:p>
      <w:pPr>
        <w:spacing w:after="0" w:line="16" w:lineRule="exact"/>
        <w:rPr>
          <w:sz w:val="20"/>
          <w:szCs w:val="20"/>
          <w:color w:val="auto"/>
        </w:rPr>
      </w:pPr>
    </w:p>
    <w:p>
      <w:pPr>
        <w:sectPr>
          <w:pgSz w:w="11900" w:h="16838" w:orient="portrait"/>
          <w:cols w:equalWidth="0" w:num="2">
            <w:col w:w="2780" w:space="720"/>
            <w:col w:w="7740"/>
          </w:cols>
          <w:pgMar w:left="320" w:top="1048"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2520" w:type="dxa"/>
            <w:vAlign w:val="bottom"/>
          </w:tcPr>
          <w:p>
            <w:pPr>
              <w:ind w:left="20"/>
              <w:spacing w:after="0"/>
              <w:rPr>
                <w:sz w:val="20"/>
                <w:szCs w:val="20"/>
                <w:color w:val="auto"/>
              </w:rPr>
            </w:pPr>
            <w:r>
              <w:rPr>
                <w:rFonts w:ascii="Arial" w:cs="Arial" w:eastAsia="Arial" w:hAnsi="Arial"/>
                <w:sz w:val="16"/>
                <w:szCs w:val="16"/>
                <w:color w:val="auto"/>
              </w:rPr>
              <w:t>Earl R. Ellis</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56</w:t>
            </w:r>
          </w:p>
        </w:tc>
        <w:tc>
          <w:tcPr>
            <w:tcW w:w="7140" w:type="dxa"/>
            <w:vAlign w:val="bottom"/>
          </w:tcPr>
          <w:p>
            <w:pPr>
              <w:ind w:left="300"/>
              <w:spacing w:after="0"/>
              <w:rPr>
                <w:sz w:val="20"/>
                <w:szCs w:val="20"/>
                <w:color w:val="auto"/>
              </w:rPr>
            </w:pPr>
            <w:r>
              <w:rPr>
                <w:rFonts w:ascii="Arial" w:cs="Arial" w:eastAsia="Arial" w:hAnsi="Arial"/>
                <w:sz w:val="16"/>
                <w:szCs w:val="16"/>
                <w:color w:val="auto"/>
              </w:rPr>
              <w:t>Executive Vice President and Chief Financial Officer of ABM since November 2020; Senior</w:t>
            </w:r>
          </w:p>
        </w:tc>
      </w:tr>
      <w:tr>
        <w:trPr>
          <w:trHeight w:val="176"/>
        </w:trPr>
        <w:tc>
          <w:tcPr>
            <w:tcW w:w="2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140" w:type="dxa"/>
            <w:vAlign w:val="bottom"/>
          </w:tcPr>
          <w:p>
            <w:pPr>
              <w:ind w:left="300"/>
              <w:spacing w:after="0" w:line="175" w:lineRule="exact"/>
              <w:rPr>
                <w:sz w:val="20"/>
                <w:szCs w:val="20"/>
                <w:color w:val="auto"/>
              </w:rPr>
            </w:pPr>
            <w:r>
              <w:rPr>
                <w:rFonts w:ascii="Arial" w:cs="Arial" w:eastAsia="Arial" w:hAnsi="Arial"/>
                <w:sz w:val="16"/>
                <w:szCs w:val="16"/>
                <w:color w:val="auto"/>
              </w:rPr>
              <w:t>Vice President, Finance and Procurement of Best Buy Co. Inc. from January 2018 to</w:t>
            </w:r>
          </w:p>
        </w:tc>
      </w:tr>
      <w:tr>
        <w:trPr>
          <w:trHeight w:val="175"/>
        </w:trPr>
        <w:tc>
          <w:tcPr>
            <w:tcW w:w="2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140" w:type="dxa"/>
            <w:vAlign w:val="bottom"/>
          </w:tcPr>
          <w:p>
            <w:pPr>
              <w:ind w:left="300"/>
              <w:spacing w:after="0" w:line="175" w:lineRule="exact"/>
              <w:rPr>
                <w:sz w:val="20"/>
                <w:szCs w:val="20"/>
                <w:color w:val="auto"/>
              </w:rPr>
            </w:pPr>
            <w:r>
              <w:rPr>
                <w:rFonts w:ascii="Arial" w:cs="Arial" w:eastAsia="Arial" w:hAnsi="Arial"/>
                <w:sz w:val="16"/>
                <w:szCs w:val="16"/>
                <w:color w:val="auto"/>
              </w:rPr>
              <w:t>November 2020; Chief Financial Officer of Best Buy Canada from May 2016 to December</w:t>
            </w:r>
          </w:p>
        </w:tc>
      </w:tr>
      <w:tr>
        <w:trPr>
          <w:trHeight w:val="176"/>
        </w:trPr>
        <w:tc>
          <w:tcPr>
            <w:tcW w:w="2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140" w:type="dxa"/>
            <w:vAlign w:val="bottom"/>
          </w:tcPr>
          <w:p>
            <w:pPr>
              <w:ind w:left="300"/>
              <w:spacing w:after="0" w:line="175" w:lineRule="exact"/>
              <w:rPr>
                <w:sz w:val="20"/>
                <w:szCs w:val="20"/>
                <w:color w:val="auto"/>
              </w:rPr>
            </w:pPr>
            <w:r>
              <w:rPr>
                <w:rFonts w:ascii="Arial" w:cs="Arial" w:eastAsia="Arial" w:hAnsi="Arial"/>
                <w:sz w:val="16"/>
                <w:szCs w:val="16"/>
                <w:color w:val="auto"/>
              </w:rPr>
              <w:t>2017; Vice President, Finance, Retail of Canadian Tire Corporation Limited from May 2014 to</w:t>
            </w:r>
          </w:p>
        </w:tc>
      </w:tr>
      <w:tr>
        <w:trPr>
          <w:trHeight w:val="204"/>
        </w:trPr>
        <w:tc>
          <w:tcPr>
            <w:tcW w:w="2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140" w:type="dxa"/>
            <w:vAlign w:val="bottom"/>
          </w:tcPr>
          <w:p>
            <w:pPr>
              <w:ind w:left="300"/>
              <w:spacing w:after="0"/>
              <w:rPr>
                <w:sz w:val="20"/>
                <w:szCs w:val="20"/>
                <w:color w:val="auto"/>
              </w:rPr>
            </w:pPr>
            <w:r>
              <w:rPr>
                <w:rFonts w:ascii="Arial" w:cs="Arial" w:eastAsia="Arial" w:hAnsi="Arial"/>
                <w:sz w:val="16"/>
                <w:szCs w:val="16"/>
                <w:color w:val="auto"/>
              </w:rPr>
              <w:t>May 2016.</w:t>
            </w:r>
          </w:p>
        </w:tc>
      </w:tr>
      <w:tr>
        <w:trPr>
          <w:trHeight w:val="201"/>
        </w:trPr>
        <w:tc>
          <w:tcPr>
            <w:tcW w:w="2520" w:type="dxa"/>
            <w:vAlign w:val="bottom"/>
            <w:shd w:val="clear" w:color="auto" w:fill="DCE2EF"/>
          </w:tcPr>
          <w:p>
            <w:pPr>
              <w:ind w:left="20"/>
              <w:spacing w:after="0"/>
              <w:rPr>
                <w:sz w:val="20"/>
                <w:szCs w:val="20"/>
                <w:color w:val="auto"/>
              </w:rPr>
            </w:pPr>
            <w:r>
              <w:rPr>
                <w:rFonts w:ascii="Arial" w:cs="Arial" w:eastAsia="Arial" w:hAnsi="Arial"/>
                <w:sz w:val="16"/>
                <w:szCs w:val="16"/>
                <w:color w:val="auto"/>
              </w:rPr>
              <w:t>Joshua H. Feinberg</w:t>
            </w:r>
          </w:p>
        </w:tc>
        <w:tc>
          <w:tcPr>
            <w:tcW w:w="1540" w:type="dxa"/>
            <w:vAlign w:val="bottom"/>
            <w:shd w:val="clear" w:color="auto" w:fill="DCE2EF"/>
          </w:tcPr>
          <w:p>
            <w:pPr>
              <w:jc w:val="right"/>
              <w:ind w:right="219"/>
              <w:spacing w:after="0"/>
              <w:rPr>
                <w:sz w:val="20"/>
                <w:szCs w:val="20"/>
                <w:color w:val="auto"/>
              </w:rPr>
            </w:pPr>
            <w:r>
              <w:rPr>
                <w:rFonts w:ascii="Arial" w:cs="Arial" w:eastAsia="Arial" w:hAnsi="Arial"/>
                <w:sz w:val="16"/>
                <w:szCs w:val="16"/>
                <w:color w:val="auto"/>
              </w:rPr>
              <w:t>47</w:t>
            </w:r>
          </w:p>
        </w:tc>
        <w:tc>
          <w:tcPr>
            <w:tcW w:w="7140" w:type="dxa"/>
            <w:vAlign w:val="bottom"/>
            <w:shd w:val="clear" w:color="auto" w:fill="DCE2EF"/>
          </w:tcPr>
          <w:p>
            <w:pPr>
              <w:ind w:left="300"/>
              <w:spacing w:after="0"/>
              <w:rPr>
                <w:sz w:val="20"/>
                <w:szCs w:val="20"/>
                <w:color w:val="auto"/>
              </w:rPr>
            </w:pPr>
            <w:r>
              <w:rPr>
                <w:rFonts w:ascii="Arial" w:cs="Arial" w:eastAsia="Arial" w:hAnsi="Arial"/>
                <w:sz w:val="16"/>
                <w:szCs w:val="16"/>
                <w:color w:val="auto"/>
              </w:rPr>
              <w:t>Executive Vice President, Chief Strategy and Transformation Officer of ABM since November</w:t>
            </w:r>
          </w:p>
        </w:tc>
      </w:tr>
      <w:tr>
        <w:trPr>
          <w:trHeight w:val="175"/>
        </w:trPr>
        <w:tc>
          <w:tcPr>
            <w:tcW w:w="2520" w:type="dxa"/>
            <w:vAlign w:val="bottom"/>
            <w:shd w:val="clear" w:color="auto" w:fill="DCE2EF"/>
          </w:tcPr>
          <w:p>
            <w:pPr>
              <w:spacing w:after="0"/>
              <w:rPr>
                <w:sz w:val="15"/>
                <w:szCs w:val="15"/>
                <w:color w:val="auto"/>
              </w:rPr>
            </w:pPr>
          </w:p>
        </w:tc>
        <w:tc>
          <w:tcPr>
            <w:tcW w:w="1540" w:type="dxa"/>
            <w:vAlign w:val="bottom"/>
            <w:shd w:val="clear" w:color="auto" w:fill="DCE2EF"/>
          </w:tcPr>
          <w:p>
            <w:pPr>
              <w:spacing w:after="0"/>
              <w:rPr>
                <w:sz w:val="15"/>
                <w:szCs w:val="15"/>
                <w:color w:val="auto"/>
              </w:rPr>
            </w:pPr>
          </w:p>
        </w:tc>
        <w:tc>
          <w:tcPr>
            <w:tcW w:w="7140" w:type="dxa"/>
            <w:vAlign w:val="bottom"/>
            <w:shd w:val="clear" w:color="auto" w:fill="DCE2EF"/>
          </w:tcPr>
          <w:p>
            <w:pPr>
              <w:ind w:left="300"/>
              <w:spacing w:after="0" w:line="175" w:lineRule="exact"/>
              <w:rPr>
                <w:sz w:val="20"/>
                <w:szCs w:val="20"/>
                <w:color w:val="auto"/>
              </w:rPr>
            </w:pPr>
            <w:r>
              <w:rPr>
                <w:rFonts w:ascii="Arial" w:cs="Arial" w:eastAsia="Arial" w:hAnsi="Arial"/>
                <w:sz w:val="16"/>
                <w:szCs w:val="16"/>
                <w:color w:val="auto"/>
              </w:rPr>
              <w:t>2019; Managing Director and Partner of The Boston Consulting Group from July 2014 to</w:t>
            </w:r>
          </w:p>
        </w:tc>
      </w:tr>
      <w:tr>
        <w:trPr>
          <w:trHeight w:val="214"/>
        </w:trPr>
        <w:tc>
          <w:tcPr>
            <w:tcW w:w="2520" w:type="dxa"/>
            <w:vAlign w:val="bottom"/>
            <w:shd w:val="clear" w:color="auto" w:fill="DCE2EF"/>
          </w:tcPr>
          <w:p>
            <w:pPr>
              <w:spacing w:after="0"/>
              <w:rPr>
                <w:sz w:val="18"/>
                <w:szCs w:val="18"/>
                <w:color w:val="auto"/>
              </w:rPr>
            </w:pPr>
          </w:p>
        </w:tc>
        <w:tc>
          <w:tcPr>
            <w:tcW w:w="1540" w:type="dxa"/>
            <w:vAlign w:val="bottom"/>
            <w:shd w:val="clear" w:color="auto" w:fill="DCE2EF"/>
          </w:tcPr>
          <w:p>
            <w:pPr>
              <w:spacing w:after="0"/>
              <w:rPr>
                <w:sz w:val="18"/>
                <w:szCs w:val="18"/>
                <w:color w:val="auto"/>
              </w:rPr>
            </w:pPr>
          </w:p>
        </w:tc>
        <w:tc>
          <w:tcPr>
            <w:tcW w:w="7140" w:type="dxa"/>
            <w:vAlign w:val="bottom"/>
            <w:shd w:val="clear" w:color="auto" w:fill="DCE2EF"/>
          </w:tcPr>
          <w:p>
            <w:pPr>
              <w:ind w:left="300"/>
              <w:spacing w:after="0"/>
              <w:rPr>
                <w:sz w:val="20"/>
                <w:szCs w:val="20"/>
                <w:color w:val="auto"/>
              </w:rPr>
            </w:pPr>
            <w:r>
              <w:rPr>
                <w:rFonts w:ascii="Arial" w:cs="Arial" w:eastAsia="Arial" w:hAnsi="Arial"/>
                <w:sz w:val="16"/>
                <w:szCs w:val="16"/>
                <w:color w:val="auto"/>
              </w:rPr>
              <w:t>November 2019.</w:t>
            </w:r>
          </w:p>
        </w:tc>
      </w:tr>
      <w:tr>
        <w:trPr>
          <w:trHeight w:val="191"/>
        </w:trPr>
        <w:tc>
          <w:tcPr>
            <w:tcW w:w="2520" w:type="dxa"/>
            <w:vAlign w:val="bottom"/>
          </w:tcPr>
          <w:p>
            <w:pPr>
              <w:ind w:left="20"/>
              <w:spacing w:after="0"/>
              <w:rPr>
                <w:sz w:val="20"/>
                <w:szCs w:val="20"/>
                <w:color w:val="auto"/>
              </w:rPr>
            </w:pPr>
            <w:r>
              <w:rPr>
                <w:rFonts w:ascii="Arial" w:cs="Arial" w:eastAsia="Arial" w:hAnsi="Arial"/>
                <w:sz w:val="16"/>
                <w:szCs w:val="16"/>
                <w:color w:val="auto"/>
              </w:rPr>
              <w:t>Rene Jacobsen</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60</w:t>
            </w:r>
          </w:p>
        </w:tc>
        <w:tc>
          <w:tcPr>
            <w:tcW w:w="7140" w:type="dxa"/>
            <w:vAlign w:val="bottom"/>
          </w:tcPr>
          <w:p>
            <w:pPr>
              <w:ind w:left="300"/>
              <w:spacing w:after="0"/>
              <w:rPr>
                <w:sz w:val="20"/>
                <w:szCs w:val="20"/>
                <w:color w:val="auto"/>
              </w:rPr>
            </w:pPr>
            <w:r>
              <w:rPr>
                <w:rFonts w:ascii="Arial" w:cs="Arial" w:eastAsia="Arial" w:hAnsi="Arial"/>
                <w:sz w:val="16"/>
                <w:szCs w:val="16"/>
                <w:color w:val="auto"/>
              </w:rPr>
              <w:t>Executive Vice President and Chief Operating Officer of ABM since November 2020; Executive</w:t>
            </w:r>
          </w:p>
        </w:tc>
      </w:tr>
      <w:tr>
        <w:trPr>
          <w:trHeight w:val="175"/>
        </w:trPr>
        <w:tc>
          <w:tcPr>
            <w:tcW w:w="2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140" w:type="dxa"/>
            <w:vAlign w:val="bottom"/>
          </w:tcPr>
          <w:p>
            <w:pPr>
              <w:ind w:left="300"/>
              <w:spacing w:after="0" w:line="175" w:lineRule="exact"/>
              <w:rPr>
                <w:sz w:val="20"/>
                <w:szCs w:val="20"/>
                <w:color w:val="auto"/>
              </w:rPr>
            </w:pPr>
            <w:r>
              <w:rPr>
                <w:rFonts w:ascii="Arial" w:cs="Arial" w:eastAsia="Arial" w:hAnsi="Arial"/>
                <w:sz w:val="16"/>
                <w:szCs w:val="16"/>
                <w:color w:val="auto"/>
              </w:rPr>
              <w:t>Vice President and Chief Facilities Services Officer of ABM from October 2019 to November</w:t>
            </w:r>
          </w:p>
        </w:tc>
      </w:tr>
      <w:tr>
        <w:trPr>
          <w:trHeight w:val="175"/>
        </w:trPr>
        <w:tc>
          <w:tcPr>
            <w:tcW w:w="2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140" w:type="dxa"/>
            <w:vAlign w:val="bottom"/>
          </w:tcPr>
          <w:p>
            <w:pPr>
              <w:ind w:left="300"/>
              <w:spacing w:after="0" w:line="175" w:lineRule="exact"/>
              <w:rPr>
                <w:sz w:val="20"/>
                <w:szCs w:val="20"/>
                <w:color w:val="auto"/>
              </w:rPr>
            </w:pPr>
            <w:r>
              <w:rPr>
                <w:rFonts w:ascii="Arial" w:cs="Arial" w:eastAsia="Arial" w:hAnsi="Arial"/>
                <w:sz w:val="16"/>
                <w:szCs w:val="16"/>
                <w:color w:val="auto"/>
              </w:rPr>
              <w:t>2020; President of ABM’s Business &amp; Industry Group from February 2016 to October 2019;</w:t>
            </w:r>
          </w:p>
        </w:tc>
      </w:tr>
      <w:tr>
        <w:trPr>
          <w:trHeight w:val="175"/>
        </w:trPr>
        <w:tc>
          <w:tcPr>
            <w:tcW w:w="2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140" w:type="dxa"/>
            <w:vAlign w:val="bottom"/>
          </w:tcPr>
          <w:p>
            <w:pPr>
              <w:ind w:left="300"/>
              <w:spacing w:after="0" w:line="175" w:lineRule="exact"/>
              <w:rPr>
                <w:sz w:val="20"/>
                <w:szCs w:val="20"/>
                <w:color w:val="auto"/>
              </w:rPr>
            </w:pPr>
            <w:r>
              <w:rPr>
                <w:rFonts w:ascii="Arial" w:cs="Arial" w:eastAsia="Arial" w:hAnsi="Arial"/>
                <w:sz w:val="16"/>
                <w:szCs w:val="16"/>
                <w:color w:val="auto"/>
              </w:rPr>
              <w:t>Executive Vice President of ABM’s West Region from April 2012 to February 2016; Executive</w:t>
            </w:r>
          </w:p>
        </w:tc>
      </w:tr>
      <w:tr>
        <w:trPr>
          <w:trHeight w:val="175"/>
        </w:trPr>
        <w:tc>
          <w:tcPr>
            <w:tcW w:w="2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140" w:type="dxa"/>
            <w:vAlign w:val="bottom"/>
          </w:tcPr>
          <w:p>
            <w:pPr>
              <w:ind w:left="300"/>
              <w:spacing w:after="0" w:line="175" w:lineRule="exact"/>
              <w:rPr>
                <w:sz w:val="20"/>
                <w:szCs w:val="20"/>
                <w:color w:val="auto"/>
              </w:rPr>
            </w:pPr>
            <w:r>
              <w:rPr>
                <w:rFonts w:ascii="Arial" w:cs="Arial" w:eastAsia="Arial" w:hAnsi="Arial"/>
                <w:sz w:val="16"/>
                <w:szCs w:val="16"/>
                <w:color w:val="auto"/>
              </w:rPr>
              <w:t>Vice President and Chief Operating Officer of Temco Service Industries from November 2007</w:t>
            </w:r>
          </w:p>
        </w:tc>
      </w:tr>
      <w:tr>
        <w:trPr>
          <w:trHeight w:val="204"/>
        </w:trPr>
        <w:tc>
          <w:tcPr>
            <w:tcW w:w="2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140" w:type="dxa"/>
            <w:vAlign w:val="bottom"/>
          </w:tcPr>
          <w:p>
            <w:pPr>
              <w:ind w:left="300"/>
              <w:spacing w:after="0"/>
              <w:rPr>
                <w:sz w:val="20"/>
                <w:szCs w:val="20"/>
                <w:color w:val="auto"/>
              </w:rPr>
            </w:pPr>
            <w:r>
              <w:rPr>
                <w:rFonts w:ascii="Arial" w:cs="Arial" w:eastAsia="Arial" w:hAnsi="Arial"/>
                <w:sz w:val="16"/>
                <w:szCs w:val="16"/>
                <w:color w:val="auto"/>
              </w:rPr>
              <w:t>to April 2012.</w:t>
            </w:r>
          </w:p>
        </w:tc>
      </w:tr>
      <w:tr>
        <w:trPr>
          <w:trHeight w:val="187"/>
        </w:trPr>
        <w:tc>
          <w:tcPr>
            <w:tcW w:w="2520" w:type="dxa"/>
            <w:vAlign w:val="bottom"/>
            <w:shd w:val="clear" w:color="auto" w:fill="DCE2EF"/>
          </w:tcPr>
          <w:p>
            <w:pPr>
              <w:ind w:left="20"/>
              <w:spacing w:after="0"/>
              <w:rPr>
                <w:sz w:val="20"/>
                <w:szCs w:val="20"/>
                <w:color w:val="auto"/>
              </w:rPr>
            </w:pPr>
            <w:r>
              <w:rPr>
                <w:rFonts w:ascii="Arial" w:cs="Arial" w:eastAsia="Arial" w:hAnsi="Arial"/>
                <w:sz w:val="16"/>
                <w:szCs w:val="16"/>
                <w:color w:val="auto"/>
              </w:rPr>
              <w:t>Sean M. Mahoney</w:t>
            </w:r>
          </w:p>
        </w:tc>
        <w:tc>
          <w:tcPr>
            <w:tcW w:w="1540" w:type="dxa"/>
            <w:vAlign w:val="bottom"/>
            <w:shd w:val="clear" w:color="auto" w:fill="DCE2EF"/>
          </w:tcPr>
          <w:p>
            <w:pPr>
              <w:jc w:val="right"/>
              <w:ind w:right="219"/>
              <w:spacing w:after="0"/>
              <w:rPr>
                <w:sz w:val="20"/>
                <w:szCs w:val="20"/>
                <w:color w:val="auto"/>
              </w:rPr>
            </w:pPr>
            <w:r>
              <w:rPr>
                <w:rFonts w:ascii="Arial" w:cs="Arial" w:eastAsia="Arial" w:hAnsi="Arial"/>
                <w:sz w:val="16"/>
                <w:szCs w:val="16"/>
                <w:color w:val="auto"/>
              </w:rPr>
              <w:t>55</w:t>
            </w:r>
          </w:p>
        </w:tc>
        <w:tc>
          <w:tcPr>
            <w:tcW w:w="7140" w:type="dxa"/>
            <w:vAlign w:val="bottom"/>
            <w:shd w:val="clear" w:color="auto" w:fill="DCE2EF"/>
          </w:tcPr>
          <w:p>
            <w:pPr>
              <w:ind w:left="300"/>
              <w:spacing w:after="0"/>
              <w:rPr>
                <w:sz w:val="20"/>
                <w:szCs w:val="20"/>
                <w:color w:val="auto"/>
              </w:rPr>
            </w:pPr>
            <w:r>
              <w:rPr>
                <w:rFonts w:ascii="Arial" w:cs="Arial" w:eastAsia="Arial" w:hAnsi="Arial"/>
                <w:sz w:val="16"/>
                <w:szCs w:val="16"/>
                <w:color w:val="auto"/>
              </w:rPr>
              <w:t>Executive Vice President and President, Sales and Marketing of ABM since November 2020;</w:t>
            </w:r>
          </w:p>
        </w:tc>
      </w:tr>
      <w:tr>
        <w:trPr>
          <w:trHeight w:val="162"/>
        </w:trPr>
        <w:tc>
          <w:tcPr>
            <w:tcW w:w="2520" w:type="dxa"/>
            <w:vAlign w:val="bottom"/>
            <w:shd w:val="clear" w:color="auto" w:fill="DCE2EF"/>
          </w:tcPr>
          <w:p>
            <w:pPr>
              <w:spacing w:after="0"/>
              <w:rPr>
                <w:sz w:val="14"/>
                <w:szCs w:val="14"/>
                <w:color w:val="auto"/>
              </w:rPr>
            </w:pPr>
          </w:p>
        </w:tc>
        <w:tc>
          <w:tcPr>
            <w:tcW w:w="1540" w:type="dxa"/>
            <w:vAlign w:val="bottom"/>
            <w:shd w:val="clear" w:color="auto" w:fill="DCE2EF"/>
          </w:tcPr>
          <w:p>
            <w:pPr>
              <w:spacing w:after="0"/>
              <w:rPr>
                <w:sz w:val="14"/>
                <w:szCs w:val="14"/>
                <w:color w:val="auto"/>
              </w:rPr>
            </w:pPr>
          </w:p>
        </w:tc>
        <w:tc>
          <w:tcPr>
            <w:tcW w:w="7140" w:type="dxa"/>
            <w:vAlign w:val="bottom"/>
            <w:shd w:val="clear" w:color="auto" w:fill="DCE2EF"/>
          </w:tcPr>
          <w:p>
            <w:pPr>
              <w:ind w:left="300"/>
              <w:spacing w:after="0" w:line="162" w:lineRule="exact"/>
              <w:rPr>
                <w:sz w:val="20"/>
                <w:szCs w:val="20"/>
                <w:color w:val="auto"/>
              </w:rPr>
            </w:pPr>
            <w:r>
              <w:rPr>
                <w:rFonts w:ascii="Arial" w:cs="Arial" w:eastAsia="Arial" w:hAnsi="Arial"/>
                <w:sz w:val="16"/>
                <w:szCs w:val="16"/>
                <w:color w:val="auto"/>
              </w:rPr>
              <w:t>Senior Vice President, Sales of ABM from August 2017 to October 2020; Vice President, Sales</w:t>
            </w:r>
          </w:p>
        </w:tc>
      </w:tr>
      <w:tr>
        <w:trPr>
          <w:trHeight w:val="201"/>
        </w:trPr>
        <w:tc>
          <w:tcPr>
            <w:tcW w:w="2520" w:type="dxa"/>
            <w:vAlign w:val="bottom"/>
            <w:shd w:val="clear" w:color="auto" w:fill="DCE2EF"/>
          </w:tcPr>
          <w:p>
            <w:pPr>
              <w:spacing w:after="0"/>
              <w:rPr>
                <w:sz w:val="17"/>
                <w:szCs w:val="17"/>
                <w:color w:val="auto"/>
              </w:rPr>
            </w:pPr>
          </w:p>
        </w:tc>
        <w:tc>
          <w:tcPr>
            <w:tcW w:w="1540" w:type="dxa"/>
            <w:vAlign w:val="bottom"/>
            <w:shd w:val="clear" w:color="auto" w:fill="DCE2EF"/>
          </w:tcPr>
          <w:p>
            <w:pPr>
              <w:spacing w:after="0"/>
              <w:rPr>
                <w:sz w:val="17"/>
                <w:szCs w:val="17"/>
                <w:color w:val="auto"/>
              </w:rPr>
            </w:pPr>
          </w:p>
        </w:tc>
        <w:tc>
          <w:tcPr>
            <w:tcW w:w="7140" w:type="dxa"/>
            <w:vAlign w:val="bottom"/>
            <w:shd w:val="clear" w:color="auto" w:fill="DCE2EF"/>
          </w:tcPr>
          <w:p>
            <w:pPr>
              <w:ind w:left="300"/>
              <w:spacing w:after="0"/>
              <w:rPr>
                <w:sz w:val="20"/>
                <w:szCs w:val="20"/>
                <w:color w:val="auto"/>
              </w:rPr>
            </w:pPr>
            <w:r>
              <w:rPr>
                <w:rFonts w:ascii="Arial" w:cs="Arial" w:eastAsia="Arial" w:hAnsi="Arial"/>
                <w:sz w:val="16"/>
                <w:szCs w:val="16"/>
                <w:color w:val="auto"/>
              </w:rPr>
              <w:t>of Honeywell from July 2015 to July 2017.</w:t>
            </w:r>
          </w:p>
        </w:tc>
      </w:tr>
      <w:tr>
        <w:trPr>
          <w:trHeight w:val="191"/>
        </w:trPr>
        <w:tc>
          <w:tcPr>
            <w:tcW w:w="2520" w:type="dxa"/>
            <w:vAlign w:val="bottom"/>
          </w:tcPr>
          <w:p>
            <w:pPr>
              <w:ind w:left="20"/>
              <w:spacing w:after="0"/>
              <w:rPr>
                <w:sz w:val="20"/>
                <w:szCs w:val="20"/>
                <w:color w:val="auto"/>
              </w:rPr>
            </w:pPr>
            <w:r>
              <w:rPr>
                <w:rFonts w:ascii="Arial" w:cs="Arial" w:eastAsia="Arial" w:hAnsi="Arial"/>
                <w:sz w:val="16"/>
                <w:szCs w:val="16"/>
                <w:color w:val="auto"/>
              </w:rPr>
              <w:t>Andrea R. Newborn</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58</w:t>
            </w:r>
          </w:p>
        </w:tc>
        <w:tc>
          <w:tcPr>
            <w:tcW w:w="7140" w:type="dxa"/>
            <w:vAlign w:val="bottom"/>
          </w:tcPr>
          <w:p>
            <w:pPr>
              <w:ind w:left="300"/>
              <w:spacing w:after="0"/>
              <w:rPr>
                <w:sz w:val="20"/>
                <w:szCs w:val="20"/>
                <w:color w:val="auto"/>
              </w:rPr>
            </w:pPr>
            <w:r>
              <w:rPr>
                <w:rFonts w:ascii="Arial" w:cs="Arial" w:eastAsia="Arial" w:hAnsi="Arial"/>
                <w:sz w:val="16"/>
                <w:szCs w:val="16"/>
                <w:color w:val="auto"/>
              </w:rPr>
              <w:t>Executive Vice President, General Counsel, and Corporate Secretary of ABM since July 2017;</w:t>
            </w:r>
          </w:p>
        </w:tc>
      </w:tr>
      <w:tr>
        <w:trPr>
          <w:trHeight w:val="175"/>
        </w:trPr>
        <w:tc>
          <w:tcPr>
            <w:tcW w:w="2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140" w:type="dxa"/>
            <w:vAlign w:val="bottom"/>
          </w:tcPr>
          <w:p>
            <w:pPr>
              <w:ind w:left="300"/>
              <w:spacing w:after="0" w:line="175" w:lineRule="exact"/>
              <w:rPr>
                <w:sz w:val="20"/>
                <w:szCs w:val="20"/>
                <w:color w:val="auto"/>
              </w:rPr>
            </w:pPr>
            <w:r>
              <w:rPr>
                <w:rFonts w:ascii="Arial" w:cs="Arial" w:eastAsia="Arial" w:hAnsi="Arial"/>
                <w:sz w:val="16"/>
                <w:szCs w:val="16"/>
                <w:color w:val="auto"/>
              </w:rPr>
              <w:t>Executive Vice President and General Counsel of TravelClick, Inc. from July 2014 to June</w:t>
            </w:r>
          </w:p>
        </w:tc>
      </w:tr>
      <w:tr>
        <w:trPr>
          <w:trHeight w:val="175"/>
        </w:trPr>
        <w:tc>
          <w:tcPr>
            <w:tcW w:w="2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140" w:type="dxa"/>
            <w:vAlign w:val="bottom"/>
          </w:tcPr>
          <w:p>
            <w:pPr>
              <w:ind w:left="300"/>
              <w:spacing w:after="0" w:line="175" w:lineRule="exact"/>
              <w:rPr>
                <w:sz w:val="20"/>
                <w:szCs w:val="20"/>
                <w:color w:val="auto"/>
              </w:rPr>
            </w:pPr>
            <w:r>
              <w:rPr>
                <w:rFonts w:ascii="Arial" w:cs="Arial" w:eastAsia="Arial" w:hAnsi="Arial"/>
                <w:sz w:val="16"/>
                <w:szCs w:val="16"/>
                <w:color w:val="auto"/>
              </w:rPr>
              <w:t>21017; Senior Vice President, General Counsel, and Secretary of The Reader’s Digest</w:t>
            </w:r>
          </w:p>
        </w:tc>
      </w:tr>
      <w:tr>
        <w:trPr>
          <w:trHeight w:val="204"/>
        </w:trPr>
        <w:tc>
          <w:tcPr>
            <w:tcW w:w="2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140" w:type="dxa"/>
            <w:vAlign w:val="bottom"/>
          </w:tcPr>
          <w:p>
            <w:pPr>
              <w:ind w:left="300"/>
              <w:spacing w:after="0"/>
              <w:rPr>
                <w:sz w:val="20"/>
                <w:szCs w:val="20"/>
                <w:color w:val="auto"/>
              </w:rPr>
            </w:pPr>
            <w:r>
              <w:rPr>
                <w:rFonts w:ascii="Arial" w:cs="Arial" w:eastAsia="Arial" w:hAnsi="Arial"/>
                <w:sz w:val="16"/>
                <w:szCs w:val="16"/>
                <w:color w:val="auto"/>
              </w:rPr>
              <w:t>Association, Inc. from March 2007 to February 2014.</w:t>
            </w:r>
          </w:p>
        </w:tc>
      </w:tr>
      <w:tr>
        <w:trPr>
          <w:trHeight w:val="201"/>
        </w:trPr>
        <w:tc>
          <w:tcPr>
            <w:tcW w:w="2520" w:type="dxa"/>
            <w:vAlign w:val="bottom"/>
            <w:shd w:val="clear" w:color="auto" w:fill="DCE2EF"/>
          </w:tcPr>
          <w:p>
            <w:pPr>
              <w:ind w:left="20"/>
              <w:spacing w:after="0"/>
              <w:rPr>
                <w:sz w:val="20"/>
                <w:szCs w:val="20"/>
                <w:color w:val="auto"/>
              </w:rPr>
            </w:pPr>
            <w:r>
              <w:rPr>
                <w:rFonts w:ascii="Arial" w:cs="Arial" w:eastAsia="Arial" w:hAnsi="Arial"/>
                <w:sz w:val="16"/>
                <w:szCs w:val="16"/>
                <w:color w:val="auto"/>
              </w:rPr>
              <w:t>Raúl Valentin</w:t>
            </w:r>
          </w:p>
        </w:tc>
        <w:tc>
          <w:tcPr>
            <w:tcW w:w="1540" w:type="dxa"/>
            <w:vAlign w:val="bottom"/>
            <w:shd w:val="clear" w:color="auto" w:fill="DCE2EF"/>
          </w:tcPr>
          <w:p>
            <w:pPr>
              <w:jc w:val="right"/>
              <w:ind w:right="219"/>
              <w:spacing w:after="0"/>
              <w:rPr>
                <w:sz w:val="20"/>
                <w:szCs w:val="20"/>
                <w:color w:val="auto"/>
              </w:rPr>
            </w:pPr>
            <w:r>
              <w:rPr>
                <w:rFonts w:ascii="Arial" w:cs="Arial" w:eastAsia="Arial" w:hAnsi="Arial"/>
                <w:sz w:val="16"/>
                <w:szCs w:val="16"/>
                <w:color w:val="auto"/>
              </w:rPr>
              <w:t>58</w:t>
            </w:r>
          </w:p>
        </w:tc>
        <w:tc>
          <w:tcPr>
            <w:tcW w:w="7140" w:type="dxa"/>
            <w:vAlign w:val="bottom"/>
            <w:shd w:val="clear" w:color="auto" w:fill="DCE2EF"/>
          </w:tcPr>
          <w:p>
            <w:pPr>
              <w:ind w:left="300"/>
              <w:spacing w:after="0"/>
              <w:rPr>
                <w:sz w:val="20"/>
                <w:szCs w:val="20"/>
                <w:color w:val="auto"/>
              </w:rPr>
            </w:pPr>
            <w:r>
              <w:rPr>
                <w:rFonts w:ascii="Arial" w:cs="Arial" w:eastAsia="Arial" w:hAnsi="Arial"/>
                <w:sz w:val="16"/>
                <w:szCs w:val="16"/>
                <w:color w:val="auto"/>
              </w:rPr>
              <w:t>Executive Vice President and Chief Human Resources Officer of ABM since September 2021;</w:t>
            </w:r>
          </w:p>
        </w:tc>
      </w:tr>
      <w:tr>
        <w:trPr>
          <w:trHeight w:val="175"/>
        </w:trPr>
        <w:tc>
          <w:tcPr>
            <w:tcW w:w="2520" w:type="dxa"/>
            <w:vAlign w:val="bottom"/>
            <w:shd w:val="clear" w:color="auto" w:fill="DCE2EF"/>
          </w:tcPr>
          <w:p>
            <w:pPr>
              <w:spacing w:after="0"/>
              <w:rPr>
                <w:sz w:val="15"/>
                <w:szCs w:val="15"/>
                <w:color w:val="auto"/>
              </w:rPr>
            </w:pPr>
          </w:p>
        </w:tc>
        <w:tc>
          <w:tcPr>
            <w:tcW w:w="1540" w:type="dxa"/>
            <w:vAlign w:val="bottom"/>
            <w:shd w:val="clear" w:color="auto" w:fill="DCE2EF"/>
          </w:tcPr>
          <w:p>
            <w:pPr>
              <w:spacing w:after="0"/>
              <w:rPr>
                <w:sz w:val="15"/>
                <w:szCs w:val="15"/>
                <w:color w:val="auto"/>
              </w:rPr>
            </w:pPr>
          </w:p>
        </w:tc>
        <w:tc>
          <w:tcPr>
            <w:tcW w:w="7140" w:type="dxa"/>
            <w:vAlign w:val="bottom"/>
            <w:shd w:val="clear" w:color="auto" w:fill="DCE2EF"/>
          </w:tcPr>
          <w:p>
            <w:pPr>
              <w:ind w:left="300"/>
              <w:spacing w:after="0" w:line="175" w:lineRule="exact"/>
              <w:rPr>
                <w:sz w:val="20"/>
                <w:szCs w:val="20"/>
                <w:color w:val="auto"/>
              </w:rPr>
            </w:pPr>
            <w:r>
              <w:rPr>
                <w:rFonts w:ascii="Arial" w:cs="Arial" w:eastAsia="Arial" w:hAnsi="Arial"/>
                <w:sz w:val="16"/>
                <w:szCs w:val="16"/>
                <w:color w:val="auto"/>
              </w:rPr>
              <w:t>Senior Vice President, Human Resources of ABM from February 2019 to August 2021; Senior</w:t>
            </w:r>
          </w:p>
        </w:tc>
      </w:tr>
      <w:tr>
        <w:trPr>
          <w:trHeight w:val="176"/>
        </w:trPr>
        <w:tc>
          <w:tcPr>
            <w:tcW w:w="2520" w:type="dxa"/>
            <w:vAlign w:val="bottom"/>
            <w:shd w:val="clear" w:color="auto" w:fill="DCE2EF"/>
          </w:tcPr>
          <w:p>
            <w:pPr>
              <w:spacing w:after="0"/>
              <w:rPr>
                <w:sz w:val="15"/>
                <w:szCs w:val="15"/>
                <w:color w:val="auto"/>
              </w:rPr>
            </w:pPr>
          </w:p>
        </w:tc>
        <w:tc>
          <w:tcPr>
            <w:tcW w:w="1540" w:type="dxa"/>
            <w:vAlign w:val="bottom"/>
            <w:shd w:val="clear" w:color="auto" w:fill="DCE2EF"/>
          </w:tcPr>
          <w:p>
            <w:pPr>
              <w:spacing w:after="0"/>
              <w:rPr>
                <w:sz w:val="15"/>
                <w:szCs w:val="15"/>
                <w:color w:val="auto"/>
              </w:rPr>
            </w:pPr>
          </w:p>
        </w:tc>
        <w:tc>
          <w:tcPr>
            <w:tcW w:w="7140" w:type="dxa"/>
            <w:vAlign w:val="bottom"/>
            <w:shd w:val="clear" w:color="auto" w:fill="DCE2EF"/>
          </w:tcPr>
          <w:p>
            <w:pPr>
              <w:ind w:left="300"/>
              <w:spacing w:after="0" w:line="175" w:lineRule="exact"/>
              <w:rPr>
                <w:sz w:val="20"/>
                <w:szCs w:val="20"/>
                <w:color w:val="auto"/>
              </w:rPr>
            </w:pPr>
            <w:r>
              <w:rPr>
                <w:rFonts w:ascii="Arial" w:cs="Arial" w:eastAsia="Arial" w:hAnsi="Arial"/>
                <w:sz w:val="16"/>
                <w:szCs w:val="16"/>
                <w:color w:val="auto"/>
              </w:rPr>
              <w:t>Vice President, Human Resources of Coty Inc. from 2016 to 2018; Vice President, Human</w:t>
            </w:r>
          </w:p>
        </w:tc>
      </w:tr>
      <w:tr>
        <w:trPr>
          <w:trHeight w:val="175"/>
        </w:trPr>
        <w:tc>
          <w:tcPr>
            <w:tcW w:w="2520" w:type="dxa"/>
            <w:vAlign w:val="bottom"/>
            <w:shd w:val="clear" w:color="auto" w:fill="DCE2EF"/>
          </w:tcPr>
          <w:p>
            <w:pPr>
              <w:spacing w:after="0"/>
              <w:rPr>
                <w:sz w:val="15"/>
                <w:szCs w:val="15"/>
                <w:color w:val="auto"/>
              </w:rPr>
            </w:pPr>
          </w:p>
        </w:tc>
        <w:tc>
          <w:tcPr>
            <w:tcW w:w="1540" w:type="dxa"/>
            <w:vAlign w:val="bottom"/>
            <w:shd w:val="clear" w:color="auto" w:fill="DCE2EF"/>
          </w:tcPr>
          <w:p>
            <w:pPr>
              <w:spacing w:after="0"/>
              <w:rPr>
                <w:sz w:val="15"/>
                <w:szCs w:val="15"/>
                <w:color w:val="auto"/>
              </w:rPr>
            </w:pPr>
          </w:p>
        </w:tc>
        <w:tc>
          <w:tcPr>
            <w:tcW w:w="7140" w:type="dxa"/>
            <w:vAlign w:val="bottom"/>
            <w:shd w:val="clear" w:color="auto" w:fill="DCE2EF"/>
          </w:tcPr>
          <w:p>
            <w:pPr>
              <w:ind w:left="300"/>
              <w:spacing w:after="0" w:line="175" w:lineRule="exact"/>
              <w:rPr>
                <w:sz w:val="20"/>
                <w:szCs w:val="20"/>
                <w:color w:val="auto"/>
              </w:rPr>
            </w:pPr>
            <w:r>
              <w:rPr>
                <w:rFonts w:ascii="Arial" w:cs="Arial" w:eastAsia="Arial" w:hAnsi="Arial"/>
                <w:sz w:val="16"/>
                <w:szCs w:val="16"/>
                <w:color w:val="auto"/>
              </w:rPr>
              <w:t>Resources of Comcast Strategic &amp; Business Development from 2015 to 2016; Vice President,</w:t>
            </w:r>
          </w:p>
        </w:tc>
      </w:tr>
      <w:tr>
        <w:trPr>
          <w:trHeight w:val="214"/>
        </w:trPr>
        <w:tc>
          <w:tcPr>
            <w:tcW w:w="2520" w:type="dxa"/>
            <w:vAlign w:val="bottom"/>
            <w:shd w:val="clear" w:color="auto" w:fill="DCE2EF"/>
          </w:tcPr>
          <w:p>
            <w:pPr>
              <w:spacing w:after="0"/>
              <w:rPr>
                <w:sz w:val="18"/>
                <w:szCs w:val="18"/>
                <w:color w:val="auto"/>
              </w:rPr>
            </w:pPr>
          </w:p>
        </w:tc>
        <w:tc>
          <w:tcPr>
            <w:tcW w:w="1540" w:type="dxa"/>
            <w:vAlign w:val="bottom"/>
            <w:shd w:val="clear" w:color="auto" w:fill="DCE2EF"/>
          </w:tcPr>
          <w:p>
            <w:pPr>
              <w:spacing w:after="0"/>
              <w:rPr>
                <w:sz w:val="18"/>
                <w:szCs w:val="18"/>
                <w:color w:val="auto"/>
              </w:rPr>
            </w:pPr>
          </w:p>
        </w:tc>
        <w:tc>
          <w:tcPr>
            <w:tcW w:w="7140" w:type="dxa"/>
            <w:vAlign w:val="bottom"/>
            <w:shd w:val="clear" w:color="auto" w:fill="DCE2EF"/>
          </w:tcPr>
          <w:p>
            <w:pPr>
              <w:ind w:left="300"/>
              <w:spacing w:after="0"/>
              <w:rPr>
                <w:sz w:val="20"/>
                <w:szCs w:val="20"/>
                <w:color w:val="auto"/>
              </w:rPr>
            </w:pPr>
            <w:r>
              <w:rPr>
                <w:rFonts w:ascii="Arial" w:cs="Arial" w:eastAsia="Arial" w:hAnsi="Arial"/>
                <w:sz w:val="16"/>
                <w:szCs w:val="16"/>
                <w:color w:val="auto"/>
              </w:rPr>
              <w:t>Talent Acquisition of Comcast from 2011 to 2015.</w:t>
            </w:r>
          </w:p>
        </w:tc>
      </w:tr>
      <w:tr>
        <w:trPr>
          <w:trHeight w:val="191"/>
        </w:trPr>
        <w:tc>
          <w:tcPr>
            <w:tcW w:w="2520" w:type="dxa"/>
            <w:vAlign w:val="bottom"/>
          </w:tcPr>
          <w:p>
            <w:pPr>
              <w:ind w:left="20"/>
              <w:spacing w:after="0"/>
              <w:rPr>
                <w:sz w:val="20"/>
                <w:szCs w:val="20"/>
                <w:color w:val="auto"/>
              </w:rPr>
            </w:pPr>
            <w:r>
              <w:rPr>
                <w:rFonts w:ascii="Arial" w:cs="Arial" w:eastAsia="Arial" w:hAnsi="Arial"/>
                <w:sz w:val="16"/>
                <w:szCs w:val="16"/>
                <w:color w:val="auto"/>
              </w:rPr>
              <w:t>Dean A. Chin</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53</w:t>
            </w:r>
          </w:p>
        </w:tc>
        <w:tc>
          <w:tcPr>
            <w:tcW w:w="7140" w:type="dxa"/>
            <w:vAlign w:val="bottom"/>
          </w:tcPr>
          <w:p>
            <w:pPr>
              <w:ind w:left="300"/>
              <w:spacing w:after="0"/>
              <w:rPr>
                <w:sz w:val="20"/>
                <w:szCs w:val="20"/>
                <w:color w:val="auto"/>
              </w:rPr>
            </w:pPr>
            <w:r>
              <w:rPr>
                <w:rFonts w:ascii="Arial" w:cs="Arial" w:eastAsia="Arial" w:hAnsi="Arial"/>
                <w:sz w:val="16"/>
                <w:szCs w:val="16"/>
                <w:color w:val="auto"/>
              </w:rPr>
              <w:t>Treasurer of ABM since May 2021; Senior Vice President, Chief Accounting Officer, and</w:t>
            </w:r>
          </w:p>
        </w:tc>
      </w:tr>
      <w:tr>
        <w:trPr>
          <w:trHeight w:val="175"/>
        </w:trPr>
        <w:tc>
          <w:tcPr>
            <w:tcW w:w="2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140" w:type="dxa"/>
            <w:vAlign w:val="bottom"/>
          </w:tcPr>
          <w:p>
            <w:pPr>
              <w:ind w:left="300"/>
              <w:spacing w:after="0" w:line="175" w:lineRule="exact"/>
              <w:rPr>
                <w:sz w:val="20"/>
                <w:szCs w:val="20"/>
                <w:color w:val="auto"/>
              </w:rPr>
            </w:pPr>
            <w:r>
              <w:rPr>
                <w:rFonts w:ascii="Arial" w:cs="Arial" w:eastAsia="Arial" w:hAnsi="Arial"/>
                <w:sz w:val="16"/>
                <w:szCs w:val="16"/>
                <w:color w:val="auto"/>
              </w:rPr>
              <w:t>Corporate Controller of ABM since June 2010; Interim Chief Financial Officer of ABM from July</w:t>
            </w:r>
          </w:p>
        </w:tc>
      </w:tr>
      <w:tr>
        <w:trPr>
          <w:trHeight w:val="175"/>
        </w:trPr>
        <w:tc>
          <w:tcPr>
            <w:tcW w:w="2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140" w:type="dxa"/>
            <w:vAlign w:val="bottom"/>
          </w:tcPr>
          <w:p>
            <w:pPr>
              <w:ind w:left="300"/>
              <w:spacing w:after="0" w:line="175" w:lineRule="exact"/>
              <w:rPr>
                <w:sz w:val="20"/>
                <w:szCs w:val="20"/>
                <w:color w:val="auto"/>
              </w:rPr>
            </w:pPr>
            <w:r>
              <w:rPr>
                <w:rFonts w:ascii="Arial" w:cs="Arial" w:eastAsia="Arial" w:hAnsi="Arial"/>
                <w:sz w:val="16"/>
                <w:szCs w:val="16"/>
                <w:color w:val="auto"/>
              </w:rPr>
              <w:t>2020 to November 2020; Vice President and Assistant Controller of ABM from June 2008 to</w:t>
            </w:r>
          </w:p>
        </w:tc>
      </w:tr>
      <w:tr>
        <w:trPr>
          <w:trHeight w:val="195"/>
        </w:trPr>
        <w:tc>
          <w:tcPr>
            <w:tcW w:w="2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140" w:type="dxa"/>
            <w:vAlign w:val="bottom"/>
          </w:tcPr>
          <w:p>
            <w:pPr>
              <w:ind w:left="300"/>
              <w:spacing w:after="0"/>
              <w:rPr>
                <w:sz w:val="20"/>
                <w:szCs w:val="20"/>
                <w:color w:val="auto"/>
              </w:rPr>
            </w:pPr>
            <w:r>
              <w:rPr>
                <w:rFonts w:ascii="Arial" w:cs="Arial" w:eastAsia="Arial" w:hAnsi="Arial"/>
                <w:sz w:val="16"/>
                <w:szCs w:val="16"/>
                <w:color w:val="auto"/>
              </w:rPr>
              <w:t>June 2010.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0046AD"/>
        </w:rPr>
        <w:t>ITEM 1A. RISK FACTORS.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following risks, some of which have occurred and any of which may occur in the future, could materially and adversely affect our business, financial condition, cash flows, results of operations, and/or the trading price of our common stock. The risks described below identify the material risks we face; however, our business could also be affected by factors that are not presently known to us or that we currently consider to be immaterial. You should carefully consider the risks described below in addition to the other information set forth in this Annual Report on Form 10-K, including “Management’s Discussion and Analysis of Financial Condition and Results of Operations” (“MD&amp;A”) and the consolidated financial statements and accompanying notes (the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Risks Relating to the Pandemic</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46AD"/>
        </w:rPr>
        <w:t>The Pandemic has had and is expected to continue having a negative effect on the global economy and the United States economy. It has disrupted and is expected to continue disrupting our operations and our clients’ operations, which may adversely affect our business, results of operations, cash flows, and financial condition.</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Pandemic and measures taken by authorities in response to the Pandemic, such as travel bans and restrictions, shelter-in-place/stay-at-home orders, and business and school shutdowns, have disrupted and are expected to continue disrupting the economy and our business. These disruptions heighten the potential adverse effects on our business, financial condition, results of operations, and cash flows that are described in certain of the risk factors described below. The evolving scale and scope of the Pandemic will affect the degree of these adverse effects, including, but not limited to, the likelihood of and impacts from:</w:t>
      </w:r>
    </w:p>
    <w:p>
      <w:pPr>
        <w:spacing w:after="0" w:line="151" w:lineRule="exact"/>
        <w:rPr>
          <w:sz w:val="20"/>
          <w:szCs w:val="20"/>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overall economic conditions, which have been and will likely continue to be adversely impacted by the Pandemic and related shutdowns;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sufficient key personnel due to employee illness, quarantine requirements, vaccine requirements, worker absences, social-distancing requirements, and travel or other restrictions;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availability and productivity of labor;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or expanded closures of our clients’ facilities;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clients’ demand and ability to pay for our services, or attempts by our clients to defer payments owed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new clients, expand, or otherwise execute strategic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new legal or regulatory requirements enacted in connection with the Pandemic;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legal actions or proceedings related to the Pandemic; and</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third parties on which we rely, including our suppliers, to timely meet their obligations to us, or significant disruptions in their ability to do so.</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extent of the impact of the Pandemic depends on future developments and remains highly uncertain due to the unknown duration and severity of the Pandemic. Given these uncertainties, we cannot estimate the full impacts the Pandemic will have on our business, results of operations, cash flows, or financial condition, but the adverse impacts could be material.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Risks Relating to Our Strategy and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Our success depends on our ability to gain profitable business despite competitive market pressures.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Each aspect of our business is highly competitive and such competition is based primarily on price, quality of service, and ability to anticipate and respond to industry changes. A majority of our revenue is derived from services that require competitive bids. The low cost of entry in the facility services business results in a very competitive market. We compete mainly with regional and local owner-operated companies that may have more acute vision into local markets and significantly lower labor and overhead costs, providing them with a competitive advantage in those regards. We also compete indirectly with companies that can perform for themselves one or more of the services we provide. Further, if we are unable to respond adequately to changing technology, we may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3" w:name="page14"/>
    <w:bookmarkEnd w:id="13"/>
    <w:p>
      <w:pPr>
        <w:jc w:val="both"/>
        <w:spacing w:after="0" w:line="261" w:lineRule="auto"/>
        <w:rPr>
          <w:sz w:val="20"/>
          <w:szCs w:val="20"/>
          <w:color w:val="auto"/>
        </w:rPr>
      </w:pPr>
      <w:r>
        <w:rPr>
          <w:rFonts w:ascii="Arial" w:cs="Arial" w:eastAsia="Arial" w:hAnsi="Arial"/>
          <w:sz w:val="18"/>
          <w:szCs w:val="18"/>
          <w:color w:val="auto"/>
        </w:rPr>
        <w:t>lose existing clients and fail to win future business opportunities. A failure to respond effectively to competitive pressures or failure in our ability to increase prices as costs rise could reduce margins and materially adversely affect our financial performance.</w:t>
      </w:r>
    </w:p>
    <w:p>
      <w:pPr>
        <w:spacing w:after="0" w:line="12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0046AD"/>
        </w:rPr>
        <w:t>Our business success depends on our ability to attract and retain qualified personnel and senior management and to manage labor costs.</w:t>
      </w:r>
    </w:p>
    <w:p>
      <w:pPr>
        <w:spacing w:after="0" w:line="1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future performance depends on the continuing services and contributions of our senior management and on our continued ability to attract and retain qualified personnel. Any unplanned turnover in senior management or inability to attract and retain qualified personnel could have a negative effect on our results of operations. We employ approximately 124,000 persons, and our operations depend on the services of a large and diverse workforce. We must attract, train, and retain a large and growing number of qualified employees while controlling related labor costs. Our ability to control labor and benefit costs is subject to numerous internal and external factors, including changes in the unemployment rate, changes in immigration policy, regulatory changes, prevailing wage rates, and competition we face from other companies for qualified employees. During 2021, we experienced an overall tightening and increasingly competitive labor market. This was attributed to, among other things, increased federal unemployment subsidies, including unemployment benefits offered in response to the ongoing Pandemic, and other government regulations. A sustained labor shortage could lead to increased costs, such as increased overtime incurred to meet the demands of our customers and increased wage rates to attract and retain employees. Further, many of our contracts provide that our clients pay certain costs at specified rates, such as insurance, healthcare costs, salary and salary-related expenses, and other costs. If actual costs exceed the rates specified in the contracts, our profitability may be negatively impacted. There is no assurance that in the future we will be able to attract or retain qualified employees or effectively manage labor and benefit costs, which could have a material adverse effect on our business, financial condition, and results of operations.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46AD"/>
        </w:rPr>
        <w:t xml:space="preserve">Investments in and changes to our businesses, operating structure, financial reporting structure, or personnel relating to our </w:t>
      </w:r>
      <w:r>
        <w:rPr>
          <w:rFonts w:ascii="Arial" w:cs="Arial" w:eastAsia="Arial" w:hAnsi="Arial"/>
          <w:sz w:val="18"/>
          <w:szCs w:val="18"/>
          <w:b w:val="1"/>
          <w:bCs w:val="1"/>
          <w:i w:val="1"/>
          <w:iCs w:val="1"/>
          <w:color w:val="E98300"/>
        </w:rPr>
        <w:t xml:space="preserve">ELEVATE </w:t>
      </w:r>
      <w:r>
        <w:rPr>
          <w:rFonts w:ascii="Arial" w:cs="Arial" w:eastAsia="Arial" w:hAnsi="Arial"/>
          <w:sz w:val="18"/>
          <w:szCs w:val="18"/>
          <w:b w:val="1"/>
          <w:bCs w:val="1"/>
          <w:i w:val="1"/>
          <w:iCs w:val="1"/>
          <w:color w:val="0046AD"/>
        </w:rPr>
        <w:t>strategy, including the implementation of strategic transformations, enhanced business processes, and technology</w:t>
      </w:r>
      <w:r>
        <w:rPr>
          <w:rFonts w:ascii="Arial" w:cs="Arial" w:eastAsia="Arial" w:hAnsi="Arial"/>
          <w:sz w:val="18"/>
          <w:szCs w:val="18"/>
          <w:b w:val="1"/>
          <w:bCs w:val="1"/>
          <w:i w:val="1"/>
          <w:iCs w:val="1"/>
          <w:color w:val="E98300"/>
        </w:rPr>
        <w:t xml:space="preserve"> </w:t>
      </w:r>
      <w:r>
        <w:rPr>
          <w:rFonts w:ascii="Arial" w:cs="Arial" w:eastAsia="Arial" w:hAnsi="Arial"/>
          <w:sz w:val="18"/>
          <w:szCs w:val="18"/>
          <w:b w:val="1"/>
          <w:bCs w:val="1"/>
          <w:i w:val="1"/>
          <w:iCs w:val="1"/>
          <w:color w:val="0046AD"/>
        </w:rPr>
        <w:t>initiatives, may not have the desired effects on our financial condition and results of operations.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We have made and expect to continue to make significant investments in various initiatives intended to drive long-term profitable growth and increase operational efficiency. These investments in and changes to our business systems and processes may not create the growth, operational efficiencies, competitive advantage, or cost benefits that we expect and could result in unanticipated consequences, including substantial disruption to our back-office operations and service delivery. Moreover, the execution of our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strategy may result in substantial expenses in excess of what is currently forecast. While we anticipate that certain expenses will be incurred, such expenses are difficult to estimate accurately and may exceed current estimates.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Our ability to preserve long-term client relationships is essential to our continued success.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primarily provide services pursuant to agreements that are cancelable by either party upon 30 to 90 days’ notice. As we generally incur higher initial costs on new contracts until the labor management and facilities operations normalize, our business associated with long-term client relationships is generally more profitable than short-term client relationships. If we lose a significant number of long-term clients, our profitability could be negatively impacted, even if we gain equivalent revenues from new clients.</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depend to a large extent on our relationships with clients and our reputation for quality integrated facility solutions. Maintaining our existing client relationships is an important factor contributing to our business success. Among other things, adverse publicity stemming from an accident or other incident involving our facility operations or employees related to injury, illness, death, or alleged criminal activity could harm our reputation, result in the cancellation of contracts or inability to retain clients, and expose us to significant liability.</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46AD"/>
        </w:rPr>
        <w:t>Our international business involves risks different from those we face in the United States that could have an effect on our results of operations and financial condition.</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business operations in jurisdictions outside of the United States, most significantly in the United Kingdom. Our international operations are subject to risks that are different from those we face in the United States and subject us to complex and frequently changing laws and regulations, including differing labor laws and regulations relating to the protection of certain information that we collect and maintain about our employees, clients, and other third parties. Among these laws is the U.K. Modern Slavery Act, the U.K. Bribery Act, and the European Union General Data Protection Regulation (the “GDPR”), which took effect in May 2018. The failure to</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14" w:name="page15"/>
    <w:bookmarkEnd w:id="14"/>
    <w:p>
      <w:pPr>
        <w:jc w:val="both"/>
        <w:spacing w:after="0" w:line="254" w:lineRule="auto"/>
        <w:rPr>
          <w:sz w:val="20"/>
          <w:szCs w:val="20"/>
          <w:color w:val="auto"/>
        </w:rPr>
      </w:pPr>
      <w:r>
        <w:rPr>
          <w:rFonts w:ascii="Arial" w:cs="Arial" w:eastAsia="Arial" w:hAnsi="Arial"/>
          <w:sz w:val="18"/>
          <w:szCs w:val="18"/>
          <w:color w:val="auto"/>
        </w:rPr>
        <w:t>comply with these laws or regulations could subject us to significant litigation, monetary damages, regulatory enforcement actions, or fines in one or more jurisdictions. More generally, the economic, political, monetary, and operational impacts of Brexit, including unanticipated impacts to the U.K. real estate market and general economic conditions in the United Kingdom, could negatively impact our U.K. business, including reducing our margins.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when we participate in joint ventures that operate outside of the United States where we are not a controlling party, we may have limited control over the joint venture. Any improper actions by our joint venture employees, partners, or agents, including, but not limited to, failure to comply with the U.S. Foreign Corrupt Practices Act, the U.K. Bribery Act, and/or laws relating to human trafficking, could result in civil or criminal investigations, monetary and non-monetary penalties, or other consequences, any of which could have an adverse effect on our financial position as well as on our reputation and ability to conduct business.</w:t>
      </w:r>
    </w:p>
    <w:p>
      <w:pPr>
        <w:spacing w:after="0" w:line="15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Additionally, the operating results of our non-U.S. subsidiaries are translated into U.S. dollars, and those translations are affected by movements in foreign currencies relative to the U.S. dollar. There can be no assurance that the foregoing factors will not have a material adverse effect on our international operations or on our consolidated financial condition and results of operations.</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46AD"/>
        </w:rPr>
        <w:t>Our use of subcontractors or joint venture partners to perform work under customer contracts exposes us to liability and financial risk.</w:t>
      </w:r>
    </w:p>
    <w:p>
      <w:pPr>
        <w:spacing w:after="0" w:line="1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depend on subcontractors or other parties, such as joint venture partners, to perform work in situations in which we are not able to self-perform the work involved. Such arrangements may involve subcontracts or joint venture relationships where we do not have direct control over the performing party. We may be exposed to liability whenever one or more of our subcontractors or joint venture partners, for whatever reason, fails to perform or allegedly negligently performs the agreed-upon services. Although we have in place controls and programs to monitor the work of our subcontractors and our joint venture partners, there can be no assurance that these controls or programs will have the desired effect, and we may incur significant liability as a result of the actions or inactions of one or more of our subcontractors or joint venture partners.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Risks Relating to Acquisitions, Including the Able Acquisition, and Relating to Divestitures, or Strategic Transactions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46AD"/>
        </w:rPr>
        <w:t>Acquisitions, divestitures, and other strategic transactions could fail to achieve financial or strategic objectives, disrupt our ongoing business, and adversely impact our results of operations.</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furtherance of our business strategy, we routinely evaluate opportunities and may enter into agreements for possible acquisitions, divestitures, or other strategic transactions. In the past, a significant portion of our growth has been generated by acquisitions, and we may continue to acquire businesses in the future as part of our growth strategy. However, we may encounter challenges identifying opportunities in a timely manner or on terms acceptable to us. Furthermore, there is no assurance that any such transaction will result in synergistic benefits. A potential acquisition, divestiture, or other strategic transaction may involve a number of risks including, but not limited to:</w:t>
      </w:r>
    </w:p>
    <w:p>
      <w:pPr>
        <w:spacing w:after="0" w:line="15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transaction may not effectively advance our business strategy, and its anticipated benefits may never materialize;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ongoing operations may be disrupted, and management time and focus may be diverted;</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clients or key employees of an acquired business may not remain, which could negatively impact our ability to grow that acquired business;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integration of an acquired business’s accounting, information technology, HR, and other administrative systems may fail to permit effective management and expense reduction;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unforeseen challenges may arise in implementing internal controls, procedures, and policies;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additional indebtedness incurred as a result of an acquisition may impact our financial position, results of operations, and cash flows;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or unknown liabilities may arise related to an acquired business.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15" w:name="page16"/>
    <w:bookmarkEnd w:id="15"/>
    <w:p>
      <w:pPr>
        <w:ind w:right="940"/>
        <w:spacing w:after="0" w:line="287" w:lineRule="auto"/>
        <w:rPr>
          <w:sz w:val="20"/>
          <w:szCs w:val="20"/>
          <w:color w:val="auto"/>
        </w:rPr>
      </w:pPr>
      <w:r>
        <w:rPr>
          <w:rFonts w:ascii="Arial" w:cs="Arial" w:eastAsia="Arial" w:hAnsi="Arial"/>
          <w:sz w:val="18"/>
          <w:szCs w:val="18"/>
          <w:b w:val="1"/>
          <w:bCs w:val="1"/>
          <w:i w:val="1"/>
          <w:iCs w:val="1"/>
          <w:color w:val="0046AD"/>
        </w:rPr>
        <w:t>We may experience difficulties integrating Able and may not realize the growth opportunities and cost synergies that are anticipated from the Able Acquisition</w:t>
      </w:r>
    </w:p>
    <w:p>
      <w:pPr>
        <w:spacing w:after="0" w:line="1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There is a significant degree of difficulty, management distraction, and expense inherent in the process of integrating an acquisition as sizable as Able. The process of integrating Able could cause an interruption of, or loss of momentum in, our activities, including with respect to our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program or the activities of the Able business. Members of our senior management may be required to devote considerable time to this integration process, which will decrease the time they will have to manage our Company, service existing clients, and attract new clients. If senior management is not able to effectively manage the integration process, or if any significant business activities are interrupted as a result of the integration process, our business could suffer.</w:t>
      </w:r>
    </w:p>
    <w:p>
      <w:pPr>
        <w:spacing w:after="0" w:line="15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Additionally, the benefits that are expected to result from the Able Acquisition will depend, in part, on our ability to realize the anticipated growth opportunities and cost synergies as a result of the Able Acquisition. Our success in realizing these growth opportunities and cost synergies, and the timing of this realization, depends on successful integration and a number of other factors. Even if we integrate Able successfully, this integration may not result in the realization of the full benefits of the growth opportunities and cost synergies we currently expect from the integration, and we cannot guarantee these benefits will be achieved within anticipated time frames or at all. For example, we may not be able to eliminate duplicative costs, and while it is anticipated that certain expenses will be incurred to achieve cost synergies, such expenses are difficult to estimate accurately and may exceed current estimates. Accordingly, the benefits from the Able Acquisition may be offset by costs incurred to integrate the business or delays in the integration process. In addition, the overall integration of Able with ABM may result in unanticipated problems, expenses, liabilities, competitive responses, loss of client and other relationships, and loss of key employees, any of which may adversely affect our results of operations, financial condition, and cash flow, and may cause our stock price to decline.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Risks Relating to Insurance and Safety Matters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0046AD"/>
        </w:rPr>
        <w:t>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w:t>
      </w:r>
    </w:p>
    <w:p>
      <w:pPr>
        <w:spacing w:after="0" w:line="14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We are responsible for claims both within and in excess of our retained limits under our insurance policies, and while we endeavor to purchase insurance coverage that is appropriate to our assessment of risk, we are unable to predict with certainty the frequency, nature, or magnitude of claims for direct or consequential damages. If our insurance coverage proves to be inadequate or unavailable, our business may be negatively impacted.</w:t>
      </w:r>
    </w:p>
    <w:p>
      <w:pPr>
        <w:spacing w:after="0" w:line="15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determination of required insurance reserves is dependent upon actuarial judgments. We use the results of actuarial studies to estimate insurance rates and insurance reserves for future periods and to adjust reserves, if appropriate, for prior years. Actual experience related to our insurance reserves can cause us to change our estimates for reserves and any such changes may materially impact results, causing significant volatility in our operating results.</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Should we be unable to renew our excess, umbrella, or other commercial insurance policies, it could have a material adverse impact on our business, as would the incurrence of catastrophic uninsured claims or the inability or refusal of our insurance carriers to pay otherwise insured claims. Further, to the extent that we self-insure our losses, deterioration in our loss control and/or our continuing claim management efforts could increase the overall cost of claims within our retained limits. A material change in our insurance costs due to changes in the frequency of claims, the severity of the claims, the costs of excess/umbrella premiums, or regulatory changes could have a material adverse effect on our financial position, results of operations, or cash flows.</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2015, we formed a wholly owned captive insurance company, IFM Assurance Company (“IFM”), which we believe has provided us with increased flexibility in the end-to-end management of our insurance program. There can be no assurance that IFM will continue to bring about the intended benefits or the desired flexibility in the management of our insurance programs, because we may experience unanticipated events that could reduce or eliminate expected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6" w:name="page17"/>
    <w:bookmarkEnd w:id="16"/>
    <w:p>
      <w:pPr>
        <w:jc w:val="both"/>
        <w:ind w:right="20"/>
        <w:spacing w:after="0" w:line="287" w:lineRule="auto"/>
        <w:rPr>
          <w:sz w:val="20"/>
          <w:szCs w:val="20"/>
          <w:color w:val="auto"/>
        </w:rPr>
      </w:pPr>
      <w:r>
        <w:rPr>
          <w:rFonts w:ascii="Arial" w:cs="Arial" w:eastAsia="Arial" w:hAnsi="Arial"/>
          <w:sz w:val="18"/>
          <w:szCs w:val="18"/>
          <w:b w:val="1"/>
          <w:bCs w:val="1"/>
          <w:i w:val="1"/>
          <w:iCs w:val="1"/>
          <w:color w:val="0046AD"/>
        </w:rPr>
        <w:t>Our risk management and safety programs may not have the intended effect of reducing our liability for personal injury or property loss.</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attempt to mitigate risks relating to personal injury or property loss through the implementation of company-wide safety and loss control efforts designed to decrease the incidence of accidents or events that might increase our liability. It is expected that any such decrease could also have the effect of reducing our insurance costs for our casualty programs. However, incidents involving personal injury or property loss may be caused by multiple potential factors, a significant number of which are beyond our control. Therefore, there can be no assurance that our risk management and safety programs will have the desired effect of controlling costs and liability exposure.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Risks Relating to Information Technology and Cybersecurity</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46AD"/>
        </w:rPr>
        <w:t>We may experience breaches of, or disruptions to, our information technology systems or those of our third-party providers or clients, or other compromises of our data that could adversely affect our business.</w:t>
      </w:r>
    </w:p>
    <w:p>
      <w:pPr>
        <w:spacing w:after="0" w:line="1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information technology systems and those of our third-party providers or clients could be the target of cyberattacks, ransomware attacks, hacking, unauthorized access, phishing, computer viruses, malware, or other intrusions, which could result in operational disruptions or information misappropriation, such as theft of intellectual property or inappropriate disclosure of confidential, proprietary, or personal information. We maintain confidential, proprietary, and personal information in our information technology systems and in systems of third-party providers relating to our current, former, and prospective employees, clients, and other third parties. We have experienced certain data and security breaches in the past and could experience future data or security breaches stemming from the intentional or negligent acts of our employees or other third parties. Furthermore, while we continue to devote significant resources to monitoring and updating our systems and implementing information security measures to protect our systems, there can be no assurance that the controls and procedures we have in place will be sufficient to protect us from future security breaches. As cyber threats are continually evolving, our controls and procedures may become inadequate and we may be required to devote additional resources to modifying or enhancing our systems in the future. We may also be required to expend resources to remediate cyber-related incidents or to enhance and strengthen our cybersecurity.</w:t>
      </w:r>
    </w:p>
    <w:p>
      <w:pPr>
        <w:spacing w:after="0" w:line="15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Any such disruptions to our information technology systems, breaches or compromises of data, and/or misappropriation of information could result in lost sales, negative publicity, litigation, violations of privacy and other laws, or business delays that could have a material adverse effect on our business. Additionally, we believe that along with the GDPR and the California Consumer Privacy Act, which went into effect on January 1, 2020, further increased regulation is likely in the area of data privacy. Compliance with this rapidly expanding area of law will require significant management and financial resources, and we could be subjected to additional legal risk or financial losses if we are not in compliance. This expanding area of law may also lead to potentially significant additional claims, including class action claims, being alleged against us.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Risks Relating to Labor, Legal Proceedings, Tax, and Regulatory Matters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0046AD"/>
        </w:rPr>
        <w:t>Unfavorable developments in our class and representative actions and other lawsuits alleging various claims could cause us to incur substantial liabilities.</w:t>
      </w:r>
    </w:p>
    <w:p>
      <w:pPr>
        <w:spacing w:after="0" w:line="1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Our business involves employing tens of thousands of employees, many of whom work at our clients’ facilities. We incur risks relating to our employment of these workers, including, but not limited to: claims by our employees of discrimination, harassment, violations of wage and hour requirements, or violations of other federal, state, or local laws; claims of misconduct or negligence on the part of our employees; and claims related to the employment of unlicensed personnel. We also incur risks and claims related to the imposition on our employees of policies or practices of our clients that may be different from our own. Some or all of these claims may lead to litigation, including class action litigation, and these matters may cause us to incur negative publicity with respect to alleged claims. Additionally, there are risks to all employers in some states, such as California, resulting from new and unanticipated judicial interpretations of existing laws and the application of those new interpretations against employers on a retroactive basis. It is not possible to predict the outcome of these lawsuits or any other proceeding, and our insurance may not cover all claims that may be asserted against us. These lawsuits and other proceedings may consume substantial amounts of our financial and managerial resources. An unfavorable outcome with respect to current lawsuits, including 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 described in Note 13, “Commitments and Contingencies,” in the Notes to consolidated financial statements (included in Part II., Item 8 of this Form 10-K), and any future lawsuits may, individually or in the aggregate, cause us to incur substantial liabilities that could have a material adverse effect upon our business, reputation, financial condition, results of operations, or cash flows.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7" w:name="page18"/>
    <w:bookmarkEnd w:id="17"/>
    <w:p>
      <w:pPr>
        <w:jc w:val="both"/>
        <w:spacing w:after="0" w:line="268" w:lineRule="auto"/>
        <w:rPr>
          <w:sz w:val="20"/>
          <w:szCs w:val="20"/>
          <w:color w:val="auto"/>
        </w:rPr>
      </w:pPr>
      <w:r>
        <w:rPr>
          <w:rFonts w:ascii="Arial" w:cs="Arial" w:eastAsia="Arial" w:hAnsi="Arial"/>
          <w:sz w:val="18"/>
          <w:szCs w:val="18"/>
          <w:b w:val="1"/>
          <w:bCs w:val="1"/>
          <w:i w:val="1"/>
          <w:iCs w:val="1"/>
          <w:color w:val="0046AD"/>
        </w:rPr>
        <w:t>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participate in various multiemployer pension plans that provide defined pension benefits to employees covered by collective bargaining agreements. Because of the nature of multiemployer pension plans, there are risks to us associated with participation in these plans that differ from single-employer plans. Assets contributed by an employer to a multiemployer pension plan are not segregated into a separate account and are not restricted to provide benefits only to employees of that contributing employer. In the event another participating employer in a multiemployer pension plan no longer contributes to the plan, the unfunded obligations of the plan may be borne by the remaining participating employers, including us. In the event of the termination of a multiemployer pension plan or a complete or partial withdrawal from a multiemployer pension plan, under applicable law we could incur material withdrawal liabilities. We further discuss our participation in multiemployer pension and postretirement plans in Note 12, “Employee Benefit Plans,” in the Notes to consolidated financial statements. In addition, the terms of collective bargaining agreements require us to contribute to various fringe benefit plans, including health and welfare, pension, and training plans, all of which require us to have appropriate systems in place to assure timely and accurate payment of contributions. The failure to make timely and accurate contributions as a result of a systems failure could have a negative impact on our financial position.</w:t>
      </w:r>
    </w:p>
    <w:p>
      <w:pPr>
        <w:spacing w:after="0" w:line="15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At October 31, 2021, approximately 35% of our employees were subject to various local collective bargaining agreements, some of which will expire or become subject to renegotiation during 2022. In addition, at any given time we may face union organizing activity. When one or more of our major collective bargaining agreements becomes subject to renegotiation or when we face union organizing drives, any disagreement between us and the union on important issues may lead to a strike, work slowdown, or other job actions at one or more of our locations. In a market where we are unionized but competitors are not unionized, we could lose clients to such competitors. A strike, work slowdown, or other job action could disrupt our services, resulting in reduced revenues or contract cancellations. Moreover, negotiating a first time collective bargaining agreement or renegotiating an existing agreement could result in a substantial increase in labor and benefits expenses that we may be unable to pass through to clients.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46AD"/>
        </w:rPr>
        <w:t>Our business may be materially affected by changes to fiscal and tax policies. Negative or unexpected tax consequences could adversely affect our results of operations.</w:t>
      </w:r>
    </w:p>
    <w:p>
      <w:pPr>
        <w:spacing w:after="0" w:line="1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are subject to a variety of taxes and tax collection and remittance obligations in the United States and foreign jurisdictions, primarily the United Kingdom. We compute our income tax provision based on enacted tax rates in the jurisdictions in which we operate. As tax rates vary among taxing jurisdictions, a change in earnings attributable to the various jurisdictions in which we operate could result in an unfavorable change in our overall tax provision. Additionally, at any point in time, we may be under examination for income-based, sales-based, payroll, or other non-income taxes. We regularly assess the likelihood of adverse outcomes resulting from these audits to determine the adequacy of our provision for income taxes. We may recognize additional tax expense, be subject to additional tax liabilities, or incur losses and penalties due to adverse outcomes in tax audits or changes in laws, regulations, administrative practices, principles, assessments by authorities, and interpretations related to tax laws, including tax rules in various jurisdictions, which could have an adverse effect on our operating results and 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Risks Relating to Market and Economic Conditions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0046AD"/>
        </w:rPr>
        <w:t>Changes in general economic conditions, such as changes in energy prices, government regulations, or consumer preferences, could reduce the demand for facility services and, as a result, reduce our earnings and adversely affect our financial condition.</w:t>
      </w:r>
    </w:p>
    <w:p>
      <w:pPr>
        <w:spacing w:after="0" w:line="1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certain geographic areas and service lines, our most profitable revenues are related to supplemental services requested by clients outside of the standard service specification (“work orders”). This contract type is commonly used in janitorial services and includes cleanup after tenant moves, construction cleanup, flood cleanup, and snow removal. A continuing decline in occupancy rates could result in a decline in scope of work, including work orders, and depressed prices for our services. Slow domestic and international economic growth or other negative changes in global, national, and local economic conditions could have a negative impact on our business. Specifically, adverse economic conditions may result in clients cutting back on discretionary spending. Additionally, since a significant portion of our aviation services and parking revenues are tied to the volume of airline passengers,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8" w:name="page19"/>
    <w:bookmarkEnd w:id="18"/>
    <w:p>
      <w:pPr>
        <w:jc w:val="both"/>
        <w:spacing w:after="0" w:line="256" w:lineRule="auto"/>
        <w:rPr>
          <w:sz w:val="20"/>
          <w:szCs w:val="20"/>
          <w:color w:val="auto"/>
        </w:rPr>
      </w:pPr>
      <w:r>
        <w:rPr>
          <w:rFonts w:ascii="Arial" w:cs="Arial" w:eastAsia="Arial" w:hAnsi="Arial"/>
          <w:sz w:val="18"/>
          <w:szCs w:val="18"/>
          <w:color w:val="auto"/>
        </w:rPr>
        <w:t>hotel guests, and sports arena attendees, results for these businesses could be adversely affected by continued curtailment of business, personal travel, or discretionary spending. The use of ride sharing services and car sharing services may also lead to a decline in parking demand at airports and in urban areas.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Energy efficiency projects are designed to reduce a client’s overall consumption of commodities, such as electricity and natural gas. As such, downward fluctuations in commodity prices may reduce client demand for those projects. We also depend, in part, on federal and state legislation and policies that support energy efficiency projects. If current legislation or policies are amended, eliminated, or not extended beyond their current expiration dates, or if funding for energy incentives is reduced or delayed, it could also adversely affect our ability to obtain new business. In some instances, we offer certain of these clients guaranteed energy savings on installed equipment. In the event those guaranteed savings are not achieved, we may be required to pay liquidated or other damages. All of these factors could have an adverse effect on our financial position, results of operations, and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Risks Relating to Financial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Future increases in the level of our borrowings or in interest rates could affect our results of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Although we have paid down portions of our indebtedness under our syndicated secured credit facility, our future ability to make payments on our debt, fund our other liquidity needs, and make planned capital expenditures will depend on our ability to generate cash. Our ability to generate cash, to a certain extent, is subject to general economic, financial, competitive, and other factors that are beyond our control. We cannot guarantee that our business will generate sufficient cash flow from our operations or that future borrowings will be available to us in an amount sufficient to enable us to make payments on our debt, fund other liquidity needs, make planned capital expenditures, or continue our dividend.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degree to which we are leveraged could have important consequences for shareholders. For example, being highly leveraged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could: require us to dedicate a substantial portion of our cash flows from operations to the payment of debt service, reducing the availability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our cash flow to fund working capital, share repurchases, capital expenditures, acquisitions, and other general corporate purposes; limit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availability to obtain additional financing in the future to enable us to react to changes in our business; and place us at a competitive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disadvantage compared to businesses in our industry that have less debt.</w:t>
      </w:r>
    </w:p>
    <w:p>
      <w:pPr>
        <w:spacing w:after="0" w:line="17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Additionally, any future increase in the level of our indebtedness will likely increase our interest expense, which could negatively impact our profitability. Current interest rates on borrowings under our credit facility are variable and include the use of the London Interbank Offered Rate (“LIBOR”). On March 5, 2021, the U.K. Financial Conduct Authority, the regulator of LIBOR, announced that the USD LIBOR rates will no longer be published after June 30, 2023. While we expect LIBOR to be available in substantially its current form until at least the end of June 30, 2023, it is possible that LIBOR will become unavailable prior to that point which may impact our credit facility and interest rate swaps. Our current credit agreement as well as our International Swaps and Derivatives Association, Inc. agreement provide for any changes away from LIBOR to a successor rate to be based on prevailing or equivalent standards, however, the discontinuation, reform, or replacement of LIBOR or any other benchmark rates may result in fluctuating interest rates that may have a negative impact on our interest expense and our profitability.</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Further, our credit facility contains both financial covenants and other covenants that limit our ability to engage in specific transactions. Any failure to comply with covenants in the credit facility could result in an event of default that, if not cured or waived, would have a material adverse effect on us.</w:t>
      </w:r>
    </w:p>
    <w:p>
      <w:pPr>
        <w:spacing w:after="0" w:line="12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0046AD"/>
        </w:rPr>
        <w:t>Impairment of goodwill and long-lived assets could have a material adverse effect on our financial condition and results of operations.</w:t>
      </w:r>
    </w:p>
    <w:p>
      <w:pPr>
        <w:spacing w:after="0" w:line="1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evaluate goodwill for impairment annually, in the fourth quarter, or more often if impairment indicators exist. We also review long-lived assets for impairment whenever events or changes in circumstances indicate that the carrying amount of such assets may not be recoverable. If the fair value of one of our reporting units is less than its carrying value, or if as a result of a recoverability test we conclude that the projected undiscounted cash flows are less than the carrying amount, we would record an impairment charge related to goodwill or long-lived assets, respectively. (For example, during the second quarter of 2020, given the general deterioration in economic and market conditions arising from the Pandemic, we identified a triggering event that resulted in the impairment of goodwill and intangible assets.) The assumptions used to determine impairment require significant judgment, and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19" w:name="page20"/>
    <w:bookmarkEnd w:id="19"/>
    <w:p>
      <w:pPr>
        <w:jc w:val="both"/>
        <w:spacing w:after="0" w:line="261" w:lineRule="auto"/>
        <w:rPr>
          <w:sz w:val="20"/>
          <w:szCs w:val="20"/>
          <w:color w:val="auto"/>
        </w:rPr>
      </w:pPr>
      <w:r>
        <w:rPr>
          <w:rFonts w:ascii="Arial" w:cs="Arial" w:eastAsia="Arial" w:hAnsi="Arial"/>
          <w:sz w:val="18"/>
          <w:szCs w:val="18"/>
          <w:color w:val="auto"/>
        </w:rPr>
        <w:t>the amount of the impairment could have a material adverse effect on our reported financial results for the period in which the charge is taken.</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46AD"/>
        </w:rPr>
        <w:t>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Pursuant to Section 404 of the Sarbanes-Oxley Act of 2002 and related rules, our management is required to report on,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in some instances, remediation. We have acquired entities that had no publicly traded debt or equity and therefore were not previously required to conform to the rules and regulations of the SEC, especially related to their internal control structure. When we acquire such entities, they may not have in place all the necessary controls as required by the Public Company Accounting Oversight Board. Integrating acquired entities into our internal control over financial reporting has required and will continue to require significant time and resources from our management and other personnel, which increases our compliance costs. We are required to include our assessment of the effectiveness of the internal controls over financial reporting of entities we acquire in our overall assessment, so we must plan to complete the evaluation and integration of internal controls over financial reporting and report our assessment within the required time frame.</w:t>
      </w:r>
    </w:p>
    <w:p>
      <w:pPr>
        <w:spacing w:after="0" w:line="15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with the increasing frequency of cyber-related frauds perpetrated to obtain inappropriate payments, we need to ensure our internal controls related to authorizing the transfer of funds and changing our vendor master files are adequate. Furthermore, the introduction of new, and changes to existing, enterprise resource planning (“ERP”) and financial reporting information systems create implementation and change management risks that require effective internal controls to mitigate. Failure to maintain an effective internal control environment could have a material adverse effect on our ability to accurately report our financial results, the market’s perception of our business, and our stock price.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General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Our business may be negatively impacted by adverse weather conditions.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Weather conditions such as snow storms, heavy flooding, hurricanes, and fluctuations in temperatures can negatively impact portions of our business. Within our Technical Solutions segment, cooler than normal temperatures in the summer could reduce the need for servicing of air conditioning units, resulting in reduced revenues and profitability. Within Parking and Aviation services, snow can lead to reduced travel activity, as well as increases in certain costs, both of which negatively affect gross profit. On the other hand, the absence of snow during the winter could cause us to experience reduced revenues in our B&amp;I segment, as many of our contracts specify additional payments for snow-related services.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Catastrophic events, disasters, and terrorist attacks could disrupt our services.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may encounter disruptions involving power, communications, transportation or other utilities, or essential services depended upon by us or by third parties with whom we conduct business. This could include disruptions due to disasters, pandemics, weather-related or similar events (such as fires, hurricanes, blizzards, earthquakes, and floods), political instability, labor strikes, or war (including acts of terrorism or hostilities) that could impact our markets. If a disruption occurs in one location and persons in that location are unable to communicate with or travel to or work from other locations, our ability to service and interact with our clients and others may suffer, and we may not be able to successfully implement contingency plans that depend on communications or travel. These events may increase the volatility of financial results due to unforeseen costs with partial or no corresponding compensation from clients. There also can be no assurance that the disaster recovery and crisis management procedures we employ will suffice in any particular situation to avoid a significant loss. In addition, to the extent centralized administrative locations are disabled for a long period of time, key business processes, such as accounts payable, information technology, payroll, and general management operations, could be interrupted.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Actions of activist investors could disrupt our business.</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Public companies have been the target of activist investors. In the event that a third party, such as an activist investor, proposes to change our governance policies, board of directors, or other aspects of our operations,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20" w:name="page21"/>
    <w:bookmarkEnd w:id="20"/>
    <w:p>
      <w:pPr>
        <w:jc w:val="both"/>
        <w:spacing w:after="0" w:line="254" w:lineRule="auto"/>
        <w:rPr>
          <w:sz w:val="20"/>
          <w:szCs w:val="20"/>
          <w:color w:val="auto"/>
        </w:rPr>
      </w:pPr>
      <w:r>
        <w:rPr>
          <w:rFonts w:ascii="Arial" w:cs="Arial" w:eastAsia="Arial" w:hAnsi="Arial"/>
          <w:sz w:val="18"/>
          <w:szCs w:val="18"/>
          <w:color w:val="auto"/>
        </w:rPr>
        <w:t>our review and consideration of such proposals may create a significant distraction for our management and employees. This could negatively impact our ability to execute various strategic initiatives and may require management to expend significant time and resources responding to such proposals. Such proposals may also create uncertainties with respect to our financial position and operations and may adversely affect our ability to attract and retain key employees.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1B. UNRESOLVED STAFF COMMENTS.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21" w:name="page22"/>
    <w:bookmarkEnd w:id="21"/>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2. PROPERTIES.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principal executive office is located at One Liberty Plaza, 7th Floor, New York, New York 10006.</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Principal Properties as of October 31, 2021</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Location</w:t>
            </w:r>
          </w:p>
        </w:tc>
        <w:tc>
          <w:tcPr>
            <w:tcW w:w="2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Character of Office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9"/>
              </w:rPr>
              <w:t>Approximate Square</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9"/>
              </w:rPr>
              <w:t>Lease Expiration Date,</w:t>
            </w:r>
          </w:p>
        </w:tc>
        <w:tc>
          <w:tcPr>
            <w:tcW w:w="2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Segment</w:t>
            </w:r>
          </w:p>
        </w:tc>
        <w:tc>
          <w:tcPr>
            <w:tcW w:w="0" w:type="dxa"/>
            <w:vAlign w:val="bottom"/>
          </w:tcPr>
          <w:p>
            <w:pPr>
              <w:spacing w:after="0"/>
              <w:rPr>
                <w:sz w:val="1"/>
                <w:szCs w:val="1"/>
                <w:color w:val="auto"/>
              </w:rPr>
            </w:pPr>
          </w:p>
        </w:tc>
      </w:tr>
      <w:tr>
        <w:trPr>
          <w:trHeight w:val="230"/>
        </w:trPr>
        <w:tc>
          <w:tcPr>
            <w:tcW w:w="2040" w:type="dxa"/>
            <w:vAlign w:val="bottom"/>
            <w:tcBorders>
              <w:bottom w:val="single" w:sz="8" w:color="auto"/>
            </w:tcBorders>
            <w:vMerge w:val="continue"/>
          </w:tcPr>
          <w:p>
            <w:pPr>
              <w:spacing w:after="0"/>
              <w:rPr>
                <w:sz w:val="19"/>
                <w:szCs w:val="19"/>
                <w:color w:val="auto"/>
              </w:rPr>
            </w:pPr>
          </w:p>
        </w:tc>
        <w:tc>
          <w:tcPr>
            <w:tcW w:w="2460" w:type="dxa"/>
            <w:vAlign w:val="bottom"/>
            <w:tcBorders>
              <w:bottom w:val="single" w:sz="8" w:color="auto"/>
            </w:tcBorders>
            <w:vMerge w:val="continue"/>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Feet</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Unless Owned</w:t>
            </w:r>
          </w:p>
        </w:tc>
        <w:tc>
          <w:tcPr>
            <w:tcW w:w="2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4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Alpharetta, Georgia</w:t>
            </w:r>
          </w:p>
        </w:tc>
        <w:tc>
          <w:tcPr>
            <w:tcW w:w="2460" w:type="dxa"/>
            <w:vAlign w:val="bottom"/>
            <w:shd w:val="clear" w:color="auto" w:fill="DCE2EF"/>
          </w:tcPr>
          <w:p>
            <w:pPr>
              <w:jc w:val="center"/>
              <w:spacing w:after="0" w:line="171" w:lineRule="exact"/>
              <w:rPr>
                <w:sz w:val="20"/>
                <w:szCs w:val="20"/>
                <w:color w:val="auto"/>
              </w:rPr>
            </w:pPr>
            <w:r>
              <w:rPr>
                <w:rFonts w:ascii="Arial" w:cs="Arial" w:eastAsia="Arial" w:hAnsi="Arial"/>
                <w:sz w:val="16"/>
                <w:szCs w:val="16"/>
                <w:color w:val="auto"/>
              </w:rPr>
              <w:t>IT Datacenter and Technical</w:t>
            </w:r>
          </w:p>
        </w:tc>
        <w:tc>
          <w:tcPr>
            <w:tcW w:w="216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25,000</w:t>
            </w:r>
          </w:p>
        </w:tc>
        <w:tc>
          <w:tcPr>
            <w:tcW w:w="228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Owned</w:t>
            </w:r>
          </w:p>
        </w:tc>
        <w:tc>
          <w:tcPr>
            <w:tcW w:w="224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All</w:t>
            </w:r>
          </w:p>
        </w:tc>
        <w:tc>
          <w:tcPr>
            <w:tcW w:w="0" w:type="dxa"/>
            <w:vAlign w:val="bottom"/>
          </w:tcPr>
          <w:p>
            <w:pPr>
              <w:spacing w:after="0"/>
              <w:rPr>
                <w:sz w:val="1"/>
                <w:szCs w:val="1"/>
                <w:color w:val="auto"/>
              </w:rPr>
            </w:pPr>
          </w:p>
        </w:tc>
      </w:tr>
      <w:tr>
        <w:trPr>
          <w:trHeight w:val="114"/>
        </w:trPr>
        <w:tc>
          <w:tcPr>
            <w:tcW w:w="2040" w:type="dxa"/>
            <w:vAlign w:val="bottom"/>
            <w:vMerge w:val="continue"/>
            <w:shd w:val="clear" w:color="auto" w:fill="DCE2EF"/>
          </w:tcPr>
          <w:p>
            <w:pPr>
              <w:spacing w:after="0"/>
              <w:rPr>
                <w:sz w:val="9"/>
                <w:szCs w:val="9"/>
                <w:color w:val="auto"/>
              </w:rPr>
            </w:pPr>
          </w:p>
        </w:tc>
        <w:tc>
          <w:tcPr>
            <w:tcW w:w="246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Solutions Headquarters</w:t>
            </w:r>
          </w:p>
        </w:tc>
        <w:tc>
          <w:tcPr>
            <w:tcW w:w="2160" w:type="dxa"/>
            <w:vAlign w:val="bottom"/>
            <w:vMerge w:val="continue"/>
            <w:shd w:val="clear" w:color="auto" w:fill="DCE2EF"/>
          </w:tcPr>
          <w:p>
            <w:pPr>
              <w:spacing w:after="0"/>
              <w:rPr>
                <w:sz w:val="9"/>
                <w:szCs w:val="9"/>
                <w:color w:val="auto"/>
              </w:rPr>
            </w:pPr>
          </w:p>
        </w:tc>
        <w:tc>
          <w:tcPr>
            <w:tcW w:w="2280" w:type="dxa"/>
            <w:vAlign w:val="bottom"/>
            <w:vMerge w:val="continue"/>
            <w:shd w:val="clear" w:color="auto" w:fill="DCE2EF"/>
          </w:tcPr>
          <w:p>
            <w:pPr>
              <w:spacing w:after="0"/>
              <w:rPr>
                <w:sz w:val="9"/>
                <w:szCs w:val="9"/>
                <w:color w:val="auto"/>
              </w:rPr>
            </w:pPr>
          </w:p>
        </w:tc>
        <w:tc>
          <w:tcPr>
            <w:tcW w:w="2240" w:type="dxa"/>
            <w:vAlign w:val="bottom"/>
            <w:vMerge w:val="continue"/>
            <w:shd w:val="clear" w:color="auto" w:fill="DCE2EF"/>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40" w:type="dxa"/>
            <w:vAlign w:val="bottom"/>
            <w:shd w:val="clear" w:color="auto" w:fill="DCE2EF"/>
          </w:tcPr>
          <w:p>
            <w:pPr>
              <w:spacing w:after="0"/>
              <w:rPr>
                <w:sz w:val="7"/>
                <w:szCs w:val="7"/>
                <w:color w:val="auto"/>
              </w:rPr>
            </w:pPr>
          </w:p>
        </w:tc>
        <w:tc>
          <w:tcPr>
            <w:tcW w:w="2460" w:type="dxa"/>
            <w:vAlign w:val="bottom"/>
            <w:vMerge w:val="continue"/>
            <w:shd w:val="clear" w:color="auto" w:fill="DCE2EF"/>
          </w:tcPr>
          <w:p>
            <w:pPr>
              <w:spacing w:after="0"/>
              <w:rPr>
                <w:sz w:val="7"/>
                <w:szCs w:val="7"/>
                <w:color w:val="auto"/>
              </w:rPr>
            </w:pPr>
          </w:p>
        </w:tc>
        <w:tc>
          <w:tcPr>
            <w:tcW w:w="2160" w:type="dxa"/>
            <w:vAlign w:val="bottom"/>
            <w:shd w:val="clear" w:color="auto" w:fill="DCE2EF"/>
          </w:tcPr>
          <w:p>
            <w:pPr>
              <w:spacing w:after="0"/>
              <w:rPr>
                <w:sz w:val="7"/>
                <w:szCs w:val="7"/>
                <w:color w:val="auto"/>
              </w:rPr>
            </w:pPr>
          </w:p>
        </w:tc>
        <w:tc>
          <w:tcPr>
            <w:tcW w:w="2280" w:type="dxa"/>
            <w:vAlign w:val="bottom"/>
            <w:shd w:val="clear" w:color="auto" w:fill="DCE2EF"/>
          </w:tcPr>
          <w:p>
            <w:pPr>
              <w:spacing w:after="0"/>
              <w:rPr>
                <w:sz w:val="7"/>
                <w:szCs w:val="7"/>
                <w:color w:val="auto"/>
              </w:rPr>
            </w:pPr>
          </w:p>
        </w:tc>
        <w:tc>
          <w:tcPr>
            <w:tcW w:w="2240" w:type="dxa"/>
            <w:vAlign w:val="bottom"/>
            <w:shd w:val="clear" w:color="auto" w:fill="DCE2E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40" w:type="dxa"/>
            <w:vAlign w:val="bottom"/>
          </w:tcPr>
          <w:p>
            <w:pPr>
              <w:jc w:val="center"/>
              <w:spacing w:after="0"/>
              <w:rPr>
                <w:sz w:val="20"/>
                <w:szCs w:val="20"/>
                <w:color w:val="auto"/>
              </w:rPr>
            </w:pPr>
            <w:r>
              <w:rPr>
                <w:rFonts w:ascii="Arial" w:cs="Arial" w:eastAsia="Arial" w:hAnsi="Arial"/>
                <w:sz w:val="16"/>
                <w:szCs w:val="16"/>
                <w:color w:val="auto"/>
              </w:rPr>
              <w:t>Atlanta, Georgia</w:t>
            </w:r>
          </w:p>
        </w:tc>
        <w:tc>
          <w:tcPr>
            <w:tcW w:w="2460" w:type="dxa"/>
            <w:vAlign w:val="bottom"/>
          </w:tcPr>
          <w:p>
            <w:pPr>
              <w:jc w:val="center"/>
              <w:spacing w:after="0"/>
              <w:rPr>
                <w:sz w:val="20"/>
                <w:szCs w:val="20"/>
                <w:color w:val="auto"/>
              </w:rPr>
            </w:pPr>
            <w:r>
              <w:rPr>
                <w:rFonts w:ascii="Arial" w:cs="Arial" w:eastAsia="Arial" w:hAnsi="Arial"/>
                <w:sz w:val="16"/>
                <w:szCs w:val="16"/>
                <w:color w:val="auto"/>
              </w:rPr>
              <w:t>Operations Support</w:t>
            </w:r>
          </w:p>
        </w:tc>
        <w:tc>
          <w:tcPr>
            <w:tcW w:w="2160" w:type="dxa"/>
            <w:vAlign w:val="bottom"/>
          </w:tcPr>
          <w:p>
            <w:pPr>
              <w:jc w:val="center"/>
              <w:spacing w:after="0"/>
              <w:rPr>
                <w:sz w:val="20"/>
                <w:szCs w:val="20"/>
                <w:color w:val="auto"/>
              </w:rPr>
            </w:pPr>
            <w:r>
              <w:rPr>
                <w:rFonts w:ascii="Arial" w:cs="Arial" w:eastAsia="Arial" w:hAnsi="Arial"/>
                <w:sz w:val="16"/>
                <w:szCs w:val="16"/>
                <w:color w:val="auto"/>
              </w:rPr>
              <w:t>37,000</w:t>
            </w:r>
          </w:p>
        </w:tc>
        <w:tc>
          <w:tcPr>
            <w:tcW w:w="2280" w:type="dxa"/>
            <w:vAlign w:val="bottom"/>
          </w:tcPr>
          <w:p>
            <w:pPr>
              <w:jc w:val="center"/>
              <w:spacing w:after="0"/>
              <w:rPr>
                <w:sz w:val="20"/>
                <w:szCs w:val="20"/>
                <w:color w:val="auto"/>
              </w:rPr>
            </w:pPr>
            <w:r>
              <w:rPr>
                <w:rFonts w:ascii="Arial" w:cs="Arial" w:eastAsia="Arial" w:hAnsi="Arial"/>
                <w:sz w:val="16"/>
                <w:szCs w:val="16"/>
                <w:color w:val="auto"/>
                <w:w w:val="99"/>
              </w:rPr>
              <w:t>10/31/2027</w:t>
            </w:r>
          </w:p>
        </w:tc>
        <w:tc>
          <w:tcPr>
            <w:tcW w:w="2240" w:type="dxa"/>
            <w:vAlign w:val="bottom"/>
          </w:tcPr>
          <w:p>
            <w:pPr>
              <w:jc w:val="center"/>
              <w:spacing w:after="0"/>
              <w:rPr>
                <w:sz w:val="20"/>
                <w:szCs w:val="20"/>
                <w:color w:val="auto"/>
              </w:rPr>
            </w:pPr>
            <w:r>
              <w:rPr>
                <w:rFonts w:ascii="Arial" w:cs="Arial" w:eastAsia="Arial" w:hAnsi="Arial"/>
                <w:sz w:val="16"/>
                <w:szCs w:val="16"/>
                <w:color w:val="auto"/>
              </w:rPr>
              <w:t>All</w:t>
            </w:r>
          </w:p>
        </w:tc>
        <w:tc>
          <w:tcPr>
            <w:tcW w:w="0" w:type="dxa"/>
            <w:vAlign w:val="bottom"/>
          </w:tcPr>
          <w:p>
            <w:pPr>
              <w:spacing w:after="0"/>
              <w:rPr>
                <w:sz w:val="1"/>
                <w:szCs w:val="1"/>
                <w:color w:val="auto"/>
              </w:rPr>
            </w:pPr>
          </w:p>
        </w:tc>
      </w:tr>
      <w:tr>
        <w:trPr>
          <w:trHeight w:val="180"/>
        </w:trPr>
        <w:tc>
          <w:tcPr>
            <w:tcW w:w="204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Cleveland, Ohio</w:t>
            </w:r>
          </w:p>
        </w:tc>
        <w:tc>
          <w:tcPr>
            <w:tcW w:w="246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Legacy GCA Headquarters</w:t>
            </w:r>
          </w:p>
        </w:tc>
        <w:tc>
          <w:tcPr>
            <w:tcW w:w="216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32,400</w:t>
            </w:r>
          </w:p>
        </w:tc>
        <w:tc>
          <w:tcPr>
            <w:tcW w:w="228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1/31/2024</w:t>
            </w:r>
          </w:p>
        </w:tc>
        <w:tc>
          <w:tcPr>
            <w:tcW w:w="2240" w:type="dxa"/>
            <w:vAlign w:val="bottom"/>
            <w:shd w:val="clear" w:color="auto" w:fill="DCE2EF"/>
          </w:tcPr>
          <w:p>
            <w:pPr>
              <w:jc w:val="center"/>
              <w:spacing w:after="0" w:line="181" w:lineRule="exact"/>
              <w:rPr>
                <w:sz w:val="20"/>
                <w:szCs w:val="20"/>
                <w:color w:val="auto"/>
              </w:rPr>
            </w:pPr>
            <w:r>
              <w:rPr>
                <w:rFonts w:ascii="Arial" w:cs="Arial" w:eastAsia="Arial" w:hAnsi="Arial"/>
                <w:sz w:val="16"/>
                <w:szCs w:val="16"/>
                <w:color w:val="auto"/>
              </w:rPr>
              <w:t>Education, T&amp;M, and</w:t>
            </w:r>
          </w:p>
        </w:tc>
        <w:tc>
          <w:tcPr>
            <w:tcW w:w="0" w:type="dxa"/>
            <w:vAlign w:val="bottom"/>
          </w:tcPr>
          <w:p>
            <w:pPr>
              <w:spacing w:after="0"/>
              <w:rPr>
                <w:sz w:val="1"/>
                <w:szCs w:val="1"/>
                <w:color w:val="auto"/>
              </w:rPr>
            </w:pPr>
          </w:p>
        </w:tc>
      </w:tr>
      <w:tr>
        <w:trPr>
          <w:trHeight w:val="114"/>
        </w:trPr>
        <w:tc>
          <w:tcPr>
            <w:tcW w:w="2040" w:type="dxa"/>
            <w:vAlign w:val="bottom"/>
            <w:vMerge w:val="continue"/>
            <w:shd w:val="clear" w:color="auto" w:fill="DCE2EF"/>
          </w:tcPr>
          <w:p>
            <w:pPr>
              <w:spacing w:after="0"/>
              <w:rPr>
                <w:sz w:val="9"/>
                <w:szCs w:val="9"/>
                <w:color w:val="auto"/>
              </w:rPr>
            </w:pPr>
          </w:p>
        </w:tc>
        <w:tc>
          <w:tcPr>
            <w:tcW w:w="2460" w:type="dxa"/>
            <w:vAlign w:val="bottom"/>
            <w:vMerge w:val="continue"/>
            <w:shd w:val="clear" w:color="auto" w:fill="DCE2EF"/>
          </w:tcPr>
          <w:p>
            <w:pPr>
              <w:spacing w:after="0"/>
              <w:rPr>
                <w:sz w:val="9"/>
                <w:szCs w:val="9"/>
                <w:color w:val="auto"/>
              </w:rPr>
            </w:pPr>
          </w:p>
        </w:tc>
        <w:tc>
          <w:tcPr>
            <w:tcW w:w="2160" w:type="dxa"/>
            <w:vAlign w:val="bottom"/>
            <w:vMerge w:val="continue"/>
            <w:shd w:val="clear" w:color="auto" w:fill="DCE2EF"/>
          </w:tcPr>
          <w:p>
            <w:pPr>
              <w:spacing w:after="0"/>
              <w:rPr>
                <w:sz w:val="9"/>
                <w:szCs w:val="9"/>
                <w:color w:val="auto"/>
              </w:rPr>
            </w:pPr>
          </w:p>
        </w:tc>
        <w:tc>
          <w:tcPr>
            <w:tcW w:w="2280" w:type="dxa"/>
            <w:vAlign w:val="bottom"/>
            <w:vMerge w:val="continue"/>
            <w:shd w:val="clear" w:color="auto" w:fill="DCE2EF"/>
          </w:tcPr>
          <w:p>
            <w:pPr>
              <w:spacing w:after="0"/>
              <w:rPr>
                <w:sz w:val="9"/>
                <w:szCs w:val="9"/>
                <w:color w:val="auto"/>
              </w:rPr>
            </w:pPr>
          </w:p>
        </w:tc>
        <w:tc>
          <w:tcPr>
            <w:tcW w:w="224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Corporate</w:t>
            </w:r>
          </w:p>
        </w:tc>
        <w:tc>
          <w:tcPr>
            <w:tcW w:w="0" w:type="dxa"/>
            <w:vAlign w:val="bottom"/>
          </w:tcPr>
          <w:p>
            <w:pPr>
              <w:spacing w:after="0"/>
              <w:rPr>
                <w:sz w:val="1"/>
                <w:szCs w:val="1"/>
                <w:color w:val="auto"/>
              </w:rPr>
            </w:pPr>
          </w:p>
        </w:tc>
      </w:tr>
      <w:tr>
        <w:trPr>
          <w:trHeight w:val="87"/>
        </w:trPr>
        <w:tc>
          <w:tcPr>
            <w:tcW w:w="2040" w:type="dxa"/>
            <w:vAlign w:val="bottom"/>
            <w:shd w:val="clear" w:color="auto" w:fill="DCE2EF"/>
          </w:tcPr>
          <w:p>
            <w:pPr>
              <w:spacing w:after="0"/>
              <w:rPr>
                <w:sz w:val="7"/>
                <w:szCs w:val="7"/>
                <w:color w:val="auto"/>
              </w:rPr>
            </w:pPr>
          </w:p>
        </w:tc>
        <w:tc>
          <w:tcPr>
            <w:tcW w:w="2460" w:type="dxa"/>
            <w:vAlign w:val="bottom"/>
            <w:shd w:val="clear" w:color="auto" w:fill="DCE2EF"/>
          </w:tcPr>
          <w:p>
            <w:pPr>
              <w:spacing w:after="0"/>
              <w:rPr>
                <w:sz w:val="7"/>
                <w:szCs w:val="7"/>
                <w:color w:val="auto"/>
              </w:rPr>
            </w:pPr>
          </w:p>
        </w:tc>
        <w:tc>
          <w:tcPr>
            <w:tcW w:w="2160" w:type="dxa"/>
            <w:vAlign w:val="bottom"/>
            <w:shd w:val="clear" w:color="auto" w:fill="DCE2EF"/>
          </w:tcPr>
          <w:p>
            <w:pPr>
              <w:spacing w:after="0"/>
              <w:rPr>
                <w:sz w:val="7"/>
                <w:szCs w:val="7"/>
                <w:color w:val="auto"/>
              </w:rPr>
            </w:pPr>
          </w:p>
        </w:tc>
        <w:tc>
          <w:tcPr>
            <w:tcW w:w="2280" w:type="dxa"/>
            <w:vAlign w:val="bottom"/>
            <w:shd w:val="clear" w:color="auto" w:fill="DCE2EF"/>
          </w:tcPr>
          <w:p>
            <w:pPr>
              <w:spacing w:after="0"/>
              <w:rPr>
                <w:sz w:val="7"/>
                <w:szCs w:val="7"/>
                <w:color w:val="auto"/>
              </w:rPr>
            </w:pPr>
          </w:p>
        </w:tc>
        <w:tc>
          <w:tcPr>
            <w:tcW w:w="2240" w:type="dxa"/>
            <w:vAlign w:val="bottom"/>
            <w:vMerge w:val="continue"/>
            <w:shd w:val="clear" w:color="auto" w:fill="DCE2E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40" w:type="dxa"/>
            <w:vAlign w:val="bottom"/>
          </w:tcPr>
          <w:p>
            <w:pPr>
              <w:jc w:val="center"/>
              <w:spacing w:after="0"/>
              <w:rPr>
                <w:sz w:val="20"/>
                <w:szCs w:val="20"/>
                <w:color w:val="auto"/>
              </w:rPr>
            </w:pPr>
            <w:r>
              <w:rPr>
                <w:rFonts w:ascii="Arial" w:cs="Arial" w:eastAsia="Arial" w:hAnsi="Arial"/>
                <w:sz w:val="16"/>
                <w:szCs w:val="16"/>
                <w:color w:val="auto"/>
              </w:rPr>
              <w:t>New York, New York</w:t>
            </w:r>
          </w:p>
        </w:tc>
        <w:tc>
          <w:tcPr>
            <w:tcW w:w="2460" w:type="dxa"/>
            <w:vAlign w:val="bottom"/>
          </w:tcPr>
          <w:p>
            <w:pPr>
              <w:jc w:val="center"/>
              <w:spacing w:after="0"/>
              <w:rPr>
                <w:sz w:val="20"/>
                <w:szCs w:val="20"/>
                <w:color w:val="auto"/>
              </w:rPr>
            </w:pPr>
            <w:r>
              <w:rPr>
                <w:rFonts w:ascii="Arial" w:cs="Arial" w:eastAsia="Arial" w:hAnsi="Arial"/>
                <w:sz w:val="16"/>
                <w:szCs w:val="16"/>
                <w:color w:val="auto"/>
              </w:rPr>
              <w:t>Corporate Headquarters</w:t>
            </w:r>
          </w:p>
        </w:tc>
        <w:tc>
          <w:tcPr>
            <w:tcW w:w="2160" w:type="dxa"/>
            <w:vAlign w:val="bottom"/>
          </w:tcPr>
          <w:p>
            <w:pPr>
              <w:jc w:val="center"/>
              <w:spacing w:after="0"/>
              <w:rPr>
                <w:sz w:val="20"/>
                <w:szCs w:val="20"/>
                <w:color w:val="auto"/>
              </w:rPr>
            </w:pPr>
            <w:r>
              <w:rPr>
                <w:rFonts w:ascii="Arial" w:cs="Arial" w:eastAsia="Arial" w:hAnsi="Arial"/>
                <w:sz w:val="16"/>
                <w:szCs w:val="16"/>
                <w:color w:val="auto"/>
              </w:rPr>
              <w:t>44,000</w:t>
            </w:r>
          </w:p>
        </w:tc>
        <w:tc>
          <w:tcPr>
            <w:tcW w:w="2280" w:type="dxa"/>
            <w:vAlign w:val="bottom"/>
          </w:tcPr>
          <w:p>
            <w:pPr>
              <w:jc w:val="center"/>
              <w:spacing w:after="0"/>
              <w:rPr>
                <w:sz w:val="20"/>
                <w:szCs w:val="20"/>
                <w:color w:val="auto"/>
              </w:rPr>
            </w:pPr>
            <w:r>
              <w:rPr>
                <w:rFonts w:ascii="Arial" w:cs="Arial" w:eastAsia="Arial" w:hAnsi="Arial"/>
                <w:sz w:val="16"/>
                <w:szCs w:val="16"/>
                <w:color w:val="auto"/>
              </w:rPr>
              <w:t>1/3/2032</w:t>
            </w:r>
          </w:p>
        </w:tc>
        <w:tc>
          <w:tcPr>
            <w:tcW w:w="2240" w:type="dxa"/>
            <w:vAlign w:val="bottom"/>
          </w:tcPr>
          <w:p>
            <w:pPr>
              <w:jc w:val="center"/>
              <w:spacing w:after="0"/>
              <w:rPr>
                <w:sz w:val="20"/>
                <w:szCs w:val="20"/>
                <w:color w:val="auto"/>
              </w:rPr>
            </w:pPr>
            <w:r>
              <w:rPr>
                <w:rFonts w:ascii="Arial" w:cs="Arial" w:eastAsia="Arial" w:hAnsi="Arial"/>
                <w:sz w:val="16"/>
                <w:szCs w:val="16"/>
                <w:color w:val="auto"/>
              </w:rPr>
              <w:t>Corporate and B&amp;I</w:t>
            </w:r>
          </w:p>
        </w:tc>
        <w:tc>
          <w:tcPr>
            <w:tcW w:w="0" w:type="dxa"/>
            <w:vAlign w:val="bottom"/>
          </w:tcPr>
          <w:p>
            <w:pPr>
              <w:spacing w:after="0"/>
              <w:rPr>
                <w:sz w:val="1"/>
                <w:szCs w:val="1"/>
                <w:color w:val="auto"/>
              </w:rPr>
            </w:pPr>
          </w:p>
        </w:tc>
      </w:tr>
      <w:tr>
        <w:trPr>
          <w:trHeight w:val="219"/>
        </w:trPr>
        <w:tc>
          <w:tcPr>
            <w:tcW w:w="20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Sugar Land, Texas</w:t>
            </w:r>
          </w:p>
        </w:tc>
        <w:tc>
          <w:tcPr>
            <w:tcW w:w="246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Enterprise Services</w:t>
            </w:r>
          </w:p>
        </w:tc>
        <w:tc>
          <w:tcPr>
            <w:tcW w:w="216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62,500</w:t>
            </w:r>
          </w:p>
        </w:tc>
        <w:tc>
          <w:tcPr>
            <w:tcW w:w="228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3/31/2028</w:t>
            </w:r>
          </w:p>
        </w:tc>
        <w:tc>
          <w:tcPr>
            <w:tcW w:w="22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All</w:t>
            </w:r>
          </w:p>
        </w:tc>
        <w:tc>
          <w:tcPr>
            <w:tcW w:w="0" w:type="dxa"/>
            <w:vAlign w:val="bottom"/>
          </w:tcPr>
          <w:p>
            <w:pPr>
              <w:spacing w:after="0"/>
              <w:rPr>
                <w:sz w:val="1"/>
                <w:szCs w:val="1"/>
                <w:color w:val="auto"/>
              </w:rPr>
            </w:pPr>
          </w:p>
        </w:tc>
      </w:tr>
      <w:tr>
        <w:trPr>
          <w:trHeight w:val="210"/>
        </w:trPr>
        <w:tc>
          <w:tcPr>
            <w:tcW w:w="2040" w:type="dxa"/>
            <w:vAlign w:val="bottom"/>
          </w:tcPr>
          <w:p>
            <w:pPr>
              <w:jc w:val="center"/>
              <w:spacing w:after="0"/>
              <w:rPr>
                <w:sz w:val="20"/>
                <w:szCs w:val="20"/>
                <w:color w:val="auto"/>
              </w:rPr>
            </w:pPr>
            <w:r>
              <w:rPr>
                <w:rFonts w:ascii="Arial" w:cs="Arial" w:eastAsia="Arial" w:hAnsi="Arial"/>
                <w:sz w:val="16"/>
                <w:szCs w:val="16"/>
                <w:color w:val="auto"/>
                <w:w w:val="99"/>
              </w:rPr>
              <w:t>Tustin, California</w:t>
            </w:r>
          </w:p>
        </w:tc>
        <w:tc>
          <w:tcPr>
            <w:tcW w:w="2460" w:type="dxa"/>
            <w:vAlign w:val="bottom"/>
          </w:tcPr>
          <w:p>
            <w:pPr>
              <w:jc w:val="center"/>
              <w:spacing w:after="0"/>
              <w:rPr>
                <w:sz w:val="20"/>
                <w:szCs w:val="20"/>
                <w:color w:val="auto"/>
              </w:rPr>
            </w:pPr>
            <w:r>
              <w:rPr>
                <w:rFonts w:ascii="Arial" w:cs="Arial" w:eastAsia="Arial" w:hAnsi="Arial"/>
                <w:sz w:val="16"/>
                <w:szCs w:val="16"/>
                <w:color w:val="auto"/>
              </w:rPr>
              <w:t>Operations Support</w:t>
            </w:r>
          </w:p>
        </w:tc>
        <w:tc>
          <w:tcPr>
            <w:tcW w:w="2160" w:type="dxa"/>
            <w:vAlign w:val="bottom"/>
          </w:tcPr>
          <w:p>
            <w:pPr>
              <w:jc w:val="center"/>
              <w:spacing w:after="0"/>
              <w:rPr>
                <w:sz w:val="20"/>
                <w:szCs w:val="20"/>
                <w:color w:val="auto"/>
              </w:rPr>
            </w:pPr>
            <w:r>
              <w:rPr>
                <w:rFonts w:ascii="Arial" w:cs="Arial" w:eastAsia="Arial" w:hAnsi="Arial"/>
                <w:sz w:val="16"/>
                <w:szCs w:val="16"/>
                <w:color w:val="auto"/>
              </w:rPr>
              <w:t>40,000</w:t>
            </w:r>
          </w:p>
        </w:tc>
        <w:tc>
          <w:tcPr>
            <w:tcW w:w="2280" w:type="dxa"/>
            <w:vAlign w:val="bottom"/>
          </w:tcPr>
          <w:p>
            <w:pPr>
              <w:jc w:val="center"/>
              <w:spacing w:after="0"/>
              <w:rPr>
                <w:sz w:val="20"/>
                <w:szCs w:val="20"/>
                <w:color w:val="auto"/>
              </w:rPr>
            </w:pPr>
            <w:r>
              <w:rPr>
                <w:rFonts w:ascii="Arial" w:cs="Arial" w:eastAsia="Arial" w:hAnsi="Arial"/>
                <w:sz w:val="16"/>
                <w:szCs w:val="16"/>
                <w:color w:val="auto"/>
              </w:rPr>
              <w:t>7/31/2029</w:t>
            </w:r>
          </w:p>
        </w:tc>
        <w:tc>
          <w:tcPr>
            <w:tcW w:w="2240" w:type="dxa"/>
            <w:vAlign w:val="bottom"/>
          </w:tcPr>
          <w:p>
            <w:pPr>
              <w:jc w:val="center"/>
              <w:spacing w:after="0"/>
              <w:rPr>
                <w:sz w:val="20"/>
                <w:szCs w:val="20"/>
                <w:color w:val="auto"/>
              </w:rPr>
            </w:pPr>
            <w:r>
              <w:rPr>
                <w:rFonts w:ascii="Arial" w:cs="Arial" w:eastAsia="Arial" w:hAnsi="Arial"/>
                <w:sz w:val="16"/>
                <w:szCs w:val="16"/>
                <w:color w:val="auto"/>
                <w:w w:val="99"/>
              </w:rPr>
              <w:t>B&amp;I and Technical Solutions</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to the above properties, we have other offices, warehouses, and parking facilities in various locations, primarily in the United States. See Note 5, “Leases,” in the Notes to consolidated financial statements for additional information regarding leases. We believe that these properties are well maintained, in good operating condition, and suitable for the purposes for which they are used.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3. 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Certain Legal Proceedings</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Information with respect to certain legal proceedings is set forth in Note 13, “Commitments and Contingencies,” in the Notes to consolidated financial statements (included in Part II., Item 8 of this Form 10-K) and is incorporated herein by reference.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4. MINE SAFETY DISCLOSURES.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0046AD"/>
        </w:rPr>
        <w:t>PART II</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0046AD"/>
        </w:rPr>
        <w:t>ITEM 5. MARKET FOR REGISTRANT’S COMMON EQUITY, RELATED STOCKHOLDER MATTERS AND ISSUER PURCHASES OF EQUITY SECURITIES.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Market Information, Dividends, and Stockholders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common stock is listed on the New York Stock Exchange (NYSE: ABM). We have paid cash dividends every quarter since 1965. Future dividends will be determined based on our earnings, capital requirements, financial condition, and other factors considered relevant by our Board of Directors.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21, 2021, there were 3,056 registered holders of our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Common Stock Repurchases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Effective December 18, 2019, our Board of Directors replaced our then-existing share repurchase program with a new share repurchase program under which we may repurchase up to $150.0 million of our common stock (the “2019 Share Repurchase Program”). These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at our discretion. Repurchased shares are retired and returned to an authorized but unissued status. However, due to the market and business conditions arising from the Pandemic, we suspended further repurchases of our common stock in March 2020 and did not repurchase any shares of our outstanding common stock during fiscal year 2021. At October 31, 2021, authorization for $144.9 million of repurchases remained under the 2019 Share Repurchase Program.</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0046AD"/>
        </w:rPr>
        <w:t>Performance Graph</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following graph compares the five-year cumulative total return for our common stock against the Standard &amp; Poor’s 500 Index (“S&amp;P 500”) and the Standard &amp; Poor’s SmallCap 600 Index (“S&amp;P 600”). As our competitors are principally privately held, we do not believe it is feasible to construct a peer group comparison on an industry or line-of-business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93980</wp:posOffset>
            </wp:positionV>
            <wp:extent cx="5374640" cy="37801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7464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5"/>
          </w:tcPr>
          <w:p>
            <w:pPr>
              <w:ind w:left="240"/>
              <w:spacing w:after="0"/>
              <w:rPr>
                <w:sz w:val="20"/>
                <w:szCs w:val="20"/>
                <w:color w:val="auto"/>
              </w:rPr>
            </w:pPr>
            <w:r>
              <w:rPr>
                <w:rFonts w:ascii="Arial" w:cs="Arial" w:eastAsia="Arial" w:hAnsi="Arial"/>
                <w:sz w:val="18"/>
                <w:szCs w:val="18"/>
                <w:b w:val="1"/>
                <w:bCs w:val="1"/>
                <w:color w:val="auto"/>
              </w:rPr>
              <w:t>INDEXED RETURNS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Years Ended October 31,</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374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Company / Index</w:t>
            </w:r>
          </w:p>
        </w:tc>
        <w:tc>
          <w:tcPr>
            <w:tcW w:w="26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ind w:left="24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r>
      <w:tr>
        <w:trPr>
          <w:trHeight w:val="223"/>
        </w:trPr>
        <w:tc>
          <w:tcPr>
            <w:tcW w:w="3640" w:type="dxa"/>
            <w:vAlign w:val="bottom"/>
            <w:tcBorders>
              <w:top w:val="single" w:sz="8" w:color="auto"/>
            </w:tcBorders>
            <w:shd w:val="clear" w:color="auto" w:fill="DCE2EF"/>
          </w:tcPr>
          <w:p>
            <w:pPr>
              <w:ind w:left="20"/>
              <w:spacing w:after="0"/>
              <w:rPr>
                <w:sz w:val="20"/>
                <w:szCs w:val="20"/>
                <w:color w:val="auto"/>
              </w:rPr>
            </w:pPr>
            <w:r>
              <w:rPr>
                <w:rFonts w:ascii="Arial" w:cs="Arial" w:eastAsia="Arial" w:hAnsi="Arial"/>
                <w:sz w:val="18"/>
                <w:szCs w:val="18"/>
                <w:b w:val="1"/>
                <w:bCs w:val="1"/>
                <w:color w:val="auto"/>
              </w:rPr>
              <w:t>ABM Industries Incorporated</w:t>
            </w:r>
          </w:p>
        </w:tc>
        <w:tc>
          <w:tcPr>
            <w:tcW w:w="100" w:type="dxa"/>
            <w:vAlign w:val="bottom"/>
            <w:tcBorders>
              <w:top w:val="single" w:sz="8" w:color="DCE2EF"/>
            </w:tcBorders>
            <w:shd w:val="clear" w:color="auto" w:fill="DCE2EF"/>
          </w:tcPr>
          <w:p>
            <w:pPr>
              <w:spacing w:after="0"/>
              <w:rPr>
                <w:sz w:val="19"/>
                <w:szCs w:val="19"/>
                <w:color w:val="auto"/>
              </w:rPr>
            </w:pPr>
          </w:p>
        </w:tc>
        <w:tc>
          <w:tcPr>
            <w:tcW w:w="260" w:type="dxa"/>
            <w:vAlign w:val="bottom"/>
            <w:tcBorders>
              <w:top w:val="single" w:sz="8" w:color="auto"/>
            </w:tcBorders>
            <w:shd w:val="clear" w:color="auto" w:fill="DCE2E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DCE2EF"/>
            </w:tcBorders>
            <w:shd w:val="clear" w:color="auto" w:fill="DCE2EF"/>
          </w:tcPr>
          <w:p>
            <w:pPr>
              <w:spacing w:after="0"/>
              <w:rPr>
                <w:sz w:val="19"/>
                <w:szCs w:val="19"/>
                <w:color w:val="auto"/>
              </w:rPr>
            </w:pPr>
          </w:p>
        </w:tc>
        <w:tc>
          <w:tcPr>
            <w:tcW w:w="240" w:type="dxa"/>
            <w:vAlign w:val="bottom"/>
            <w:tcBorders>
              <w:top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Borders>
              <w:top w:val="single" w:sz="8" w:color="DCE2EF"/>
            </w:tcBorders>
            <w:shd w:val="clear" w:color="auto" w:fill="DCE2EF"/>
          </w:tcPr>
          <w:p>
            <w:pPr>
              <w:spacing w:after="0"/>
              <w:rPr>
                <w:sz w:val="19"/>
                <w:szCs w:val="19"/>
                <w:color w:val="auto"/>
              </w:rPr>
            </w:pPr>
          </w:p>
        </w:tc>
        <w:tc>
          <w:tcPr>
            <w:tcW w:w="14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top w:val="single" w:sz="8" w:color="DCE2EF"/>
            </w:tcBorders>
            <w:shd w:val="clear" w:color="auto" w:fill="DCE2EF"/>
          </w:tcPr>
          <w:p>
            <w:pPr>
              <w:spacing w:after="0"/>
              <w:rPr>
                <w:sz w:val="19"/>
                <w:szCs w:val="19"/>
                <w:color w:val="auto"/>
              </w:rPr>
            </w:pPr>
          </w:p>
        </w:tc>
        <w:tc>
          <w:tcPr>
            <w:tcW w:w="260" w:type="dxa"/>
            <w:vAlign w:val="bottom"/>
            <w:tcBorders>
              <w:top w:val="single" w:sz="8" w:color="auto"/>
            </w:tcBorders>
            <w:shd w:val="clear" w:color="auto" w:fill="DCE2E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Borders>
              <w:top w:val="single" w:sz="8" w:color="DCE2EF"/>
            </w:tcBorders>
            <w:shd w:val="clear" w:color="auto" w:fill="DCE2EF"/>
          </w:tcPr>
          <w:p>
            <w:pPr>
              <w:spacing w:after="0"/>
              <w:rPr>
                <w:sz w:val="19"/>
                <w:szCs w:val="19"/>
                <w:color w:val="auto"/>
              </w:rPr>
            </w:pPr>
          </w:p>
        </w:tc>
        <w:tc>
          <w:tcPr>
            <w:tcW w:w="240" w:type="dxa"/>
            <w:vAlign w:val="bottom"/>
            <w:tcBorders>
              <w:top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Borders>
              <w:top w:val="single" w:sz="8" w:color="DCE2EF"/>
            </w:tcBorders>
            <w:shd w:val="clear" w:color="auto" w:fill="DCE2EF"/>
          </w:tcPr>
          <w:p>
            <w:pPr>
              <w:spacing w:after="0"/>
              <w:rPr>
                <w:sz w:val="19"/>
                <w:szCs w:val="19"/>
                <w:color w:val="auto"/>
              </w:rPr>
            </w:pPr>
          </w:p>
        </w:tc>
        <w:tc>
          <w:tcPr>
            <w:tcW w:w="260" w:type="dxa"/>
            <w:vAlign w:val="bottom"/>
            <w:tcBorders>
              <w:top w:val="single" w:sz="8" w:color="auto"/>
            </w:tcBorders>
            <w:shd w:val="clear" w:color="auto" w:fill="DCE2E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124.1</w:t>
            </w:r>
          </w:p>
        </w:tc>
      </w:tr>
      <w:tr>
        <w:trPr>
          <w:trHeight w:val="230"/>
        </w:trPr>
        <w:tc>
          <w:tcPr>
            <w:tcW w:w="3740" w:type="dxa"/>
            <w:vAlign w:val="bottom"/>
            <w:gridSpan w:val="2"/>
          </w:tcPr>
          <w:p>
            <w:pPr>
              <w:ind w:left="20"/>
              <w:spacing w:after="0"/>
              <w:rPr>
                <w:sz w:val="20"/>
                <w:szCs w:val="20"/>
                <w:color w:val="auto"/>
              </w:rPr>
            </w:pPr>
            <w:r>
              <w:rPr>
                <w:rFonts w:ascii="Arial" w:cs="Arial" w:eastAsia="Arial" w:hAnsi="Arial"/>
                <w:sz w:val="18"/>
                <w:szCs w:val="18"/>
                <w:b w:val="1"/>
                <w:bCs w:val="1"/>
                <w:color w:val="auto"/>
              </w:rPr>
              <w:t>S&amp;P 500 Index</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237.9</w:t>
            </w:r>
          </w:p>
        </w:tc>
      </w:tr>
      <w:tr>
        <w:trPr>
          <w:trHeight w:val="229"/>
        </w:trPr>
        <w:tc>
          <w:tcPr>
            <w:tcW w:w="3740" w:type="dxa"/>
            <w:vAlign w:val="bottom"/>
            <w:gridSpan w:val="2"/>
            <w:shd w:val="clear" w:color="auto" w:fill="DCE2EF"/>
          </w:tcPr>
          <w:p>
            <w:pPr>
              <w:ind w:left="20"/>
              <w:spacing w:after="0"/>
              <w:rPr>
                <w:sz w:val="20"/>
                <w:szCs w:val="20"/>
                <w:color w:val="auto"/>
              </w:rPr>
            </w:pPr>
            <w:r>
              <w:rPr>
                <w:rFonts w:ascii="Arial" w:cs="Arial" w:eastAsia="Arial" w:hAnsi="Arial"/>
                <w:sz w:val="18"/>
                <w:szCs w:val="18"/>
                <w:b w:val="1"/>
                <w:bCs w:val="1"/>
                <w:color w:val="auto"/>
              </w:rPr>
              <w:t>S&amp;P SmallCap 600 Index</w:t>
            </w:r>
          </w:p>
        </w:tc>
        <w:tc>
          <w:tcPr>
            <w:tcW w:w="26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204.6</w:t>
            </w:r>
          </w:p>
        </w:tc>
      </w:tr>
    </w:tbl>
    <w:p>
      <w:pPr>
        <w:spacing w:after="0" w:line="21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This performance graph shall not be deemed to be “soliciting material” or “filed” with the SEC, or subject to Regulation 14A or 14C, or subject to the liabilities of Section 18 of the Securities Exchange Act of 1934, as amended. The comparisons in the performance graph are based on historical data and are not indicative of, or intended to forecast, the possible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0046AD"/>
        </w:rPr>
        <w:t>ITEM 6. [RESERVED]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7. MANAGEMENT’S DISCUSSION AND ANALYSIS OF FINANCIAL CONDITION AND RESULTS OF OPERATIONS.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following MD&amp;A is intended to facilitate an understanding of the results of operations and financial condition of ABM. This MD&amp;A is provided as a supplement to, and should be read in conjunction with, our Financial Statements. This MD&amp;A contains both historical and forward-looking statements, within the meaning of the Private Securities Litigation Reform Act of 1995, that involve risks and uncertainties.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Factors that might cause such differences include, but are not limited to, those discussed in Part 1. of this Form 10-K under Item 1A., “Risk Factors,” which are incorporated herein by reference. Our future results and financial condition may be materially different from those we currently anticipate. Throughout the MD&amp;A, amounts and percentages may not recalculate due to rounding. Unless otherwise indicated, all information in the MD&amp;A and references to years are based on our fiscal year, which ends on October 31.</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6AD"/>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15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ABM is a leading provider of integrated facility solutions, customized by industry, with a mission to </w:t>
      </w:r>
      <w:r>
        <w:rPr>
          <w:rFonts w:ascii="Arial" w:cs="Arial" w:eastAsia="Arial" w:hAnsi="Arial"/>
          <w:sz w:val="18"/>
          <w:szCs w:val="18"/>
          <w:b w:val="1"/>
          <w:bCs w:val="1"/>
          <w:color w:val="003DA5"/>
        </w:rPr>
        <w:t>make a difference, every</w:t>
      </w:r>
      <w:r>
        <w:rPr>
          <w:rFonts w:ascii="Arial" w:cs="Arial" w:eastAsia="Arial" w:hAnsi="Arial"/>
          <w:sz w:val="18"/>
          <w:szCs w:val="18"/>
          <w:color w:val="auto"/>
        </w:rPr>
        <w:t xml:space="preserve"> </w:t>
      </w:r>
      <w:r>
        <w:rPr>
          <w:rFonts w:ascii="Arial" w:cs="Arial" w:eastAsia="Arial" w:hAnsi="Arial"/>
          <w:sz w:val="18"/>
          <w:szCs w:val="18"/>
          <w:b w:val="1"/>
          <w:bCs w:val="1"/>
          <w:color w:val="003DA5"/>
        </w:rPr>
        <w:t>person, every day</w:t>
      </w:r>
      <w:r>
        <w:rPr>
          <w:rFonts w:ascii="Arial" w:cs="Arial" w:eastAsia="Arial" w:hAnsi="Arial"/>
          <w:sz w:val="18"/>
          <w:szCs w:val="18"/>
          <w:color w:val="000000"/>
        </w:rPr>
        <w:t>. Our principal operations are in the United States, and in 2021 our U.S. operations generated approximately 94% of our</w:t>
      </w:r>
      <w:r>
        <w:rPr>
          <w:rFonts w:ascii="Arial" w:cs="Arial" w:eastAsia="Arial" w:hAnsi="Arial"/>
          <w:sz w:val="18"/>
          <w:szCs w:val="18"/>
          <w:b w:val="1"/>
          <w:bCs w:val="1"/>
          <w:color w:val="003DA5"/>
        </w:rPr>
        <w:t xml:space="preserve"> </w:t>
      </w:r>
      <w:r>
        <w:rPr>
          <w:rFonts w:ascii="Arial" w:cs="Arial" w:eastAsia="Arial" w:hAnsi="Arial"/>
          <w:sz w:val="18"/>
          <w:szCs w:val="18"/>
          <w:color w:val="000000"/>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Strategic Growth</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remain focused on long-term, profitable growth by delivering valued service offerings to both new and existing clients within our industry groups and across our many service lines. Our revenue growth strategy is predicated on pursuing new sales and targeting a favorable retention rate among existing contracts. Cross-selling and up-selling projects and services is also an integral part of our strategy. We believe our strategic growth initiatives, coupled with our continued focus on marketing, capital, and sales resources, will increase profitability.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E98300"/>
        </w:rPr>
        <w:t xml:space="preserve">ELEVATE </w:t>
      </w:r>
      <w:r>
        <w:rPr>
          <w:rFonts w:ascii="Arial" w:cs="Arial" w:eastAsia="Arial" w:hAnsi="Arial"/>
          <w:sz w:val="18"/>
          <w:szCs w:val="18"/>
          <w:b w:val="1"/>
          <w:bCs w:val="1"/>
          <w:color w:val="0046AD"/>
        </w:rPr>
        <w:t>Transformation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Through our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strategy, as described in Item 1., “Business.,” we plan to primarily focus our efforts on:</w:t>
      </w:r>
    </w:p>
    <w:p>
      <w:pPr>
        <w:spacing w:after="0" w:line="193" w:lineRule="exact"/>
        <w:rPr>
          <w:sz w:val="20"/>
          <w:szCs w:val="20"/>
          <w:color w:val="auto"/>
        </w:rPr>
      </w:pPr>
    </w:p>
    <w:p>
      <w:pPr>
        <w:ind w:left="740" w:hanging="327"/>
        <w:spacing w:after="0" w:line="261" w:lineRule="auto"/>
        <w:tabs>
          <w:tab w:leader="none" w:pos="7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client experience, by enhancing service delivery through the development of a new workforce management platform with modern timekeeping, scheduling, and forecasting modules to create a digital connection with our workforce;</w:t>
      </w:r>
    </w:p>
    <w:p>
      <w:pPr>
        <w:spacing w:after="0" w:line="143"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team member experience, by investing in development programs, talent acquisition tools, and training; and</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use of technology and data in our systems, tools, business processes, and operating models.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believe that our technology and data investments will enable: the development and deployment of client-facing technology to improve service delivery to our clients; the use of advanced data analytics for sales targeting, team member retention, and recruiting; and the upgrade of our Enterprise Resource Planning and payroll systems.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0046AD"/>
        </w:rPr>
        <w:t>Developments and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COVID-19 Pandemic</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COVID-19 has resulted in a worldwide health Pandemic. To date, COVID-19 has surfaced in regions all around the world and resulted in business slowdowns and shutdowns, as well as global travel restrictions. We, along with many of our clients, have been impacted by recommendations and/or mandates from federal, state, and local authorities to practice social distancing, to refrain from gathering in groups, and, in some areas, to refrain from non-essential movements outside of homes. The Pandemic has also created unanticipated circumstances and uncertainty, disruption, and significant volatility in the broader economy. These factors have led to lower demand for some of our services in certain end-markets, particularly in our Aviation segment. Refer to “Consolidated Results of Operations” and “Results of Operations by Segment” for additional information related to the impact of the Pandemic on our financial results.</w:t>
      </w:r>
    </w:p>
    <w:p>
      <w:pPr>
        <w:spacing w:after="0" w:line="1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Given the unprecedented and uncertain nature and potential duration of this situation, we cannot reasonably estimate the full extent of the impact the Pandemic will have on our financial condition, results of operations, or cash flows. The ultimate extent of the effects of the Pandemic on our company is highly uncertain and will depend on future developments, and we may continue to experience adverse effects on our business, consolidated results of operations, financial position, and cash flows resulting from a recessionary economic environment that may persist.</w:t>
      </w:r>
    </w:p>
    <w:p>
      <w:pPr>
        <w:spacing w:after="0" w:line="15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priority has been and continues to be the health, safety, and support of our employees, our clients, and the communities that we serve. We have also taken actions to strengthen our liquidity, cash flows, and financial position to help mitigate potential future impacts on our operations and financial performance. These priorities and measures include, but are not limited to, the following:</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0046AD"/>
        </w:rPr>
        <w:t>Health and Safety of our Employees and Clients</w:t>
      </w:r>
    </w:p>
    <w:p>
      <w:pPr>
        <w:spacing w:after="0" w:line="189" w:lineRule="exact"/>
        <w:rPr>
          <w:sz w:val="20"/>
          <w:szCs w:val="20"/>
          <w:color w:val="auto"/>
        </w:rPr>
      </w:pPr>
    </w:p>
    <w:p>
      <w:pPr>
        <w:jc w:val="both"/>
        <w:ind w:left="660" w:firstLine="648"/>
        <w:spacing w:after="0" w:line="252" w:lineRule="auto"/>
        <w:rPr>
          <w:sz w:val="20"/>
          <w:szCs w:val="20"/>
          <w:color w:val="auto"/>
        </w:rPr>
      </w:pPr>
      <w:r>
        <w:rPr>
          <w:rFonts w:ascii="Arial" w:cs="Arial" w:eastAsia="Arial" w:hAnsi="Arial"/>
          <w:sz w:val="18"/>
          <w:szCs w:val="18"/>
          <w:color w:val="auto"/>
        </w:rPr>
        <w:t>As the Pandemic has developed, we have taken steps to support our employees and clients based on recommendations from various global experts, including the World Health Organization, the Centers for Disease Control and Prevention, the Occupational Safety and Health Administration, and the U.K. National Health Service. To help protect our employees and our clients, face masks and other personal protective equipment (“PPE”) are being used by our employees. We have also encouraged our employees to practice social distancing and wash hands frequently. Additionally, we transitioned many office-based employees to a remote work environment, suspended non-essential travel, and adopted technologies to allow employees to effectively perform their functions remotely.</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0046AD"/>
        </w:rPr>
        <w:t>Client Focus</w:t>
      </w:r>
    </w:p>
    <w:p>
      <w:pPr>
        <w:spacing w:after="0" w:line="189" w:lineRule="exact"/>
        <w:rPr>
          <w:sz w:val="20"/>
          <w:szCs w:val="20"/>
          <w:color w:val="auto"/>
        </w:rPr>
      </w:pPr>
    </w:p>
    <w:p>
      <w:pPr>
        <w:jc w:val="both"/>
        <w:ind w:left="660" w:firstLine="648"/>
        <w:spacing w:after="0" w:line="254" w:lineRule="auto"/>
        <w:rPr>
          <w:sz w:val="20"/>
          <w:szCs w:val="20"/>
          <w:color w:val="auto"/>
        </w:rPr>
      </w:pPr>
      <w:r>
        <w:rPr>
          <w:rFonts w:ascii="Arial" w:cs="Arial" w:eastAsia="Arial" w:hAnsi="Arial"/>
          <w:sz w:val="18"/>
          <w:szCs w:val="18"/>
          <w:color w:val="auto"/>
        </w:rPr>
        <w:t>Over the past few years, we have focused on consolidating purchasing activities to leverage our scale and identify preferred suppliers. While we have seen a reduction in the availability of supplies and an increase in costs, our procurement efforts have helped create a positive supply chain for our company and clients during the Pandemic. We will continue to monitor our supply chain for potential impacts as future developments unfold.</w:t>
      </w:r>
    </w:p>
    <w:p>
      <w:pPr>
        <w:spacing w:after="0" w:line="150" w:lineRule="exact"/>
        <w:rPr>
          <w:sz w:val="20"/>
          <w:szCs w:val="20"/>
          <w:color w:val="auto"/>
        </w:rPr>
      </w:pPr>
    </w:p>
    <w:p>
      <w:pPr>
        <w:jc w:val="both"/>
        <w:ind w:left="660" w:firstLine="648"/>
        <w:spacing w:after="0" w:line="256" w:lineRule="auto"/>
        <w:rPr>
          <w:sz w:val="20"/>
          <w:szCs w:val="20"/>
          <w:color w:val="auto"/>
        </w:rPr>
      </w:pPr>
      <w:r>
        <w:rPr>
          <w:rFonts w:ascii="Arial" w:cs="Arial" w:eastAsia="Arial" w:hAnsi="Arial"/>
          <w:sz w:val="18"/>
          <w:szCs w:val="18"/>
          <w:color w:val="auto"/>
        </w:rPr>
        <w:t>The Pandemic continues to create a dynamic client environment, and we are working diligently to ensure our clients’ changing staffing and service needs are met. We developed new cleaning initiatives in accordance with various protocols issued by global experts, including deep cleaning services, special project cleaning services, and other work orders.</w:t>
      </w:r>
    </w:p>
    <w:p>
      <w:pPr>
        <w:spacing w:after="0" w:line="137" w:lineRule="exact"/>
        <w:rPr>
          <w:sz w:val="20"/>
          <w:szCs w:val="20"/>
          <w:color w:val="auto"/>
        </w:rPr>
      </w:pPr>
    </w:p>
    <w:p>
      <w:pPr>
        <w:jc w:val="both"/>
        <w:ind w:left="660" w:firstLine="648"/>
        <w:spacing w:after="0" w:line="239" w:lineRule="auto"/>
        <w:rPr>
          <w:sz w:val="20"/>
          <w:szCs w:val="20"/>
          <w:color w:val="auto"/>
        </w:rPr>
      </w:pPr>
      <w:r>
        <w:rPr>
          <w:rFonts w:ascii="Arial" w:cs="Arial" w:eastAsia="Arial" w:hAnsi="Arial"/>
          <w:sz w:val="18"/>
          <w:szCs w:val="18"/>
          <w:color w:val="auto"/>
        </w:rPr>
        <w:t>In April 2020, we announced our EnhancedClean</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Program (“EnhancedClean”), an innovative solution that helps provide clients with healthy spaces. We designed EnhancedClean under the guidance of experts on infectious diseases and industrial hygiene to help provide our clients with processes that use hospital-grade disinfectants, specialized equipment, and innovative solutions and technology. These solutions include: hygiene and safety protocols, utilization of disinfecting procedures and products for high-touch surfaces, employment of PPE, and communication and training protocols.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0046AD"/>
        </w:rPr>
        <w:t>Management of Direct Labor</w:t>
      </w:r>
    </w:p>
    <w:p>
      <w:pPr>
        <w:spacing w:after="0" w:line="189" w:lineRule="exact"/>
        <w:rPr>
          <w:sz w:val="20"/>
          <w:szCs w:val="20"/>
          <w:color w:val="auto"/>
        </w:rPr>
      </w:pPr>
    </w:p>
    <w:p>
      <w:pPr>
        <w:jc w:val="both"/>
        <w:ind w:left="660" w:firstLine="648"/>
        <w:spacing w:after="0" w:line="256" w:lineRule="auto"/>
        <w:rPr>
          <w:sz w:val="20"/>
          <w:szCs w:val="20"/>
          <w:color w:val="auto"/>
        </w:rPr>
      </w:pPr>
      <w:r>
        <w:rPr>
          <w:rFonts w:ascii="Arial" w:cs="Arial" w:eastAsia="Arial" w:hAnsi="Arial"/>
          <w:sz w:val="18"/>
          <w:szCs w:val="18"/>
          <w:color w:val="auto"/>
        </w:rPr>
        <w:t>As we adapt to the changing demand environment resulting from the Pandemic, we continue to actively manage direct labor and related personnel costs, including furloughs or reduced hours for certain frontline employees in markets significantly impacted by business slowdowns and shutdowns.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i w:val="1"/>
          <w:iCs w:val="1"/>
          <w:color w:val="0046AD"/>
        </w:rPr>
        <w:t>Liquidity, Cash Flows, and Financial Position</w:t>
      </w:r>
    </w:p>
    <w:p>
      <w:pPr>
        <w:spacing w:after="0" w:line="189" w:lineRule="exact"/>
        <w:rPr>
          <w:sz w:val="20"/>
          <w:szCs w:val="20"/>
          <w:color w:val="auto"/>
        </w:rPr>
      </w:pPr>
    </w:p>
    <w:p>
      <w:pPr>
        <w:ind w:left="660" w:firstLine="648"/>
        <w:spacing w:after="0" w:line="261" w:lineRule="auto"/>
        <w:rPr>
          <w:sz w:val="20"/>
          <w:szCs w:val="20"/>
          <w:color w:val="auto"/>
        </w:rPr>
      </w:pPr>
      <w:r>
        <w:rPr>
          <w:rFonts w:ascii="Arial" w:cs="Arial" w:eastAsia="Arial" w:hAnsi="Arial"/>
          <w:sz w:val="18"/>
          <w:szCs w:val="18"/>
          <w:color w:val="auto"/>
        </w:rPr>
        <w:t>We have taken and continue to take actions to help preserve cash, increase liquidity, and strengthen our financial position, including:</w:t>
      </w:r>
    </w:p>
    <w:p>
      <w:pPr>
        <w:spacing w:after="0" w:line="144" w:lineRule="exact"/>
        <w:rPr>
          <w:sz w:val="20"/>
          <w:szCs w:val="20"/>
          <w:color w:val="auto"/>
        </w:rPr>
      </w:pPr>
    </w:p>
    <w:p>
      <w:pPr>
        <w:ind w:left="1300" w:hanging="320"/>
        <w:spacing w:after="0" w:line="261" w:lineRule="auto"/>
        <w:tabs>
          <w:tab w:leader="none" w:pos="1289" w:val="left"/>
        </w:tabs>
        <w:numPr>
          <w:ilvl w:val="0"/>
          <w:numId w:val="8"/>
        </w:numPr>
        <w:rPr>
          <w:rFonts w:ascii="Arial" w:cs="Arial" w:eastAsia="Arial" w:hAnsi="Arial"/>
          <w:sz w:val="16"/>
          <w:szCs w:val="16"/>
          <w:b w:val="1"/>
          <w:bCs w:val="1"/>
          <w:color w:val="auto"/>
        </w:rPr>
      </w:pPr>
      <w:r>
        <w:rPr>
          <w:rFonts w:ascii="Arial" w:cs="Arial" w:eastAsia="Arial" w:hAnsi="Arial"/>
          <w:sz w:val="18"/>
          <w:szCs w:val="18"/>
          <w:color w:val="auto"/>
        </w:rPr>
        <w:t>Amending our credit facility on June 28, 2021, to increase our borrowing capacity and further enhance our financial flexibility (refer to “Liquidity and Capital Resources” for more information);</w:t>
      </w:r>
    </w:p>
    <w:p>
      <w:pPr>
        <w:spacing w:after="0" w:line="143" w:lineRule="exact"/>
        <w:rPr>
          <w:rFonts w:ascii="Arial" w:cs="Arial" w:eastAsia="Arial" w:hAnsi="Arial"/>
          <w:sz w:val="16"/>
          <w:szCs w:val="16"/>
          <w:b w:val="1"/>
          <w:bCs w:val="1"/>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Focusing on collection of client receivables and monitoring the adequacy of our reserves;</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Extending vendor payment terms where possible;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Utilizing certain governmental relief efforts (as further described below).</w:t>
      </w:r>
    </w:p>
    <w:p>
      <w:pPr>
        <w:spacing w:after="0" w:line="171" w:lineRule="exact"/>
        <w:rPr>
          <w:sz w:val="20"/>
          <w:szCs w:val="20"/>
          <w:color w:val="auto"/>
        </w:rPr>
      </w:pPr>
    </w:p>
    <w:p>
      <w:pPr>
        <w:jc w:val="both"/>
        <w:ind w:left="660" w:firstLine="648"/>
        <w:spacing w:after="0" w:line="252" w:lineRule="auto"/>
        <w:rPr>
          <w:sz w:val="20"/>
          <w:szCs w:val="20"/>
          <w:color w:val="auto"/>
        </w:rPr>
      </w:pPr>
      <w:r>
        <w:rPr>
          <w:rFonts w:ascii="Arial" w:cs="Arial" w:eastAsia="Arial" w:hAnsi="Arial"/>
          <w:sz w:val="18"/>
          <w:szCs w:val="18"/>
          <w:color w:val="auto"/>
        </w:rPr>
        <w:t>In response to the Pandemic, Congress enacted the Coronavirus Aid, Relief, and Economic Security Act (“CARES Act”) on March 27, 2020. The CARES Act provides various stimulus measures, including several income tax and payroll tax provisions. Among the payroll tax provisions is the creation of a refundable credit for employee retention and the deferral of certain payroll tax remittances through December 31, 2020, to future years (with 50% of the deferred amount due by December 31, 2021, and the remaining 50% due by December 31, 2022). We evaluated the impact of business tax provisions in the CARES Act and determined the impact of the income tax provisions is not material. The impact of the payroll tax provisions was the deferral of approximately $132 million of payroll tax as of October 31, 2021. Additionally, we received grants under the United Kingdom’s job retention scheme to reimburse us for a portion of certain furloughed employees’ salaries from March 2020 through September 2021.</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As a result of the actions taken above, we were able to strengthen our cash flow in fiscal 2021. As of October 31, 2021, these actions resulted in a borrowing capacity of $875.0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Insurance Reserves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Insurance claim liabilities represent our estimate of retained risks without regard to insurance coverage. We retain a substantial portion of the risk related to certain workers’ compensation and medical claims. Liabilities associated with these losses include estimates of both filed claims and incurred but not reported claims (“IBNR Claims”).</w:t>
      </w:r>
    </w:p>
    <w:p>
      <w:pPr>
        <w:spacing w:after="0" w:line="15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With the assistance of third-party actuaries, we review our estimate of ultimate losses for IBNR Claims on a quarterly basis and adjust our required self-insurance reserves as appropriate. As part of this evaluation, we review the status of existing and new claim reserves as established by third-party claims administrators. The third-party claims administrators establish the case reserves based upon known factors related to the type and severity of the claims, demographic factors, legislative matters, and case law, as appropriate. We compare actual trends to expected trends and monitor claims developments. The specific case reserves estimated by the third-party administrators are provided to an actuary who assists us in projecting an actuarial estimate of the overall ultimate losses for our self-insured or high deductible programs, which includes the case reserves plus an actuarial estimate of reserves required for additional developments, such as IBNR Claims. We utilize the results of actuarial studies to estimate our insurance rates and insurance reserves for future periods and to adjust reserves, if appropriate, for prior years.</w:t>
      </w:r>
    </w:p>
    <w:p>
      <w:pPr>
        <w:spacing w:after="0" w:line="15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actuarial reviews demonstrate that the changes we have made to our risk management program continue to positively impact the frequency and severity of claims. The claims management strategies and programs that we have implemented have resulted in improvements. Furthermore, we continue to adjust our reserves consistent with known fact patterns. Based on the results of the actuarial reviews performed, we decreased our total reserves related to prior years for known claims as well as our estimate of the loss amounts associated with IBNR claims during 2021 by $36.0 million. In 2020, we decreased our total reserves related to prior year claims by $30.2 million.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0046AD"/>
        </w:rPr>
        <w:t>Key Financial Highlights</w:t>
      </w:r>
    </w:p>
    <w:p>
      <w:pPr>
        <w:spacing w:after="0" w:line="207" w:lineRule="exact"/>
        <w:rPr>
          <w:sz w:val="20"/>
          <w:szCs w:val="20"/>
          <w:color w:val="auto"/>
        </w:rPr>
      </w:pPr>
    </w:p>
    <w:p>
      <w:pPr>
        <w:ind w:left="660" w:right="120" w:hanging="328"/>
        <w:spacing w:after="0" w:line="245" w:lineRule="auto"/>
        <w:tabs>
          <w:tab w:leader="none" w:pos="621" w:val="left"/>
        </w:tabs>
        <w:numPr>
          <w:ilvl w:val="0"/>
          <w:numId w:val="9"/>
        </w:numPr>
        <w:rPr>
          <w:rFonts w:ascii="Arial" w:cs="Arial" w:eastAsia="Arial" w:hAnsi="Arial"/>
          <w:sz w:val="20"/>
          <w:szCs w:val="20"/>
          <w:color w:val="auto"/>
        </w:rPr>
      </w:pPr>
      <w:r>
        <w:rPr>
          <w:rFonts w:ascii="Arial" w:cs="Arial" w:eastAsia="Arial" w:hAnsi="Arial"/>
          <w:sz w:val="18"/>
          <w:szCs w:val="18"/>
          <w:color w:val="auto"/>
        </w:rPr>
        <w:t>Revenues increased by $241.0 million, or 4.0%, during 2021, as compared to 2020, primarily driven by a $101.1 million revenue increase due to the Able Acquisition in the fourth quarter of 2021, an increase in work orders (primarily as a result of the Pandemic), new business within B&amp;I, T&amp;M, and Technical Solutions, and the recovery of volume in Education and Technical Solutions as Pandemic-related disruptions eased in the last half of fiscal year 2021.</w:t>
      </w:r>
    </w:p>
    <w:p>
      <w:pPr>
        <w:spacing w:after="0" w:line="157" w:lineRule="exact"/>
        <w:rPr>
          <w:rFonts w:ascii="Arial" w:cs="Arial" w:eastAsia="Arial" w:hAnsi="Arial"/>
          <w:sz w:val="20"/>
          <w:szCs w:val="20"/>
          <w:color w:val="auto"/>
        </w:rPr>
      </w:pPr>
    </w:p>
    <w:p>
      <w:pPr>
        <w:ind w:left="620" w:hanging="288"/>
        <w:spacing w:after="0"/>
        <w:tabs>
          <w:tab w:leader="none" w:pos="620" w:val="left"/>
        </w:tabs>
        <w:numPr>
          <w:ilvl w:val="0"/>
          <w:numId w:val="9"/>
        </w:numPr>
        <w:rPr>
          <w:rFonts w:ascii="Arial" w:cs="Arial" w:eastAsia="Arial" w:hAnsi="Arial"/>
          <w:sz w:val="20"/>
          <w:szCs w:val="20"/>
          <w:color w:val="auto"/>
        </w:rPr>
      </w:pPr>
      <w:r>
        <w:rPr>
          <w:rFonts w:ascii="Arial" w:cs="Arial" w:eastAsia="Arial" w:hAnsi="Arial"/>
          <w:sz w:val="18"/>
          <w:szCs w:val="18"/>
          <w:color w:val="auto"/>
        </w:rPr>
        <w:t>Operating profit increased by $110.6 million during 2021, as compared to 2020. The increase in operating profit was attributable to:</w:t>
      </w:r>
    </w:p>
    <w:p>
      <w:pPr>
        <w:spacing w:after="0" w:line="161" w:lineRule="exact"/>
        <w:rPr>
          <w:rFonts w:ascii="Arial" w:cs="Arial" w:eastAsia="Arial" w:hAnsi="Arial"/>
          <w:sz w:val="20"/>
          <w:szCs w:val="20"/>
          <w:color w:val="auto"/>
        </w:rPr>
      </w:pPr>
    </w:p>
    <w:p>
      <w:pPr>
        <w:ind w:left="1300" w:right="20" w:hanging="320"/>
        <w:spacing w:after="0" w:line="261" w:lineRule="auto"/>
        <w:tabs>
          <w:tab w:leader="none" w:pos="1296"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absence of prior year impairment charges recorded on goodwill and intangible assets totaling $172.8 million due to the adverse impact of market and business conditions resulting from the Pandemic;</w:t>
      </w:r>
    </w:p>
    <w:p>
      <w:pPr>
        <w:spacing w:after="0" w:line="143"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higher margins on work orders as a result of the Pandemic;</w:t>
      </w:r>
    </w:p>
    <w:p>
      <w:pPr>
        <w:spacing w:after="0" w:line="171" w:lineRule="exact"/>
        <w:rPr>
          <w:rFonts w:ascii="Arial" w:cs="Arial" w:eastAsia="Arial" w:hAnsi="Arial"/>
          <w:sz w:val="18"/>
          <w:szCs w:val="18"/>
          <w:color w:val="auto"/>
        </w:rPr>
      </w:pPr>
    </w:p>
    <w:p>
      <w:pPr>
        <w:ind w:left="1300" w:right="20" w:hanging="320"/>
        <w:spacing w:after="0" w:line="261" w:lineRule="auto"/>
        <w:tabs>
          <w:tab w:leader="none" w:pos="1296" w:val="left"/>
        </w:tabs>
        <w:numPr>
          <w:ilvl w:val="1"/>
          <w:numId w:val="9"/>
        </w:numPr>
        <w:rPr>
          <w:rFonts w:ascii="Arial" w:cs="Arial" w:eastAsia="Arial" w:hAnsi="Arial"/>
          <w:sz w:val="18"/>
          <w:szCs w:val="18"/>
          <w:color w:val="auto"/>
        </w:rPr>
      </w:pPr>
      <w:r>
        <w:rPr>
          <w:rFonts w:ascii="Arial" w:cs="Arial" w:eastAsia="Arial" w:hAnsi="Arial"/>
          <w:sz w:val="18"/>
          <w:szCs w:val="18"/>
          <w:color w:val="auto"/>
        </w:rPr>
        <w:t>a decrease in bad debt expense, primarily associated with higher reserves established for client receivables in the prior year, due to increasing credit risk resulting from the Pandemic; and</w:t>
      </w:r>
    </w:p>
    <w:p>
      <w:pPr>
        <w:spacing w:after="0" w:line="157" w:lineRule="exact"/>
        <w:rPr>
          <w:rFonts w:ascii="Arial" w:cs="Arial" w:eastAsia="Arial" w:hAnsi="Arial"/>
          <w:sz w:val="18"/>
          <w:szCs w:val="18"/>
          <w:color w:val="auto"/>
        </w:rPr>
      </w:pPr>
    </w:p>
    <w:p>
      <w:pPr>
        <w:ind w:left="1300" w:hanging="320"/>
        <w:spacing w:after="0" w:line="237" w:lineRule="auto"/>
        <w:tabs>
          <w:tab w:leader="none" w:pos="1316" w:val="left"/>
        </w:tabs>
        <w:numPr>
          <w:ilvl w:val="1"/>
          <w:numId w:val="9"/>
        </w:numPr>
        <w:rPr>
          <w:rFonts w:ascii="Arial" w:cs="Arial" w:eastAsia="Arial" w:hAnsi="Arial"/>
          <w:sz w:val="20"/>
          <w:szCs w:val="20"/>
          <w:color w:val="auto"/>
        </w:rPr>
      </w:pPr>
      <w:r>
        <w:rPr>
          <w:rFonts w:ascii="Arial" w:cs="Arial" w:eastAsia="Arial" w:hAnsi="Arial"/>
          <w:sz w:val="18"/>
          <w:szCs w:val="18"/>
          <w:color w:val="auto"/>
        </w:rPr>
        <w:t>the absence of a reserve on notes receivable related to a unique, entertainment-related project within Technical Solutions, mainly associated with increasing credit risk resulting from the Pandemic.</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was partially offset by:</w:t>
      </w:r>
    </w:p>
    <w:p>
      <w:pPr>
        <w:spacing w:after="0" w:line="153" w:lineRule="exact"/>
        <w:rPr>
          <w:sz w:val="20"/>
          <w:szCs w:val="20"/>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the accrual of a legal settlement for 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w:t>
      </w:r>
    </w:p>
    <w:p>
      <w:pPr>
        <w:spacing w:after="0" w:line="167"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increased expenditures for certain technology projects and other enterprise initiatives (including </w:t>
      </w:r>
      <w:r>
        <w:rPr>
          <w:rFonts w:ascii="Arial" w:cs="Arial" w:eastAsia="Arial" w:hAnsi="Arial"/>
          <w:sz w:val="18"/>
          <w:szCs w:val="18"/>
          <w:b w:val="1"/>
          <w:bCs w:val="1"/>
          <w:color w:val="E98300"/>
        </w:rPr>
        <w:t>ELEVATE</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absence of management and staff furloughs that occurred in the prior year in response to the Pandemic;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acquisition and integration costs related to the Able Acquisition.</w:t>
      </w:r>
    </w:p>
    <w:p>
      <w:pPr>
        <w:spacing w:after="0" w:line="184" w:lineRule="exact"/>
        <w:rPr>
          <w:rFonts w:ascii="Arial" w:cs="Arial" w:eastAsia="Arial" w:hAnsi="Arial"/>
          <w:sz w:val="18"/>
          <w:szCs w:val="18"/>
          <w:color w:val="auto"/>
        </w:rPr>
      </w:pPr>
    </w:p>
    <w:p>
      <w:pPr>
        <w:ind w:left="660" w:hanging="328"/>
        <w:spacing w:after="0" w:line="237" w:lineRule="auto"/>
        <w:tabs>
          <w:tab w:leader="none" w:pos="621" w:val="left"/>
        </w:tabs>
        <w:numPr>
          <w:ilvl w:val="0"/>
          <w:numId w:val="10"/>
        </w:numPr>
        <w:rPr>
          <w:rFonts w:ascii="Arial" w:cs="Arial" w:eastAsia="Arial" w:hAnsi="Arial"/>
          <w:sz w:val="20"/>
          <w:szCs w:val="20"/>
          <w:color w:val="auto"/>
        </w:rPr>
      </w:pPr>
      <w:r>
        <w:rPr>
          <w:rFonts w:ascii="Arial" w:cs="Arial" w:eastAsia="Arial" w:hAnsi="Arial"/>
          <w:sz w:val="18"/>
          <w:szCs w:val="18"/>
          <w:color w:val="auto"/>
        </w:rPr>
        <w:t>Our effective tax rate on income from continuing operations was 29.8% for 2021, as compared to 99.6% during 2020, with the decrease primarily due to the impairment of non-deductible goodwill during 2020 and not recurring in 2021.</w:t>
      </w:r>
    </w:p>
    <w:p>
      <w:pPr>
        <w:spacing w:after="0" w:line="162" w:lineRule="exact"/>
        <w:rPr>
          <w:rFonts w:ascii="Arial" w:cs="Arial" w:eastAsia="Arial" w:hAnsi="Arial"/>
          <w:sz w:val="20"/>
          <w:szCs w:val="20"/>
          <w:color w:val="auto"/>
        </w:rPr>
      </w:pPr>
    </w:p>
    <w:p>
      <w:pPr>
        <w:ind w:left="620" w:hanging="288"/>
        <w:spacing w:after="0"/>
        <w:tabs>
          <w:tab w:leader="none" w:pos="620" w:val="left"/>
        </w:tabs>
        <w:numPr>
          <w:ilvl w:val="0"/>
          <w:numId w:val="10"/>
        </w:numPr>
        <w:rPr>
          <w:rFonts w:ascii="Arial" w:cs="Arial" w:eastAsia="Arial" w:hAnsi="Arial"/>
          <w:sz w:val="20"/>
          <w:szCs w:val="20"/>
          <w:color w:val="auto"/>
        </w:rPr>
      </w:pPr>
      <w:r>
        <w:rPr>
          <w:rFonts w:ascii="Arial" w:cs="Arial" w:eastAsia="Arial" w:hAnsi="Arial"/>
          <w:sz w:val="18"/>
          <w:szCs w:val="18"/>
          <w:color w:val="auto"/>
        </w:rPr>
        <w:t>Net cash provided by operating activities of continuing operations was $314.3 million during 2021.</w:t>
      </w:r>
    </w:p>
    <w:p>
      <w:pPr>
        <w:spacing w:after="0" w:line="161" w:lineRule="exact"/>
        <w:rPr>
          <w:rFonts w:ascii="Arial" w:cs="Arial" w:eastAsia="Arial" w:hAnsi="Arial"/>
          <w:sz w:val="20"/>
          <w:szCs w:val="20"/>
          <w:color w:val="auto"/>
        </w:rPr>
      </w:pPr>
    </w:p>
    <w:p>
      <w:pPr>
        <w:ind w:left="620" w:hanging="288"/>
        <w:spacing w:after="0"/>
        <w:tabs>
          <w:tab w:leader="none" w:pos="620" w:val="left"/>
        </w:tabs>
        <w:numPr>
          <w:ilvl w:val="0"/>
          <w:numId w:val="10"/>
        </w:numPr>
        <w:rPr>
          <w:rFonts w:ascii="Arial" w:cs="Arial" w:eastAsia="Arial" w:hAnsi="Arial"/>
          <w:sz w:val="20"/>
          <w:szCs w:val="20"/>
          <w:color w:val="auto"/>
        </w:rPr>
      </w:pPr>
      <w:r>
        <w:rPr>
          <w:rFonts w:ascii="Arial" w:cs="Arial" w:eastAsia="Arial" w:hAnsi="Arial"/>
          <w:sz w:val="18"/>
          <w:szCs w:val="18"/>
          <w:color w:val="auto"/>
        </w:rPr>
        <w:t>Dividends of $51.0 million were paid to shareholders, and dividends totaling $0.760 per common share were declared during 2021.</w:t>
      </w:r>
    </w:p>
    <w:p>
      <w:pPr>
        <w:spacing w:after="0" w:line="174" w:lineRule="exact"/>
        <w:rPr>
          <w:rFonts w:ascii="Arial" w:cs="Arial" w:eastAsia="Arial" w:hAnsi="Arial"/>
          <w:sz w:val="20"/>
          <w:szCs w:val="20"/>
          <w:color w:val="auto"/>
        </w:rPr>
      </w:pPr>
    </w:p>
    <w:p>
      <w:pPr>
        <w:ind w:left="660" w:hanging="328"/>
        <w:spacing w:after="0" w:line="237" w:lineRule="auto"/>
        <w:tabs>
          <w:tab w:leader="none" w:pos="621" w:val="left"/>
        </w:tabs>
        <w:numPr>
          <w:ilvl w:val="0"/>
          <w:numId w:val="10"/>
        </w:numPr>
        <w:rPr>
          <w:rFonts w:ascii="Arial" w:cs="Arial" w:eastAsia="Arial" w:hAnsi="Arial"/>
          <w:sz w:val="20"/>
          <w:szCs w:val="20"/>
          <w:color w:val="auto"/>
        </w:rPr>
      </w:pPr>
      <w:r>
        <w:rPr>
          <w:rFonts w:ascii="Arial" w:cs="Arial" w:eastAsia="Arial" w:hAnsi="Arial"/>
          <w:sz w:val="18"/>
          <w:szCs w:val="18"/>
          <w:color w:val="auto"/>
        </w:rPr>
        <w:t>At October 31, 2021, total outstanding borrowings under our credit facility were $888.8 million, and we had up to $875.0 million of borrowing capacity.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Consolidated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Years Ended October 31,</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2"/>
          </w:tcPr>
          <w:p>
            <w:pPr>
              <w:jc w:val="center"/>
              <w:ind w:right="119"/>
              <w:spacing w:after="0"/>
              <w:rPr>
                <w:sz w:val="20"/>
                <w:szCs w:val="20"/>
                <w:color w:val="auto"/>
              </w:rPr>
            </w:pPr>
            <w:r>
              <w:rPr>
                <w:rFonts w:ascii="Arial" w:cs="Arial" w:eastAsia="Arial" w:hAnsi="Arial"/>
                <w:sz w:val="16"/>
                <w:szCs w:val="16"/>
                <w:b w:val="1"/>
                <w:bCs w:val="1"/>
                <w:color w:val="auto"/>
              </w:rPr>
              <w:t>2021 vs. 2020</w:t>
            </w:r>
          </w:p>
        </w:tc>
      </w:tr>
      <w:tr>
        <w:trPr>
          <w:trHeight w:val="172"/>
        </w:trPr>
        <w:tc>
          <w:tcPr>
            <w:tcW w:w="20" w:type="dxa"/>
            <w:vAlign w:val="bottom"/>
          </w:tcPr>
          <w:p>
            <w:pPr>
              <w:spacing w:after="0"/>
              <w:rPr>
                <w:sz w:val="14"/>
                <w:szCs w:val="14"/>
                <w:color w:val="auto"/>
              </w:rPr>
            </w:pPr>
          </w:p>
        </w:tc>
        <w:tc>
          <w:tcPr>
            <w:tcW w:w="430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40" w:type="dxa"/>
            <w:vAlign w:val="bottom"/>
          </w:tcPr>
          <w:p>
            <w:pPr>
              <w:spacing w:after="0"/>
              <w:rPr>
                <w:sz w:val="14"/>
                <w:szCs w:val="14"/>
                <w:color w:val="auto"/>
              </w:rPr>
            </w:pPr>
          </w:p>
        </w:tc>
        <w:tc>
          <w:tcPr>
            <w:tcW w:w="980" w:type="dxa"/>
            <w:vAlign w:val="bottom"/>
          </w:tcPr>
          <w:p>
            <w:pPr>
              <w:jc w:val="right"/>
              <w:ind w:right="319"/>
              <w:spacing w:after="0" w:line="172" w:lineRule="exact"/>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459"/>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459"/>
              <w:spacing w:after="0" w:line="17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2"/>
          </w:tcPr>
          <w:p>
            <w:pPr>
              <w:jc w:val="center"/>
              <w:ind w:right="139"/>
              <w:spacing w:after="0" w:line="172" w:lineRule="exact"/>
              <w:rPr>
                <w:sz w:val="20"/>
                <w:szCs w:val="20"/>
                <w:color w:val="auto"/>
              </w:rPr>
            </w:pPr>
            <w:r>
              <w:rPr>
                <w:rFonts w:ascii="Arial" w:cs="Arial" w:eastAsia="Arial" w:hAnsi="Arial"/>
                <w:sz w:val="16"/>
                <w:szCs w:val="16"/>
                <w:b w:val="1"/>
                <w:bCs w:val="1"/>
                <w:color w:val="auto"/>
              </w:rPr>
              <w:t>Increase / (Decrease)</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48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430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34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6,228.6</w:t>
            </w:r>
          </w:p>
        </w:tc>
        <w:tc>
          <w:tcPr>
            <w:tcW w:w="560" w:type="dxa"/>
            <w:vAlign w:val="bottom"/>
            <w:gridSpan w:val="3"/>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5,987.6</w:t>
            </w:r>
          </w:p>
        </w:tc>
        <w:tc>
          <w:tcPr>
            <w:tcW w:w="12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6,498.6</w:t>
            </w: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241.0</w:t>
            </w:r>
          </w:p>
        </w:tc>
        <w:tc>
          <w:tcPr>
            <w:tcW w:w="118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4.0%</w:t>
            </w:r>
          </w:p>
        </w:tc>
      </w:tr>
      <w:tr>
        <w:trPr>
          <w:trHeight w:val="213"/>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5,258.2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5,157.0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5,767.5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101.2</w:t>
            </w:r>
          </w:p>
        </w:tc>
        <w:tc>
          <w:tcPr>
            <w:tcW w:w="1180" w:type="dxa"/>
            <w:vAlign w:val="bottom"/>
          </w:tcPr>
          <w:p>
            <w:pPr>
              <w:jc w:val="center"/>
              <w:ind w:left="39"/>
              <w:spacing w:after="0"/>
              <w:rPr>
                <w:sz w:val="20"/>
                <w:szCs w:val="20"/>
                <w:color w:val="auto"/>
              </w:rPr>
            </w:pPr>
            <w:r>
              <w:rPr>
                <w:rFonts w:ascii="Arial" w:cs="Arial" w:eastAsia="Arial" w:hAnsi="Arial"/>
                <w:sz w:val="16"/>
                <w:szCs w:val="16"/>
                <w:color w:val="auto"/>
              </w:rPr>
              <w:t>2.0%</w:t>
            </w:r>
          </w:p>
        </w:tc>
      </w:tr>
      <w:tr>
        <w:trPr>
          <w:trHeight w:val="192"/>
        </w:trPr>
        <w:tc>
          <w:tcPr>
            <w:tcW w:w="20" w:type="dxa"/>
            <w:vAlign w:val="bottom"/>
            <w:shd w:val="clear" w:color="auto" w:fill="DCE2EF"/>
          </w:tcPr>
          <w:p>
            <w:pPr>
              <w:spacing w:after="0"/>
              <w:rPr>
                <w:sz w:val="16"/>
                <w:szCs w:val="16"/>
                <w:color w:val="auto"/>
              </w:rPr>
            </w:pPr>
          </w:p>
        </w:tc>
        <w:tc>
          <w:tcPr>
            <w:tcW w:w="43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Gross margin</w:t>
            </w:r>
          </w:p>
        </w:tc>
        <w:tc>
          <w:tcPr>
            <w:tcW w:w="340" w:type="dxa"/>
            <w:vAlign w:val="bottom"/>
            <w:shd w:val="clear" w:color="auto" w:fill="DCE2EF"/>
          </w:tcPr>
          <w:p>
            <w:pPr>
              <w:spacing w:after="0"/>
              <w:rPr>
                <w:sz w:val="16"/>
                <w:szCs w:val="16"/>
                <w:color w:val="auto"/>
              </w:rPr>
            </w:pPr>
          </w:p>
        </w:tc>
        <w:tc>
          <w:tcPr>
            <w:tcW w:w="1120" w:type="dxa"/>
            <w:vAlign w:val="bottom"/>
            <w:gridSpan w:val="2"/>
            <w:shd w:val="clear" w:color="auto" w:fill="DCE2EF"/>
          </w:tcPr>
          <w:p>
            <w:pPr>
              <w:jc w:val="right"/>
              <w:spacing w:after="0"/>
              <w:rPr>
                <w:sz w:val="20"/>
                <w:szCs w:val="20"/>
                <w:color w:val="auto"/>
              </w:rPr>
            </w:pPr>
            <w:r>
              <w:rPr>
                <w:rFonts w:ascii="Arial" w:cs="Arial" w:eastAsia="Arial" w:hAnsi="Arial"/>
                <w:sz w:val="14"/>
                <w:szCs w:val="14"/>
                <w:i w:val="1"/>
                <w:iCs w:val="1"/>
                <w:color w:val="auto"/>
              </w:rPr>
              <w:t>15.6 %</w:t>
            </w:r>
          </w:p>
        </w:tc>
        <w:tc>
          <w:tcPr>
            <w:tcW w:w="10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13.9 %</w:t>
            </w:r>
          </w:p>
        </w:tc>
        <w:tc>
          <w:tcPr>
            <w:tcW w:w="12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11.2 %</w:t>
            </w:r>
          </w:p>
        </w:tc>
        <w:tc>
          <w:tcPr>
            <w:tcW w:w="100" w:type="dxa"/>
            <w:vAlign w:val="bottom"/>
            <w:shd w:val="clear" w:color="auto" w:fill="DCE2EF"/>
          </w:tcPr>
          <w:p>
            <w:pPr>
              <w:spacing w:after="0"/>
              <w:rPr>
                <w:sz w:val="16"/>
                <w:szCs w:val="16"/>
                <w:color w:val="auto"/>
              </w:rPr>
            </w:pPr>
          </w:p>
        </w:tc>
        <w:tc>
          <w:tcPr>
            <w:tcW w:w="220" w:type="dxa"/>
            <w:vAlign w:val="bottom"/>
            <w:shd w:val="clear" w:color="auto" w:fill="DCE2EF"/>
          </w:tcPr>
          <w:p>
            <w:pPr>
              <w:spacing w:after="0"/>
              <w:rPr>
                <w:sz w:val="16"/>
                <w:szCs w:val="16"/>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171 bps</w:t>
            </w:r>
          </w:p>
        </w:tc>
        <w:tc>
          <w:tcPr>
            <w:tcW w:w="1180" w:type="dxa"/>
            <w:vAlign w:val="bottom"/>
            <w:shd w:val="clear" w:color="auto" w:fill="DCE2E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506.1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452.9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213.1</w:t>
            </w:r>
          </w:p>
        </w:tc>
        <w:tc>
          <w:tcPr>
            <w:tcW w:w="1180" w:type="dxa"/>
            <w:vAlign w:val="bottom"/>
          </w:tcPr>
          <w:p>
            <w:pPr>
              <w:jc w:val="center"/>
              <w:ind w:left="39"/>
              <w:spacing w:after="0"/>
              <w:rPr>
                <w:sz w:val="20"/>
                <w:szCs w:val="20"/>
                <w:color w:val="auto"/>
              </w:rPr>
            </w:pPr>
            <w:r>
              <w:rPr>
                <w:rFonts w:ascii="Arial" w:cs="Arial" w:eastAsia="Arial" w:hAnsi="Arial"/>
                <w:sz w:val="16"/>
                <w:szCs w:val="16"/>
                <w:color w:val="auto"/>
              </w:rPr>
              <w:t>42.1%</w:t>
            </w:r>
          </w:p>
        </w:tc>
      </w:tr>
      <w:tr>
        <w:trPr>
          <w:trHeight w:val="219"/>
        </w:trPr>
        <w:tc>
          <w:tcPr>
            <w:tcW w:w="20" w:type="dxa"/>
            <w:vAlign w:val="bottom"/>
            <w:shd w:val="clear" w:color="auto" w:fill="DCE2EF"/>
          </w:tcPr>
          <w:p>
            <w:pPr>
              <w:spacing w:after="0"/>
              <w:rPr>
                <w:sz w:val="19"/>
                <w:szCs w:val="19"/>
                <w:color w:val="auto"/>
              </w:rPr>
            </w:pPr>
          </w:p>
        </w:tc>
        <w:tc>
          <w:tcPr>
            <w:tcW w:w="43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Restructuring and related expenses</w:t>
            </w:r>
          </w:p>
        </w:tc>
        <w:tc>
          <w:tcPr>
            <w:tcW w:w="340" w:type="dxa"/>
            <w:vAlign w:val="bottom"/>
            <w:shd w:val="clear" w:color="auto" w:fill="DCE2EF"/>
          </w:tcPr>
          <w:p>
            <w:pPr>
              <w:spacing w:after="0"/>
              <w:rPr>
                <w:sz w:val="19"/>
                <w:szCs w:val="19"/>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2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7.6</w:t>
            </w:r>
          </w:p>
        </w:tc>
        <w:tc>
          <w:tcPr>
            <w:tcW w:w="12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(7.6)</w:t>
            </w:r>
          </w:p>
        </w:tc>
        <w:tc>
          <w:tcPr>
            <w:tcW w:w="1180" w:type="dxa"/>
            <w:vAlign w:val="bottom"/>
            <w:shd w:val="clear" w:color="auto" w:fill="DCE2EF"/>
          </w:tcPr>
          <w:p>
            <w:pPr>
              <w:ind w:left="480"/>
              <w:spacing w:after="0"/>
              <w:rPr>
                <w:sz w:val="20"/>
                <w:szCs w:val="20"/>
                <w:color w:val="auto"/>
              </w:rPr>
            </w:pPr>
            <w:r>
              <w:rPr>
                <w:rFonts w:ascii="Arial" w:cs="Arial" w:eastAsia="Arial" w:hAnsi="Arial"/>
                <w:sz w:val="16"/>
                <w:szCs w:val="16"/>
                <w:color w:val="auto"/>
              </w:rPr>
              <w:t>NM*</w:t>
            </w:r>
          </w:p>
        </w:tc>
      </w:tr>
      <w:tr>
        <w:trPr>
          <w:trHeight w:val="213"/>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w:t>
            </w:r>
          </w:p>
        </w:tc>
        <w:tc>
          <w:tcPr>
            <w:tcW w:w="1180" w:type="dxa"/>
            <w:vAlign w:val="bottom"/>
          </w:tcPr>
          <w:p>
            <w:pPr>
              <w:jc w:val="center"/>
              <w:ind w:left="19"/>
              <w:spacing w:after="0"/>
              <w:rPr>
                <w:sz w:val="20"/>
                <w:szCs w:val="20"/>
                <w:color w:val="auto"/>
              </w:rPr>
            </w:pPr>
            <w:r>
              <w:rPr>
                <w:rFonts w:ascii="Arial" w:cs="Arial" w:eastAsia="Arial" w:hAnsi="Arial"/>
                <w:sz w:val="16"/>
                <w:szCs w:val="16"/>
                <w:color w:val="auto"/>
              </w:rPr>
              <w:t>(7.1)%</w:t>
            </w:r>
          </w:p>
        </w:tc>
      </w:tr>
      <w:tr>
        <w:trPr>
          <w:trHeight w:val="219"/>
        </w:trPr>
        <w:tc>
          <w:tcPr>
            <w:tcW w:w="20" w:type="dxa"/>
            <w:vAlign w:val="bottom"/>
            <w:shd w:val="clear" w:color="auto" w:fill="DCE2EF"/>
          </w:tcPr>
          <w:p>
            <w:pPr>
              <w:spacing w:after="0"/>
              <w:rPr>
                <w:sz w:val="19"/>
                <w:szCs w:val="19"/>
                <w:color w:val="auto"/>
              </w:rPr>
            </w:pPr>
          </w:p>
        </w:tc>
        <w:tc>
          <w:tcPr>
            <w:tcW w:w="43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Impairment loss of goodwill and other intangibles</w:t>
            </w:r>
          </w:p>
        </w:tc>
        <w:tc>
          <w:tcPr>
            <w:tcW w:w="340" w:type="dxa"/>
            <w:vAlign w:val="bottom"/>
            <w:shd w:val="clear" w:color="auto" w:fill="DCE2EF"/>
          </w:tcPr>
          <w:p>
            <w:pPr>
              <w:spacing w:after="0"/>
              <w:rPr>
                <w:sz w:val="19"/>
                <w:szCs w:val="19"/>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2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172.8</w:t>
            </w:r>
          </w:p>
        </w:tc>
        <w:tc>
          <w:tcPr>
            <w:tcW w:w="12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220" w:type="dxa"/>
            <w:vAlign w:val="bottom"/>
            <w:gridSpan w:val="2"/>
            <w:shd w:val="clear" w:color="auto" w:fill="DCE2E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DCE2EF"/>
          </w:tcPr>
          <w:p>
            <w:pPr>
              <w:spacing w:after="0"/>
              <w:rPr>
                <w:sz w:val="19"/>
                <w:szCs w:val="19"/>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(172.8)</w:t>
            </w:r>
          </w:p>
        </w:tc>
        <w:tc>
          <w:tcPr>
            <w:tcW w:w="1180" w:type="dxa"/>
            <w:vAlign w:val="bottom"/>
            <w:shd w:val="clear" w:color="auto" w:fill="DCE2EF"/>
          </w:tcPr>
          <w:p>
            <w:pPr>
              <w:ind w:left="480"/>
              <w:spacing w:after="0"/>
              <w:rPr>
                <w:sz w:val="20"/>
                <w:szCs w:val="20"/>
                <w:color w:val="auto"/>
              </w:rPr>
            </w:pPr>
            <w:r>
              <w:rPr>
                <w:rFonts w:ascii="Arial" w:cs="Arial" w:eastAsia="Arial" w:hAnsi="Arial"/>
                <w:sz w:val="16"/>
                <w:szCs w:val="16"/>
                <w:color w:val="auto"/>
              </w:rPr>
              <w:t>NM*</w:t>
            </w:r>
          </w:p>
        </w:tc>
      </w:tr>
      <w:tr>
        <w:trPr>
          <w:trHeight w:val="207"/>
        </w:trPr>
        <w:tc>
          <w:tcPr>
            <w:tcW w:w="20" w:type="dxa"/>
            <w:vAlign w:val="bottom"/>
          </w:tcPr>
          <w:p>
            <w:pPr>
              <w:spacing w:after="0"/>
              <w:rPr>
                <w:sz w:val="17"/>
                <w:szCs w:val="17"/>
                <w:color w:val="auto"/>
              </w:rPr>
            </w:pPr>
          </w:p>
        </w:tc>
        <w:tc>
          <w:tcPr>
            <w:tcW w:w="4300" w:type="dxa"/>
            <w:vAlign w:val="bottom"/>
            <w:gridSpan w:val="2"/>
          </w:tcPr>
          <w:p>
            <w:pPr>
              <w:spacing w:after="0"/>
              <w:rPr>
                <w:sz w:val="20"/>
                <w:szCs w:val="20"/>
                <w:color w:val="auto"/>
              </w:rPr>
            </w:pPr>
            <w:r>
              <w:rPr>
                <w:rFonts w:ascii="Arial" w:cs="Arial" w:eastAsia="Arial" w:hAnsi="Arial"/>
                <w:sz w:val="16"/>
                <w:szCs w:val="16"/>
                <w:b w:val="1"/>
                <w:bCs w:val="1"/>
                <w:color w:val="auto"/>
              </w:rPr>
              <w:t>Operating profit</w:t>
            </w:r>
          </w:p>
        </w:tc>
        <w:tc>
          <w:tcPr>
            <w:tcW w:w="3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206.3</w:t>
            </w:r>
          </w:p>
        </w:tc>
        <w:tc>
          <w:tcPr>
            <w:tcW w:w="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95.7</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208.3</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110.6</w:t>
            </w:r>
          </w:p>
        </w:tc>
        <w:tc>
          <w:tcPr>
            <w:tcW w:w="1180" w:type="dxa"/>
            <w:vAlign w:val="bottom"/>
          </w:tcPr>
          <w:p>
            <w:pPr>
              <w:ind w:left="480"/>
              <w:spacing w:after="0"/>
              <w:rPr>
                <w:sz w:val="20"/>
                <w:szCs w:val="20"/>
                <w:color w:val="auto"/>
              </w:rPr>
            </w:pPr>
            <w:r>
              <w:rPr>
                <w:rFonts w:ascii="Arial" w:cs="Arial" w:eastAsia="Arial" w:hAnsi="Arial"/>
                <w:sz w:val="16"/>
                <w:szCs w:val="16"/>
                <w:color w:val="auto"/>
              </w:rPr>
              <w:t>NM*</w:t>
            </w:r>
          </w:p>
        </w:tc>
      </w:tr>
      <w:tr>
        <w:trPr>
          <w:trHeight w:val="219"/>
        </w:trPr>
        <w:tc>
          <w:tcPr>
            <w:tcW w:w="20" w:type="dxa"/>
            <w:vAlign w:val="bottom"/>
            <w:shd w:val="clear" w:color="auto" w:fill="DCE2EF"/>
          </w:tcPr>
          <w:p>
            <w:pPr>
              <w:spacing w:after="0"/>
              <w:rPr>
                <w:sz w:val="19"/>
                <w:szCs w:val="19"/>
                <w:color w:val="auto"/>
              </w:rPr>
            </w:pPr>
          </w:p>
        </w:tc>
        <w:tc>
          <w:tcPr>
            <w:tcW w:w="43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Income from unconsolidated affiliates</w:t>
            </w:r>
          </w:p>
        </w:tc>
        <w:tc>
          <w:tcPr>
            <w:tcW w:w="340" w:type="dxa"/>
            <w:vAlign w:val="bottom"/>
            <w:shd w:val="clear" w:color="auto" w:fill="DCE2EF"/>
          </w:tcPr>
          <w:p>
            <w:pPr>
              <w:spacing w:after="0"/>
              <w:rPr>
                <w:sz w:val="19"/>
                <w:szCs w:val="19"/>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2.1</w:t>
            </w:r>
          </w:p>
        </w:tc>
        <w:tc>
          <w:tcPr>
            <w:tcW w:w="14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2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2.2</w:t>
            </w:r>
          </w:p>
        </w:tc>
        <w:tc>
          <w:tcPr>
            <w:tcW w:w="12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3.0</w:t>
            </w:r>
          </w:p>
        </w:tc>
        <w:tc>
          <w:tcPr>
            <w:tcW w:w="10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11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(3.9)%</w:t>
            </w:r>
          </w:p>
        </w:tc>
      </w:tr>
      <w:tr>
        <w:trPr>
          <w:trHeight w:val="213"/>
        </w:trPr>
        <w:tc>
          <w:tcPr>
            <w:tcW w:w="20" w:type="dxa"/>
            <w:vAlign w:val="bottom"/>
            <w:tcBorders>
              <w:bottom w:val="single" w:sz="8" w:color="DCE2EF"/>
            </w:tcBorders>
          </w:tcPr>
          <w:p>
            <w:pPr>
              <w:spacing w:after="0"/>
              <w:rPr>
                <w:sz w:val="18"/>
                <w:szCs w:val="18"/>
                <w:color w:val="auto"/>
              </w:rPr>
            </w:pPr>
          </w:p>
        </w:tc>
        <w:tc>
          <w:tcPr>
            <w:tcW w:w="430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DCE2E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DCE2E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(51.1)</w:t>
            </w:r>
          </w:p>
        </w:tc>
        <w:tc>
          <w:tcPr>
            <w:tcW w:w="100" w:type="dxa"/>
            <w:vAlign w:val="bottom"/>
            <w:tcBorders>
              <w:bottom w:val="single" w:sz="8" w:color="DCE2E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180" w:type="dxa"/>
            <w:vAlign w:val="bottom"/>
            <w:tcBorders>
              <w:bottom w:val="single" w:sz="8" w:color="DCE2EF"/>
            </w:tcBorders>
          </w:tcPr>
          <w:p>
            <w:pPr>
              <w:jc w:val="center"/>
              <w:ind w:left="39"/>
              <w:spacing w:after="0"/>
              <w:rPr>
                <w:sz w:val="20"/>
                <w:szCs w:val="20"/>
                <w:color w:val="auto"/>
              </w:rPr>
            </w:pPr>
            <w:r>
              <w:rPr>
                <w:rFonts w:ascii="Arial" w:cs="Arial" w:eastAsia="Arial" w:hAnsi="Arial"/>
                <w:sz w:val="16"/>
                <w:szCs w:val="16"/>
                <w:color w:val="auto"/>
              </w:rPr>
              <w:t>35.9%</w:t>
            </w:r>
          </w:p>
        </w:tc>
      </w:tr>
      <w:tr>
        <w:trPr>
          <w:trHeight w:val="160"/>
        </w:trPr>
        <w:tc>
          <w:tcPr>
            <w:tcW w:w="20" w:type="dxa"/>
            <w:vAlign w:val="bottom"/>
            <w:shd w:val="clear" w:color="auto" w:fill="DCE2EF"/>
          </w:tcPr>
          <w:p>
            <w:pPr>
              <w:spacing w:after="0"/>
              <w:rPr>
                <w:sz w:val="13"/>
                <w:szCs w:val="13"/>
                <w:color w:val="auto"/>
              </w:rPr>
            </w:pPr>
          </w:p>
        </w:tc>
        <w:tc>
          <w:tcPr>
            <w:tcW w:w="4300" w:type="dxa"/>
            <w:vAlign w:val="bottom"/>
            <w:gridSpan w:val="2"/>
            <w:shd w:val="clear" w:color="auto" w:fill="DCE2EF"/>
          </w:tcPr>
          <w:p>
            <w:pPr>
              <w:spacing w:after="0" w:line="161" w:lineRule="exact"/>
              <w:rPr>
                <w:sz w:val="20"/>
                <w:szCs w:val="20"/>
                <w:color w:val="auto"/>
              </w:rPr>
            </w:pPr>
            <w:r>
              <w:rPr>
                <w:rFonts w:ascii="Arial" w:cs="Arial" w:eastAsia="Arial" w:hAnsi="Arial"/>
                <w:sz w:val="16"/>
                <w:szCs w:val="16"/>
                <w:color w:val="auto"/>
              </w:rPr>
              <w:t>Income from continuing operations before</w:t>
            </w:r>
          </w:p>
        </w:tc>
        <w:tc>
          <w:tcPr>
            <w:tcW w:w="340" w:type="dxa"/>
            <w:vAlign w:val="bottom"/>
            <w:shd w:val="clear" w:color="auto" w:fill="DCE2EF"/>
          </w:tcPr>
          <w:p>
            <w:pPr>
              <w:spacing w:after="0"/>
              <w:rPr>
                <w:sz w:val="13"/>
                <w:szCs w:val="13"/>
                <w:color w:val="auto"/>
              </w:rPr>
            </w:pPr>
          </w:p>
        </w:tc>
        <w:tc>
          <w:tcPr>
            <w:tcW w:w="980" w:type="dxa"/>
            <w:vAlign w:val="bottom"/>
            <w:shd w:val="clear" w:color="auto" w:fill="DCE2EF"/>
          </w:tcPr>
          <w:p>
            <w:pPr>
              <w:spacing w:after="0"/>
              <w:rPr>
                <w:sz w:val="13"/>
                <w:szCs w:val="13"/>
                <w:color w:val="auto"/>
              </w:rPr>
            </w:pPr>
          </w:p>
        </w:tc>
        <w:tc>
          <w:tcPr>
            <w:tcW w:w="14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320" w:type="dxa"/>
            <w:vAlign w:val="bottom"/>
            <w:shd w:val="clear" w:color="auto" w:fill="DCE2EF"/>
          </w:tcPr>
          <w:p>
            <w:pPr>
              <w:spacing w:after="0"/>
              <w:rPr>
                <w:sz w:val="13"/>
                <w:szCs w:val="13"/>
                <w:color w:val="auto"/>
              </w:rPr>
            </w:pPr>
          </w:p>
        </w:tc>
        <w:tc>
          <w:tcPr>
            <w:tcW w:w="112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320" w:type="dxa"/>
            <w:vAlign w:val="bottom"/>
            <w:shd w:val="clear" w:color="auto" w:fill="DCE2EF"/>
          </w:tcPr>
          <w:p>
            <w:pPr>
              <w:spacing w:after="0"/>
              <w:rPr>
                <w:sz w:val="13"/>
                <w:szCs w:val="13"/>
                <w:color w:val="auto"/>
              </w:rPr>
            </w:pPr>
          </w:p>
        </w:tc>
        <w:tc>
          <w:tcPr>
            <w:tcW w:w="112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220" w:type="dxa"/>
            <w:vAlign w:val="bottom"/>
            <w:shd w:val="clear" w:color="auto" w:fill="DCE2EF"/>
          </w:tcPr>
          <w:p>
            <w:pPr>
              <w:spacing w:after="0"/>
              <w:rPr>
                <w:sz w:val="13"/>
                <w:szCs w:val="13"/>
                <w:color w:val="auto"/>
              </w:rPr>
            </w:pPr>
          </w:p>
        </w:tc>
        <w:tc>
          <w:tcPr>
            <w:tcW w:w="860" w:type="dxa"/>
            <w:vAlign w:val="bottom"/>
            <w:shd w:val="clear" w:color="auto" w:fill="DCE2EF"/>
          </w:tcPr>
          <w:p>
            <w:pPr>
              <w:spacing w:after="0"/>
              <w:rPr>
                <w:sz w:val="13"/>
                <w:szCs w:val="13"/>
                <w:color w:val="auto"/>
              </w:rPr>
            </w:pPr>
          </w:p>
        </w:tc>
        <w:tc>
          <w:tcPr>
            <w:tcW w:w="1180" w:type="dxa"/>
            <w:vAlign w:val="bottom"/>
            <w:shd w:val="clear" w:color="auto" w:fill="DCE2EF"/>
          </w:tcPr>
          <w:p>
            <w:pPr>
              <w:spacing w:after="0"/>
              <w:rPr>
                <w:sz w:val="13"/>
                <w:szCs w:val="13"/>
                <w:color w:val="auto"/>
              </w:rPr>
            </w:pPr>
          </w:p>
        </w:tc>
      </w:tr>
      <w:tr>
        <w:trPr>
          <w:trHeight w:val="201"/>
        </w:trPr>
        <w:tc>
          <w:tcPr>
            <w:tcW w:w="20" w:type="dxa"/>
            <w:vAlign w:val="bottom"/>
            <w:shd w:val="clear" w:color="auto" w:fill="DCE2EF"/>
          </w:tcPr>
          <w:p>
            <w:pPr>
              <w:spacing w:after="0"/>
              <w:rPr>
                <w:sz w:val="17"/>
                <w:szCs w:val="17"/>
                <w:color w:val="auto"/>
              </w:rPr>
            </w:pPr>
          </w:p>
        </w:tc>
        <w:tc>
          <w:tcPr>
            <w:tcW w:w="43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income taxes</w:t>
            </w:r>
          </w:p>
        </w:tc>
        <w:tc>
          <w:tcPr>
            <w:tcW w:w="340" w:type="dxa"/>
            <w:vAlign w:val="bottom"/>
            <w:shd w:val="clear" w:color="auto" w:fill="DCE2EF"/>
          </w:tcPr>
          <w:p>
            <w:pPr>
              <w:spacing w:after="0"/>
              <w:rPr>
                <w:sz w:val="17"/>
                <w:szCs w:val="17"/>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179.8</w:t>
            </w:r>
          </w:p>
        </w:tc>
        <w:tc>
          <w:tcPr>
            <w:tcW w:w="1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53.3</w:t>
            </w: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160.2</w:t>
            </w: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126.5</w:t>
            </w:r>
          </w:p>
        </w:tc>
        <w:tc>
          <w:tcPr>
            <w:tcW w:w="1180" w:type="dxa"/>
            <w:vAlign w:val="bottom"/>
            <w:shd w:val="clear" w:color="auto" w:fill="DCE2EF"/>
          </w:tcPr>
          <w:p>
            <w:pPr>
              <w:ind w:left="480"/>
              <w:spacing w:after="0"/>
              <w:rPr>
                <w:sz w:val="20"/>
                <w:szCs w:val="20"/>
                <w:color w:val="auto"/>
              </w:rPr>
            </w:pPr>
            <w:r>
              <w:rPr>
                <w:rFonts w:ascii="Arial" w:cs="Arial" w:eastAsia="Arial" w:hAnsi="Arial"/>
                <w:sz w:val="16"/>
                <w:szCs w:val="16"/>
                <w:color w:val="auto"/>
              </w:rPr>
              <w:t>NM*</w:t>
            </w:r>
          </w:p>
        </w:tc>
      </w:tr>
      <w:tr>
        <w:trPr>
          <w:trHeight w:val="213"/>
        </w:trPr>
        <w:tc>
          <w:tcPr>
            <w:tcW w:w="20" w:type="dxa"/>
            <w:vAlign w:val="bottom"/>
            <w:tcBorders>
              <w:bottom w:val="single" w:sz="8" w:color="DCE2EF"/>
            </w:tcBorders>
          </w:tcPr>
          <w:p>
            <w:pPr>
              <w:spacing w:after="0"/>
              <w:rPr>
                <w:sz w:val="18"/>
                <w:szCs w:val="18"/>
                <w:color w:val="auto"/>
              </w:rPr>
            </w:pPr>
          </w:p>
        </w:tc>
        <w:tc>
          <w:tcPr>
            <w:tcW w:w="430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Income tax provision</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DCE2E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(53.1)</w:t>
            </w:r>
          </w:p>
        </w:tc>
        <w:tc>
          <w:tcPr>
            <w:tcW w:w="120" w:type="dxa"/>
            <w:vAlign w:val="bottom"/>
            <w:tcBorders>
              <w:bottom w:val="single" w:sz="8" w:color="DCE2E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DCE2E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18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rPr>
              <w:t>(0.8)%</w:t>
            </w:r>
          </w:p>
        </w:tc>
      </w:tr>
      <w:tr>
        <w:trPr>
          <w:trHeight w:val="213"/>
        </w:trPr>
        <w:tc>
          <w:tcPr>
            <w:tcW w:w="20" w:type="dxa"/>
            <w:vAlign w:val="bottom"/>
            <w:shd w:val="clear" w:color="auto" w:fill="DCE2EF"/>
          </w:tcPr>
          <w:p>
            <w:pPr>
              <w:spacing w:after="0"/>
              <w:rPr>
                <w:sz w:val="18"/>
                <w:szCs w:val="18"/>
                <w:color w:val="auto"/>
              </w:rPr>
            </w:pPr>
          </w:p>
        </w:tc>
        <w:tc>
          <w:tcPr>
            <w:tcW w:w="43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Income from continuing operations</w:t>
            </w:r>
          </w:p>
        </w:tc>
        <w:tc>
          <w:tcPr>
            <w:tcW w:w="340" w:type="dxa"/>
            <w:vAlign w:val="bottom"/>
            <w:shd w:val="clear" w:color="auto" w:fill="DCE2EF"/>
          </w:tcPr>
          <w:p>
            <w:pPr>
              <w:spacing w:after="0"/>
              <w:rPr>
                <w:sz w:val="18"/>
                <w:szCs w:val="18"/>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126.3</w:t>
            </w:r>
          </w:p>
        </w:tc>
        <w:tc>
          <w:tcPr>
            <w:tcW w:w="14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2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127.5</w:t>
            </w: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126.1</w:t>
            </w:r>
          </w:p>
        </w:tc>
        <w:tc>
          <w:tcPr>
            <w:tcW w:w="1180" w:type="dxa"/>
            <w:vAlign w:val="bottom"/>
            <w:shd w:val="clear" w:color="auto" w:fill="DCE2EF"/>
          </w:tcPr>
          <w:p>
            <w:pPr>
              <w:ind w:left="480"/>
              <w:spacing w:after="0"/>
              <w:rPr>
                <w:sz w:val="20"/>
                <w:szCs w:val="20"/>
                <w:color w:val="auto"/>
              </w:rPr>
            </w:pPr>
            <w:r>
              <w:rPr>
                <w:rFonts w:ascii="Arial" w:cs="Arial" w:eastAsia="Arial" w:hAnsi="Arial"/>
                <w:sz w:val="16"/>
                <w:szCs w:val="16"/>
                <w:color w:val="auto"/>
              </w:rPr>
              <w:t>NM*</w:t>
            </w:r>
          </w:p>
        </w:tc>
      </w:tr>
      <w:tr>
        <w:trPr>
          <w:trHeight w:val="177"/>
        </w:trPr>
        <w:tc>
          <w:tcPr>
            <w:tcW w:w="20" w:type="dxa"/>
            <w:vAlign w:val="bottom"/>
          </w:tcPr>
          <w:p>
            <w:pPr>
              <w:spacing w:after="0"/>
              <w:rPr>
                <w:sz w:val="15"/>
                <w:szCs w:val="15"/>
                <w:color w:val="auto"/>
              </w:rPr>
            </w:pPr>
          </w:p>
        </w:tc>
        <w:tc>
          <w:tcPr>
            <w:tcW w:w="4300" w:type="dxa"/>
            <w:vAlign w:val="bottom"/>
            <w:gridSpan w:val="2"/>
          </w:tcPr>
          <w:p>
            <w:pPr>
              <w:spacing w:after="0" w:line="178" w:lineRule="exact"/>
              <w:rPr>
                <w:sz w:val="20"/>
                <w:szCs w:val="20"/>
                <w:color w:val="auto"/>
              </w:rPr>
            </w:pPr>
            <w:r>
              <w:rPr>
                <w:rFonts w:ascii="Arial" w:cs="Arial" w:eastAsia="Arial" w:hAnsi="Arial"/>
                <w:sz w:val="16"/>
                <w:szCs w:val="16"/>
                <w:color w:val="auto"/>
              </w:rPr>
              <w:t>Income (loss) from discontinued operations,</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8"/>
        </w:trPr>
        <w:tc>
          <w:tcPr>
            <w:tcW w:w="20" w:type="dxa"/>
            <w:vAlign w:val="bottom"/>
            <w:tcBorders>
              <w:bottom w:val="single" w:sz="8" w:color="DCE2EF"/>
            </w:tcBorders>
          </w:tcPr>
          <w:p>
            <w:pPr>
              <w:spacing w:after="0"/>
              <w:rPr>
                <w:sz w:val="17"/>
                <w:szCs w:val="17"/>
                <w:color w:val="auto"/>
              </w:rPr>
            </w:pPr>
          </w:p>
        </w:tc>
        <w:tc>
          <w:tcPr>
            <w:tcW w:w="430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net of taxes</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DCE2E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180" w:type="dxa"/>
            <w:vAlign w:val="bottom"/>
            <w:tcBorders>
              <w:bottom w:val="single" w:sz="8" w:color="DCE2EF"/>
            </w:tcBorders>
          </w:tcPr>
          <w:p>
            <w:pPr>
              <w:ind w:left="480"/>
              <w:spacing w:after="0"/>
              <w:rPr>
                <w:sz w:val="20"/>
                <w:szCs w:val="20"/>
                <w:color w:val="auto"/>
              </w:rPr>
            </w:pPr>
            <w:r>
              <w:rPr>
                <w:rFonts w:ascii="Arial" w:cs="Arial" w:eastAsia="Arial" w:hAnsi="Arial"/>
                <w:sz w:val="16"/>
                <w:szCs w:val="16"/>
                <w:color w:val="auto"/>
              </w:rPr>
              <w:t>NM*</w:t>
            </w:r>
          </w:p>
        </w:tc>
      </w:tr>
      <w:tr>
        <w:trPr>
          <w:trHeight w:val="213"/>
        </w:trPr>
        <w:tc>
          <w:tcPr>
            <w:tcW w:w="20" w:type="dxa"/>
            <w:vAlign w:val="bottom"/>
            <w:shd w:val="clear" w:color="auto" w:fill="DCE2EF"/>
          </w:tcPr>
          <w:p>
            <w:pPr>
              <w:spacing w:after="0"/>
              <w:rPr>
                <w:sz w:val="18"/>
                <w:szCs w:val="18"/>
                <w:color w:val="auto"/>
              </w:rPr>
            </w:pPr>
          </w:p>
        </w:tc>
        <w:tc>
          <w:tcPr>
            <w:tcW w:w="430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Net income</w:t>
            </w:r>
          </w:p>
        </w:tc>
        <w:tc>
          <w:tcPr>
            <w:tcW w:w="340" w:type="dxa"/>
            <w:vAlign w:val="bottom"/>
            <w:tcBorders>
              <w:bottom w:val="single" w:sz="8" w:color="auto"/>
            </w:tcBorders>
            <w:shd w:val="clear" w:color="auto" w:fill="DCE2EF"/>
          </w:tcPr>
          <w:p>
            <w:pPr>
              <w:spacing w:after="0"/>
              <w:rPr>
                <w:sz w:val="18"/>
                <w:szCs w:val="18"/>
                <w:color w:val="auto"/>
              </w:rPr>
            </w:pPr>
          </w:p>
        </w:tc>
        <w:tc>
          <w:tcPr>
            <w:tcW w:w="9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126.3</w:t>
            </w:r>
          </w:p>
        </w:tc>
        <w:tc>
          <w:tcPr>
            <w:tcW w:w="140" w:type="dxa"/>
            <w:vAlign w:val="bottom"/>
            <w:tcBorders>
              <w:bottom w:val="single" w:sz="8" w:color="auto"/>
            </w:tcBorders>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120" w:type="dxa"/>
            <w:vAlign w:val="bottom"/>
            <w:tcBorders>
              <w:bottom w:val="single" w:sz="8" w:color="auto"/>
            </w:tcBorders>
            <w:shd w:val="clear" w:color="auto" w:fill="DCE2EF"/>
          </w:tcPr>
          <w:p>
            <w:pPr>
              <w:jc w:val="right"/>
              <w:ind w:right="9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120" w:type="dxa"/>
            <w:vAlign w:val="bottom"/>
            <w:tcBorders>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color w:val="auto"/>
              </w:rPr>
              <w:t>127.4</w:t>
            </w:r>
          </w:p>
        </w:tc>
        <w:tc>
          <w:tcPr>
            <w:tcW w:w="100" w:type="dxa"/>
            <w:vAlign w:val="bottom"/>
            <w:shd w:val="clear" w:color="auto" w:fill="DCE2EF"/>
          </w:tcPr>
          <w:p>
            <w:pPr>
              <w:spacing w:after="0"/>
              <w:rPr>
                <w:sz w:val="18"/>
                <w:szCs w:val="18"/>
                <w:color w:val="auto"/>
              </w:rPr>
            </w:pPr>
          </w:p>
        </w:tc>
        <w:tc>
          <w:tcPr>
            <w:tcW w:w="220" w:type="dxa"/>
            <w:vAlign w:val="bottom"/>
            <w:tcBorders>
              <w:bottom w:val="single" w:sz="8" w:color="auto"/>
            </w:tcBorders>
            <w:shd w:val="clear" w:color="auto" w:fill="DCE2EF"/>
          </w:tcPr>
          <w:p>
            <w:pPr>
              <w:spacing w:after="0"/>
              <w:rPr>
                <w:sz w:val="18"/>
                <w:szCs w:val="18"/>
                <w:color w:val="auto"/>
              </w:rPr>
            </w:pPr>
          </w:p>
        </w:tc>
        <w:tc>
          <w:tcPr>
            <w:tcW w:w="8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126.0</w:t>
            </w:r>
          </w:p>
        </w:tc>
        <w:tc>
          <w:tcPr>
            <w:tcW w:w="1180" w:type="dxa"/>
            <w:vAlign w:val="bottom"/>
            <w:shd w:val="clear" w:color="auto" w:fill="DCE2EF"/>
          </w:tcPr>
          <w:p>
            <w:pPr>
              <w:ind w:left="480"/>
              <w:spacing w:after="0"/>
              <w:rPr>
                <w:sz w:val="20"/>
                <w:szCs w:val="20"/>
                <w:color w:val="auto"/>
              </w:rPr>
            </w:pPr>
            <w:r>
              <w:rPr>
                <w:rFonts w:ascii="Arial" w:cs="Arial" w:eastAsia="Arial" w:hAnsi="Arial"/>
                <w:sz w:val="16"/>
                <w:szCs w:val="16"/>
                <w:color w:val="auto"/>
              </w:rPr>
              <w:t>NM*</w:t>
            </w:r>
          </w:p>
        </w:tc>
      </w:tr>
      <w:tr>
        <w:trPr>
          <w:trHeight w:val="193"/>
        </w:trPr>
        <w:tc>
          <w:tcPr>
            <w:tcW w:w="20" w:type="dxa"/>
            <w:vAlign w:val="bottom"/>
          </w:tcPr>
          <w:p>
            <w:pPr>
              <w:spacing w:after="0"/>
              <w:rPr>
                <w:sz w:val="16"/>
                <w:szCs w:val="16"/>
                <w:color w:val="auto"/>
              </w:rPr>
            </w:pPr>
          </w:p>
        </w:tc>
        <w:tc>
          <w:tcPr>
            <w:tcW w:w="4300" w:type="dxa"/>
            <w:vAlign w:val="bottom"/>
            <w:gridSpan w:val="2"/>
          </w:tcPr>
          <w:p>
            <w:pPr>
              <w:spacing w:after="0"/>
              <w:rPr>
                <w:sz w:val="20"/>
                <w:szCs w:val="20"/>
                <w:color w:val="auto"/>
              </w:rPr>
            </w:pPr>
            <w:r>
              <w:rPr>
                <w:rFonts w:ascii="Arial" w:cs="Arial" w:eastAsia="Arial" w:hAnsi="Arial"/>
                <w:sz w:val="16"/>
                <w:szCs w:val="16"/>
                <w:color w:val="auto"/>
              </w:rPr>
              <w:t>Other comprehensive income (loss)</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9"/>
        </w:trPr>
        <w:tc>
          <w:tcPr>
            <w:tcW w:w="20" w:type="dxa"/>
            <w:vAlign w:val="bottom"/>
            <w:shd w:val="clear" w:color="auto" w:fill="DCE2EF"/>
          </w:tcPr>
          <w:p>
            <w:pPr>
              <w:spacing w:after="0"/>
              <w:rPr>
                <w:sz w:val="19"/>
                <w:szCs w:val="19"/>
                <w:color w:val="auto"/>
              </w:rPr>
            </w:pPr>
          </w:p>
        </w:tc>
        <w:tc>
          <w:tcPr>
            <w:tcW w:w="4300" w:type="dxa"/>
            <w:vAlign w:val="bottom"/>
            <w:gridSpan w:val="2"/>
            <w:shd w:val="clear" w:color="auto" w:fill="DCE2EF"/>
          </w:tcPr>
          <w:p>
            <w:pPr>
              <w:ind w:left="500"/>
              <w:spacing w:after="0"/>
              <w:rPr>
                <w:sz w:val="20"/>
                <w:szCs w:val="20"/>
                <w:color w:val="auto"/>
              </w:rPr>
            </w:pPr>
            <w:r>
              <w:rPr>
                <w:rFonts w:ascii="Arial" w:cs="Arial" w:eastAsia="Arial" w:hAnsi="Arial"/>
                <w:sz w:val="16"/>
                <w:szCs w:val="16"/>
                <w:color w:val="auto"/>
              </w:rPr>
              <w:t>Interest rate swaps</w:t>
            </w:r>
          </w:p>
        </w:tc>
        <w:tc>
          <w:tcPr>
            <w:tcW w:w="340" w:type="dxa"/>
            <w:vAlign w:val="bottom"/>
            <w:shd w:val="clear" w:color="auto" w:fill="DCE2EF"/>
          </w:tcPr>
          <w:p>
            <w:pPr>
              <w:spacing w:after="0"/>
              <w:rPr>
                <w:sz w:val="19"/>
                <w:szCs w:val="19"/>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4.5</w:t>
            </w:r>
          </w:p>
        </w:tc>
        <w:tc>
          <w:tcPr>
            <w:tcW w:w="14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20" w:type="dxa"/>
            <w:vAlign w:val="bottom"/>
            <w:shd w:val="clear" w:color="auto" w:fill="DCE2EF"/>
          </w:tcPr>
          <w:p>
            <w:pPr>
              <w:jc w:val="right"/>
              <w:ind w:right="59"/>
              <w:spacing w:after="0"/>
              <w:rPr>
                <w:sz w:val="20"/>
                <w:szCs w:val="20"/>
                <w:color w:val="auto"/>
              </w:rPr>
            </w:pPr>
            <w:r>
              <w:rPr>
                <w:rFonts w:ascii="Arial" w:cs="Arial" w:eastAsia="Arial" w:hAnsi="Arial"/>
                <w:sz w:val="16"/>
                <w:szCs w:val="16"/>
                <w:color w:val="auto"/>
              </w:rPr>
              <w:t>(7.6)</w:t>
            </w:r>
          </w:p>
        </w:tc>
        <w:tc>
          <w:tcPr>
            <w:tcW w:w="12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2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12.1</w:t>
            </w:r>
          </w:p>
        </w:tc>
        <w:tc>
          <w:tcPr>
            <w:tcW w:w="1180" w:type="dxa"/>
            <w:vAlign w:val="bottom"/>
            <w:shd w:val="clear" w:color="auto" w:fill="DCE2EF"/>
          </w:tcPr>
          <w:p>
            <w:pPr>
              <w:ind w:left="480"/>
              <w:spacing w:after="0"/>
              <w:rPr>
                <w:sz w:val="20"/>
                <w:szCs w:val="20"/>
                <w:color w:val="auto"/>
              </w:rPr>
            </w:pPr>
            <w:r>
              <w:rPr>
                <w:rFonts w:ascii="Arial" w:cs="Arial" w:eastAsia="Arial" w:hAnsi="Arial"/>
                <w:sz w:val="16"/>
                <w:szCs w:val="16"/>
                <w:color w:val="auto"/>
              </w:rPr>
              <w:t>NM*</w:t>
            </w:r>
          </w:p>
        </w:tc>
      </w:tr>
      <w:tr>
        <w:trPr>
          <w:trHeight w:val="213"/>
        </w:trPr>
        <w:tc>
          <w:tcPr>
            <w:tcW w:w="20" w:type="dxa"/>
            <w:vAlign w:val="bottom"/>
          </w:tcPr>
          <w:p>
            <w:pPr>
              <w:spacing w:after="0"/>
              <w:rPr>
                <w:sz w:val="18"/>
                <w:szCs w:val="18"/>
                <w:color w:val="auto"/>
              </w:rPr>
            </w:pPr>
          </w:p>
        </w:tc>
        <w:tc>
          <w:tcPr>
            <w:tcW w:w="4300" w:type="dxa"/>
            <w:vAlign w:val="bottom"/>
            <w:gridSpan w:val="2"/>
          </w:tcPr>
          <w:p>
            <w:pPr>
              <w:ind w:left="500"/>
              <w:spacing w:after="0"/>
              <w:rPr>
                <w:sz w:val="20"/>
                <w:szCs w:val="20"/>
                <w:color w:val="auto"/>
              </w:rPr>
            </w:pPr>
            <w:r>
              <w:rPr>
                <w:rFonts w:ascii="Arial" w:cs="Arial" w:eastAsia="Arial" w:hAnsi="Arial"/>
                <w:sz w:val="16"/>
                <w:szCs w:val="16"/>
                <w:color w:val="auto"/>
              </w:rPr>
              <w:t>Foreign currency translation and other</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w:t>
            </w:r>
          </w:p>
        </w:tc>
        <w:tc>
          <w:tcPr>
            <w:tcW w:w="1180" w:type="dxa"/>
            <w:vAlign w:val="bottom"/>
          </w:tcPr>
          <w:p>
            <w:pPr>
              <w:ind w:left="480"/>
              <w:spacing w:after="0"/>
              <w:rPr>
                <w:sz w:val="20"/>
                <w:szCs w:val="20"/>
                <w:color w:val="auto"/>
              </w:rPr>
            </w:pPr>
            <w:r>
              <w:rPr>
                <w:rFonts w:ascii="Arial" w:cs="Arial" w:eastAsia="Arial" w:hAnsi="Arial"/>
                <w:sz w:val="16"/>
                <w:szCs w:val="16"/>
                <w:color w:val="auto"/>
              </w:rPr>
              <w:t>NM*</w:t>
            </w:r>
          </w:p>
        </w:tc>
      </w:tr>
      <w:tr>
        <w:trPr>
          <w:trHeight w:val="216"/>
        </w:trPr>
        <w:tc>
          <w:tcPr>
            <w:tcW w:w="20" w:type="dxa"/>
            <w:vAlign w:val="bottom"/>
            <w:shd w:val="clear" w:color="auto" w:fill="DCE2EF"/>
          </w:tcPr>
          <w:p>
            <w:pPr>
              <w:spacing w:after="0"/>
              <w:rPr>
                <w:sz w:val="18"/>
                <w:szCs w:val="18"/>
                <w:color w:val="auto"/>
              </w:rPr>
            </w:pPr>
          </w:p>
        </w:tc>
        <w:tc>
          <w:tcPr>
            <w:tcW w:w="4300" w:type="dxa"/>
            <w:vAlign w:val="bottom"/>
            <w:gridSpan w:val="2"/>
            <w:shd w:val="clear" w:color="auto" w:fill="DCE2EF"/>
          </w:tcPr>
          <w:p>
            <w:pPr>
              <w:ind w:left="500"/>
              <w:spacing w:after="0"/>
              <w:rPr>
                <w:sz w:val="20"/>
                <w:szCs w:val="20"/>
                <w:color w:val="auto"/>
              </w:rPr>
            </w:pPr>
            <w:r>
              <w:rPr>
                <w:rFonts w:ascii="Arial" w:cs="Arial" w:eastAsia="Arial" w:hAnsi="Arial"/>
                <w:sz w:val="16"/>
                <w:szCs w:val="16"/>
                <w:color w:val="auto"/>
              </w:rPr>
              <w:t>Income tax (provision) benefit</w:t>
            </w:r>
          </w:p>
        </w:tc>
        <w:tc>
          <w:tcPr>
            <w:tcW w:w="340" w:type="dxa"/>
            <w:vAlign w:val="bottom"/>
            <w:tcBorders>
              <w:bottom w:val="single" w:sz="8" w:color="auto"/>
            </w:tcBorders>
            <w:shd w:val="clear" w:color="auto" w:fill="DCE2EF"/>
          </w:tcPr>
          <w:p>
            <w:pPr>
              <w:spacing w:after="0"/>
              <w:rPr>
                <w:sz w:val="18"/>
                <w:szCs w:val="18"/>
                <w:color w:val="auto"/>
              </w:rPr>
            </w:pPr>
          </w:p>
        </w:tc>
        <w:tc>
          <w:tcPr>
            <w:tcW w:w="9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(1.5)</w:t>
            </w:r>
          </w:p>
        </w:tc>
        <w:tc>
          <w:tcPr>
            <w:tcW w:w="140" w:type="dxa"/>
            <w:vAlign w:val="bottom"/>
            <w:tcBorders>
              <w:bottom w:val="single" w:sz="8" w:color="auto"/>
            </w:tcBorders>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120" w:type="dxa"/>
            <w:vAlign w:val="bottom"/>
            <w:tcBorders>
              <w:bottom w:val="single" w:sz="8" w:color="auto"/>
            </w:tcBorders>
            <w:shd w:val="clear" w:color="auto" w:fill="DCE2EF"/>
          </w:tcPr>
          <w:p>
            <w:pPr>
              <w:jc w:val="right"/>
              <w:ind w:right="9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120" w:type="dxa"/>
            <w:vAlign w:val="bottom"/>
            <w:tcBorders>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color w:val="auto"/>
              </w:rPr>
              <w:t>5.9</w:t>
            </w:r>
          </w:p>
        </w:tc>
        <w:tc>
          <w:tcPr>
            <w:tcW w:w="100" w:type="dxa"/>
            <w:vAlign w:val="bottom"/>
            <w:shd w:val="clear" w:color="auto" w:fill="DCE2EF"/>
          </w:tcPr>
          <w:p>
            <w:pPr>
              <w:spacing w:after="0"/>
              <w:rPr>
                <w:sz w:val="18"/>
                <w:szCs w:val="18"/>
                <w:color w:val="auto"/>
              </w:rPr>
            </w:pPr>
          </w:p>
        </w:tc>
        <w:tc>
          <w:tcPr>
            <w:tcW w:w="220" w:type="dxa"/>
            <w:vAlign w:val="bottom"/>
            <w:tcBorders>
              <w:bottom w:val="single" w:sz="8" w:color="auto"/>
            </w:tcBorders>
            <w:shd w:val="clear" w:color="auto" w:fill="DCE2EF"/>
          </w:tcPr>
          <w:p>
            <w:pPr>
              <w:spacing w:after="0"/>
              <w:rPr>
                <w:sz w:val="18"/>
                <w:szCs w:val="18"/>
                <w:color w:val="auto"/>
              </w:rPr>
            </w:pPr>
          </w:p>
        </w:tc>
        <w:tc>
          <w:tcPr>
            <w:tcW w:w="8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(3.9)</w:t>
            </w:r>
          </w:p>
        </w:tc>
        <w:tc>
          <w:tcPr>
            <w:tcW w:w="1180" w:type="dxa"/>
            <w:vAlign w:val="bottom"/>
            <w:shd w:val="clear" w:color="auto" w:fill="DCE2EF"/>
          </w:tcPr>
          <w:p>
            <w:pPr>
              <w:ind w:left="480"/>
              <w:spacing w:after="0"/>
              <w:rPr>
                <w:sz w:val="20"/>
                <w:szCs w:val="20"/>
                <w:color w:val="auto"/>
              </w:rPr>
            </w:pPr>
            <w:r>
              <w:rPr>
                <w:rFonts w:ascii="Arial" w:cs="Arial" w:eastAsia="Arial" w:hAnsi="Arial"/>
                <w:sz w:val="16"/>
                <w:szCs w:val="16"/>
                <w:color w:val="auto"/>
              </w:rPr>
              <w:t>NM*</w:t>
            </w:r>
          </w:p>
        </w:tc>
      </w:tr>
      <w:tr>
        <w:trPr>
          <w:trHeight w:val="213"/>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6"/>
                <w:szCs w:val="16"/>
                <w:b w:val="1"/>
                <w:bCs w:val="1"/>
                <w:color w:val="auto"/>
              </w:rPr>
              <w:t>Comprehensive income (loss)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134.5</w:t>
            </w:r>
          </w:p>
        </w:tc>
        <w:tc>
          <w:tcPr>
            <w:tcW w:w="5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141.1</w:t>
            </w:r>
          </w:p>
        </w:tc>
        <w:tc>
          <w:tcPr>
            <w:tcW w:w="1180" w:type="dxa"/>
            <w:vAlign w:val="bottom"/>
          </w:tcPr>
          <w:p>
            <w:pPr>
              <w:ind w:left="480"/>
              <w:spacing w:after="0"/>
              <w:rPr>
                <w:sz w:val="20"/>
                <w:szCs w:val="20"/>
                <w:color w:val="auto"/>
              </w:rPr>
            </w:pPr>
            <w:r>
              <w:rPr>
                <w:rFonts w:ascii="Arial" w:cs="Arial" w:eastAsia="Arial" w:hAnsi="Arial"/>
                <w:sz w:val="16"/>
                <w:szCs w:val="16"/>
                <w:color w:val="auto"/>
              </w:rPr>
              <w:t>NM*</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*Not meaningful</w:t>
      </w:r>
    </w:p>
    <w:p>
      <w:pPr>
        <w:spacing w:after="0" w:line="142" w:lineRule="exact"/>
        <w:rPr>
          <w:sz w:val="20"/>
          <w:szCs w:val="20"/>
          <w:color w:val="auto"/>
        </w:rPr>
      </w:pPr>
    </w:p>
    <w:p>
      <w:pPr>
        <w:ind w:right="4200"/>
        <w:spacing w:after="0" w:line="451" w:lineRule="auto"/>
        <w:rPr>
          <w:sz w:val="20"/>
          <w:szCs w:val="20"/>
          <w:color w:val="auto"/>
        </w:rPr>
      </w:pPr>
      <w:r>
        <w:rPr>
          <w:rFonts w:ascii="Arial" w:cs="Arial" w:eastAsia="Arial" w:hAnsi="Arial"/>
          <w:sz w:val="18"/>
          <w:szCs w:val="18"/>
          <w:b w:val="1"/>
          <w:bCs w:val="1"/>
          <w:i w:val="1"/>
          <w:iCs w:val="1"/>
          <w:color w:val="0046AD"/>
        </w:rPr>
        <w:t>The Year Ended October 31, 2021 Compared with the Year Ended October 31, 2020 Revenues</w:t>
      </w:r>
    </w:p>
    <w:p>
      <w:pPr>
        <w:jc w:val="both"/>
        <w:ind w:firstLine="648"/>
        <w:spacing w:after="0" w:line="254" w:lineRule="auto"/>
        <w:rPr>
          <w:sz w:val="20"/>
          <w:szCs w:val="20"/>
          <w:color w:val="auto"/>
        </w:rPr>
      </w:pPr>
      <w:r>
        <w:rPr>
          <w:rFonts w:ascii="Arial" w:cs="Arial" w:eastAsia="Arial" w:hAnsi="Arial"/>
          <w:sz w:val="18"/>
          <w:szCs w:val="18"/>
          <w:color w:val="auto"/>
        </w:rPr>
        <w:t>Revenues increased by $241.0 million, or 4.0%, during 2021, as compared to 2020. The increase in revenues was primarily driven by a $101.1 million revenue increase due to the Able Acquisition in the fourth quarter of 2021, an increase in work orders (primarily as a result of the Pandemic), new business within B&amp;I, T&amp;M, and Technical Solutions, and the recovery of volume in Education and Technical Solutions as Pandemic-related disruptions eased in the last half of fiscal year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Operating Expenses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expenses increased by $101.2 million, or 2.0%, during 2021, as compared to 2020. Gross margin increased by 171 bps to 15.6% in 2021 from 13.9% in 2020. The increase in gross margin was primarily associated with higher margins on new business within B&amp;I and Aviation and an increase in work orders with higher margins as a result of the Pandemic (primarily within B&amp;I). The increase in gross margin was also driven by lower self-insurance expense, due to decreased claim frequency as a result of our safety and claims management program and reduced workplace occupancy as a result of the Pandemic.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Selling, General and Administrative Expenses</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Selling, general and administrative expenses increased by $213.1 million, or 42.1%, during 2021, as compared to 2020. The increase in selling, general and administrative expenses was primarily attributable to:</w:t>
      </w:r>
    </w:p>
    <w:p>
      <w:pPr>
        <w:spacing w:after="0" w:line="139" w:lineRule="exact"/>
        <w:rPr>
          <w:sz w:val="20"/>
          <w:szCs w:val="20"/>
          <w:color w:val="auto"/>
        </w:rPr>
      </w:pPr>
    </w:p>
    <w:p>
      <w:pPr>
        <w:ind w:left="620" w:hanging="288"/>
        <w:spacing w:after="0"/>
        <w:tabs>
          <w:tab w:leader="none" w:pos="620" w:val="left"/>
        </w:tabs>
        <w:numPr>
          <w:ilvl w:val="0"/>
          <w:numId w:val="11"/>
        </w:numPr>
        <w:rPr>
          <w:rFonts w:ascii="Arial" w:cs="Arial" w:eastAsia="Arial" w:hAnsi="Arial"/>
          <w:sz w:val="20"/>
          <w:szCs w:val="20"/>
          <w:color w:val="auto"/>
        </w:rPr>
      </w:pPr>
      <w:r>
        <w:rPr>
          <w:rFonts w:ascii="Arial" w:cs="Arial" w:eastAsia="Arial" w:hAnsi="Arial"/>
          <w:sz w:val="18"/>
          <w:szCs w:val="18"/>
          <w:color w:val="auto"/>
        </w:rPr>
        <w:t xml:space="preserve">a $144.2 million increase in legal costs and settlements, primarily attributed to the accrual of a legal settlement for 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w:t>
      </w:r>
    </w:p>
    <w:p>
      <w:pPr>
        <w:spacing w:after="0" w:line="200" w:lineRule="exact"/>
        <w:rPr>
          <w:rFonts w:ascii="Arial" w:cs="Arial" w:eastAsia="Arial" w:hAnsi="Arial"/>
          <w:sz w:val="20"/>
          <w:szCs w:val="20"/>
          <w:color w:val="auto"/>
        </w:rPr>
      </w:pPr>
    </w:p>
    <w:p>
      <w:pPr>
        <w:spacing w:after="0" w:line="357" w:lineRule="exact"/>
        <w:rPr>
          <w:rFonts w:ascii="Arial" w:cs="Arial" w:eastAsia="Arial" w:hAnsi="Arial"/>
          <w:sz w:val="20"/>
          <w:szCs w:val="20"/>
          <w:color w:val="auto"/>
        </w:rPr>
      </w:pPr>
    </w:p>
    <w:p>
      <w:pPr>
        <w:ind w:left="5520"/>
        <w:spacing w:after="0"/>
        <w:rPr>
          <w:rFonts w:ascii="Arial" w:cs="Arial" w:eastAsia="Arial" w:hAnsi="Arial"/>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29" w:name="page30"/>
    <w:bookmarkEnd w:id="29"/>
    <w:p>
      <w:pPr>
        <w:ind w:left="660" w:hanging="328"/>
        <w:spacing w:after="0" w:line="260" w:lineRule="auto"/>
        <w:tabs>
          <w:tab w:leader="none" w:pos="621" w:val="left"/>
        </w:tabs>
        <w:numPr>
          <w:ilvl w:val="0"/>
          <w:numId w:val="12"/>
        </w:numPr>
        <w:rPr>
          <w:rFonts w:ascii="Arial" w:cs="Arial" w:eastAsia="Arial" w:hAnsi="Arial"/>
          <w:sz w:val="20"/>
          <w:szCs w:val="20"/>
          <w:color w:val="auto"/>
        </w:rPr>
      </w:pPr>
      <w:r>
        <w:rPr>
          <w:rFonts w:ascii="Arial" w:cs="Arial" w:eastAsia="Arial" w:hAnsi="Arial"/>
          <w:sz w:val="18"/>
          <w:szCs w:val="18"/>
          <w:color w:val="auto"/>
        </w:rPr>
        <w:t xml:space="preserve">a $43.2 million increase in certain technology projects and other enterprise initiatives (including </w:t>
      </w:r>
      <w:r>
        <w:rPr>
          <w:rFonts w:ascii="Arial" w:cs="Arial" w:eastAsia="Arial" w:hAnsi="Arial"/>
          <w:sz w:val="18"/>
          <w:szCs w:val="18"/>
          <w:b w:val="1"/>
          <w:bCs w:val="1"/>
          <w:color w:val="E98300"/>
        </w:rPr>
        <w:t>ELEVATE</w:t>
      </w:r>
      <w:r>
        <w:rPr>
          <w:rFonts w:ascii="Arial" w:cs="Arial" w:eastAsia="Arial" w:hAnsi="Arial"/>
          <w:sz w:val="18"/>
          <w:szCs w:val="18"/>
          <w:color w:val="auto"/>
        </w:rPr>
        <w:t>), in addition to marketing events;</w:t>
      </w:r>
    </w:p>
    <w:p>
      <w:pPr>
        <w:spacing w:after="0" w:line="156" w:lineRule="exact"/>
        <w:rPr>
          <w:rFonts w:ascii="Arial" w:cs="Arial" w:eastAsia="Arial" w:hAnsi="Arial"/>
          <w:sz w:val="20"/>
          <w:szCs w:val="20"/>
          <w:color w:val="auto"/>
        </w:rPr>
      </w:pPr>
    </w:p>
    <w:p>
      <w:pPr>
        <w:jc w:val="both"/>
        <w:ind w:left="660" w:hanging="328"/>
        <w:spacing w:after="0" w:line="245" w:lineRule="auto"/>
        <w:tabs>
          <w:tab w:leader="none" w:pos="621" w:val="left"/>
        </w:tabs>
        <w:numPr>
          <w:ilvl w:val="0"/>
          <w:numId w:val="12"/>
        </w:numPr>
        <w:rPr>
          <w:rFonts w:ascii="Arial" w:cs="Arial" w:eastAsia="Arial" w:hAnsi="Arial"/>
          <w:sz w:val="20"/>
          <w:szCs w:val="20"/>
          <w:color w:val="auto"/>
        </w:rPr>
      </w:pPr>
      <w:r>
        <w:rPr>
          <w:rFonts w:ascii="Arial" w:cs="Arial" w:eastAsia="Arial" w:hAnsi="Arial"/>
          <w:sz w:val="18"/>
          <w:szCs w:val="18"/>
          <w:color w:val="auto"/>
        </w:rPr>
        <w:t>a $38.8 million increase in compensation and related expenses, primarily driven by corporate and staff labor reductions that occurred in the prior period due to the Pandemic, including wage reductions, employee furloughs, and the suspension of certain benefits such as 401(k) matching. The increase was also due to updated assessments regarding financial performance target achievements in connection with certain performance share awards and cash incentive plans;</w:t>
      </w:r>
    </w:p>
    <w:p>
      <w:pPr>
        <w:spacing w:after="0" w:line="157" w:lineRule="exact"/>
        <w:rPr>
          <w:rFonts w:ascii="Arial" w:cs="Arial" w:eastAsia="Arial" w:hAnsi="Arial"/>
          <w:sz w:val="20"/>
          <w:szCs w:val="20"/>
          <w:color w:val="auto"/>
        </w:rPr>
      </w:pPr>
    </w:p>
    <w:p>
      <w:pPr>
        <w:ind w:left="620" w:hanging="288"/>
        <w:spacing w:after="0"/>
        <w:tabs>
          <w:tab w:leader="none" w:pos="620" w:val="left"/>
        </w:tabs>
        <w:numPr>
          <w:ilvl w:val="0"/>
          <w:numId w:val="12"/>
        </w:numPr>
        <w:rPr>
          <w:rFonts w:ascii="Arial" w:cs="Arial" w:eastAsia="Arial" w:hAnsi="Arial"/>
          <w:sz w:val="20"/>
          <w:szCs w:val="20"/>
          <w:color w:val="auto"/>
        </w:rPr>
      </w:pPr>
      <w:r>
        <w:rPr>
          <w:rFonts w:ascii="Arial" w:cs="Arial" w:eastAsia="Arial" w:hAnsi="Arial"/>
          <w:sz w:val="18"/>
          <w:szCs w:val="18"/>
          <w:color w:val="auto"/>
        </w:rPr>
        <w:t>a $21.9 million increase in acquisition and integration costs attributable to the Able Acquisition; and</w:t>
      </w:r>
    </w:p>
    <w:p>
      <w:pPr>
        <w:spacing w:after="0" w:line="174" w:lineRule="exact"/>
        <w:rPr>
          <w:rFonts w:ascii="Arial" w:cs="Arial" w:eastAsia="Arial" w:hAnsi="Arial"/>
          <w:sz w:val="20"/>
          <w:szCs w:val="20"/>
          <w:color w:val="auto"/>
        </w:rPr>
      </w:pPr>
    </w:p>
    <w:p>
      <w:pPr>
        <w:ind w:left="660" w:hanging="328"/>
        <w:spacing w:after="0" w:line="237" w:lineRule="auto"/>
        <w:tabs>
          <w:tab w:leader="none" w:pos="621" w:val="left"/>
        </w:tabs>
        <w:numPr>
          <w:ilvl w:val="0"/>
          <w:numId w:val="12"/>
        </w:numPr>
        <w:rPr>
          <w:rFonts w:ascii="Arial" w:cs="Arial" w:eastAsia="Arial" w:hAnsi="Arial"/>
          <w:sz w:val="20"/>
          <w:szCs w:val="20"/>
          <w:color w:val="auto"/>
        </w:rPr>
      </w:pPr>
      <w:r>
        <w:rPr>
          <w:rFonts w:ascii="Arial" w:cs="Arial" w:eastAsia="Arial" w:hAnsi="Arial"/>
          <w:sz w:val="18"/>
          <w:szCs w:val="18"/>
          <w:color w:val="auto"/>
        </w:rPr>
        <w:t>a $9.1 million non-cash impairment charge for previously capitalized internal-use software related to our ERP system implementation as we determined that certain components developed will no longer be incorporated into the new ERP system;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85" w:lineRule="exact"/>
        <w:rPr>
          <w:sz w:val="20"/>
          <w:szCs w:val="20"/>
          <w:color w:val="auto"/>
        </w:rPr>
      </w:pPr>
    </w:p>
    <w:p>
      <w:pPr>
        <w:ind w:left="660" w:hanging="328"/>
        <w:spacing w:after="0" w:line="237" w:lineRule="auto"/>
        <w:tabs>
          <w:tab w:leader="none" w:pos="621" w:val="left"/>
        </w:tabs>
        <w:numPr>
          <w:ilvl w:val="0"/>
          <w:numId w:val="13"/>
        </w:numPr>
        <w:rPr>
          <w:rFonts w:ascii="Arial" w:cs="Arial" w:eastAsia="Arial" w:hAnsi="Arial"/>
          <w:sz w:val="20"/>
          <w:szCs w:val="20"/>
          <w:color w:val="auto"/>
        </w:rPr>
      </w:pPr>
      <w:r>
        <w:rPr>
          <w:rFonts w:ascii="Arial" w:cs="Arial" w:eastAsia="Arial" w:hAnsi="Arial"/>
          <w:sz w:val="18"/>
          <w:szCs w:val="18"/>
          <w:color w:val="auto"/>
        </w:rPr>
        <w:t>a $19.0 million decrease in bad debt expense, primarily associated with higher reserves established for client receivables in the prior year, due to increasing credit risk resulting from the Pandemic;</w:t>
      </w:r>
    </w:p>
    <w:p>
      <w:pPr>
        <w:spacing w:after="0" w:line="175" w:lineRule="exact"/>
        <w:rPr>
          <w:rFonts w:ascii="Arial" w:cs="Arial" w:eastAsia="Arial" w:hAnsi="Arial"/>
          <w:sz w:val="20"/>
          <w:szCs w:val="20"/>
          <w:color w:val="auto"/>
        </w:rPr>
      </w:pPr>
    </w:p>
    <w:p>
      <w:pPr>
        <w:ind w:left="660" w:hanging="328"/>
        <w:spacing w:after="0" w:line="237" w:lineRule="auto"/>
        <w:tabs>
          <w:tab w:leader="none" w:pos="621" w:val="left"/>
        </w:tabs>
        <w:numPr>
          <w:ilvl w:val="0"/>
          <w:numId w:val="13"/>
        </w:numPr>
        <w:rPr>
          <w:rFonts w:ascii="Arial" w:cs="Arial" w:eastAsia="Arial" w:hAnsi="Arial"/>
          <w:sz w:val="20"/>
          <w:szCs w:val="20"/>
          <w:color w:val="auto"/>
        </w:rPr>
      </w:pPr>
      <w:r>
        <w:rPr>
          <w:rFonts w:ascii="Arial" w:cs="Arial" w:eastAsia="Arial" w:hAnsi="Arial"/>
          <w:sz w:val="18"/>
          <w:szCs w:val="18"/>
          <w:color w:val="auto"/>
        </w:rPr>
        <w:t>the absence of a $17.6 million reserve on notes receivable related to a unique, entertainment-related project within Technical Solutions, mainly associated with increasing credit risk resulting from the Pandemic; and</w:t>
      </w:r>
    </w:p>
    <w:p>
      <w:pPr>
        <w:spacing w:after="0" w:line="175" w:lineRule="exact"/>
        <w:rPr>
          <w:rFonts w:ascii="Arial" w:cs="Arial" w:eastAsia="Arial" w:hAnsi="Arial"/>
          <w:sz w:val="20"/>
          <w:szCs w:val="20"/>
          <w:color w:val="auto"/>
        </w:rPr>
      </w:pPr>
    </w:p>
    <w:p>
      <w:pPr>
        <w:ind w:left="660" w:hanging="328"/>
        <w:spacing w:after="0" w:line="237" w:lineRule="auto"/>
        <w:tabs>
          <w:tab w:leader="none" w:pos="621" w:val="left"/>
        </w:tabs>
        <w:numPr>
          <w:ilvl w:val="0"/>
          <w:numId w:val="13"/>
        </w:numPr>
        <w:rPr>
          <w:rFonts w:ascii="Arial" w:cs="Arial" w:eastAsia="Arial" w:hAnsi="Arial"/>
          <w:sz w:val="20"/>
          <w:szCs w:val="20"/>
          <w:color w:val="auto"/>
        </w:rPr>
      </w:pPr>
      <w:r>
        <w:rPr>
          <w:rFonts w:ascii="Arial" w:cs="Arial" w:eastAsia="Arial" w:hAnsi="Arial"/>
          <w:sz w:val="18"/>
          <w:szCs w:val="18"/>
          <w:color w:val="auto"/>
        </w:rPr>
        <w:t>an $11.7 million decrease in prior year medical and dental self-insurance reserves as a result of actuarial evaluations completed in fiscal year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Restructuring and Related Expenses</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Restructuring and related expenses decreased by $7.6 million during 2021, as compared to 2020. We substantially completed the restructuring program by the end of fiscal year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Amortization of Intangible Assets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Amortization of intangible assets decreased by $3.4 million, or 7.1%, during 2021, as compared to 2020, mainly due to the lower intangible assets balance resulting from the impairment loss recorded in the second quarter of 2020 and to certain intangible assets being amortized using the sum-of-the-years’-digits method, which results in declining amortization expense over the useful lives of the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Impairment Loss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2020, we recorded impairment charges on goodwill related to our Education, Aviation, and U.K. Technical Solutions businesses totaling $163.8 million. Additionally, we recorded impairment charges on customer relationships related to our Aviation and U.K. Technical Solutions businesses totaling $9.0 million. During the second quarter of 2020, these businesses were adversely impacted by the market and business conditions resulting from the Pandemic. During 2021, we did not record any impairment charges to goodwill or intangible assets.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Expense</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Interest expense decreased by $16.0 million, or 35.9%, during 2021, as compared to 2020, primarily attributable to lower relative interest rates as the result of amending our credit facility in 2021 and lower average outstanding borrowings under our credit facility throughout the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Income Taxes from Continuing Operations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2021 and 2020, we had effective tax rates of 29.8% and 99.6%, respectively, resulting in a provision for tax of $53.5 million and $53.1 million, respectively. Our effective tax rate for 2021 was also impacted by the following discrete items: a $3.0 million provision for nondeductible transaction costs; a $2.6 million provision for change in tax reserves; a $1.4 million provision for true-ups; and a $1.2 million benefit for energy efficiency incentives. Our effective tax rate for 2020 was impacted by the following discrete items: a $5.7 million benefit from true-ups; a $2.3 million provision related to the Work Opportunity Tax Credit (“WOTC”); a $2.1 million benefit from</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0" w:name="page31"/>
    <w:bookmarkEnd w:id="30"/>
    <w:p>
      <w:pPr>
        <w:jc w:val="both"/>
        <w:ind w:right="20"/>
        <w:spacing w:after="0" w:line="261" w:lineRule="auto"/>
        <w:rPr>
          <w:sz w:val="20"/>
          <w:szCs w:val="20"/>
          <w:color w:val="auto"/>
        </w:rPr>
      </w:pPr>
      <w:r>
        <w:rPr>
          <w:rFonts w:ascii="Arial" w:cs="Arial" w:eastAsia="Arial" w:hAnsi="Arial"/>
          <w:sz w:val="18"/>
          <w:szCs w:val="18"/>
          <w:color w:val="auto"/>
        </w:rPr>
        <w:t>energy efficiency incentives; and a $1.1 million benefit from change of tax reserves. The effective tax rate for the year ended October 31, 2020, excluding a nondeductible impairment loss of $163.8 million, was 24.4%.</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Rate Swaps</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had a gain of $4.5 million on interest rate swaps during the year ended October 31, 2021, as compared to a loss of $7.6 million during the year ended October 31, 2020, primarily due to underlying changes in the fair value of our interest rate swaps.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Foreign Currency Translation and Other</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had a foreign currency translation gain of $5.3 million during the year ended October 31, 2021, as compared to a foreign currency translation loss of $1.8 million during the year ended October 31, 2020. This change was due to fluctuations in the exchange rate between the U.S. Dollar (“USD”) and the British pound sterling (“GBP”). Future gains and losses on foreign currency translation will be dependent upon changes in the relative value of foreign currencies to the USD and the extent of our foreign assets and liabilities.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The Year Ended October 31, 2020 Compared with the Year Ended October 31, 2019</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a comparison of our Results of Operations for the year ended October 31, 2020, to the year ended October 31, 2019, see “Part II, Item 7. Management’s Discussion and Analysis of Financial Condition and Results of Operations” of our Form 10-K for the fiscal year ended October 31, 2020, filed with the SEC on December 17, 2020.</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0046AD"/>
        </w:rPr>
        <w:t>Segment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reportable segments consist of B&amp;I, T&amp;M, Education, Aviation, and Technical Solutions.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Information for Each Reportable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Years Ended October 31,</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2"/>
          </w:tcPr>
          <w:p>
            <w:pPr>
              <w:jc w:val="center"/>
              <w:ind w:right="219"/>
              <w:spacing w:after="0"/>
              <w:rPr>
                <w:sz w:val="20"/>
                <w:szCs w:val="20"/>
                <w:color w:val="auto"/>
              </w:rPr>
            </w:pPr>
            <w:r>
              <w:rPr>
                <w:rFonts w:ascii="Arial" w:cs="Arial" w:eastAsia="Arial" w:hAnsi="Arial"/>
                <w:sz w:val="16"/>
                <w:szCs w:val="16"/>
                <w:b w:val="1"/>
                <w:bCs w:val="1"/>
                <w:color w:val="auto"/>
              </w:rPr>
              <w:t>2021 vs. 2020</w:t>
            </w:r>
          </w:p>
        </w:tc>
      </w:tr>
      <w:tr>
        <w:trPr>
          <w:trHeight w:val="172"/>
        </w:trPr>
        <w:tc>
          <w:tcPr>
            <w:tcW w:w="20" w:type="dxa"/>
            <w:vAlign w:val="bottom"/>
          </w:tcPr>
          <w:p>
            <w:pPr>
              <w:spacing w:after="0"/>
              <w:rPr>
                <w:sz w:val="14"/>
                <w:szCs w:val="14"/>
                <w:color w:val="auto"/>
              </w:rPr>
            </w:pPr>
          </w:p>
        </w:tc>
        <w:tc>
          <w:tcPr>
            <w:tcW w:w="406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20" w:type="dxa"/>
            <w:vAlign w:val="bottom"/>
          </w:tcPr>
          <w:p>
            <w:pPr>
              <w:spacing w:after="0"/>
              <w:rPr>
                <w:sz w:val="14"/>
                <w:szCs w:val="14"/>
                <w:color w:val="auto"/>
              </w:rPr>
            </w:pPr>
          </w:p>
        </w:tc>
        <w:tc>
          <w:tcPr>
            <w:tcW w:w="1080" w:type="dxa"/>
            <w:vAlign w:val="bottom"/>
          </w:tcPr>
          <w:p>
            <w:pPr>
              <w:jc w:val="right"/>
              <w:ind w:right="441"/>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41"/>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441"/>
              <w:spacing w:after="0" w:line="17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2"/>
          </w:tcPr>
          <w:p>
            <w:pPr>
              <w:jc w:val="center"/>
              <w:ind w:right="239"/>
              <w:spacing w:after="0" w:line="172" w:lineRule="exact"/>
              <w:rPr>
                <w:sz w:val="20"/>
                <w:szCs w:val="20"/>
                <w:color w:val="auto"/>
              </w:rPr>
            </w:pPr>
            <w:r>
              <w:rPr>
                <w:rFonts w:ascii="Arial" w:cs="Arial" w:eastAsia="Arial" w:hAnsi="Arial"/>
                <w:sz w:val="16"/>
                <w:szCs w:val="16"/>
                <w:b w:val="1"/>
                <w:bCs w:val="1"/>
                <w:color w:val="auto"/>
              </w:rPr>
              <w:t>Increase / (Decrease)</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24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DCE2EF"/>
          </w:tcPr>
          <w:p>
            <w:pPr>
              <w:spacing w:after="0"/>
              <w:rPr>
                <w:sz w:val="17"/>
                <w:szCs w:val="17"/>
                <w:color w:val="auto"/>
              </w:rPr>
            </w:pPr>
          </w:p>
        </w:tc>
        <w:tc>
          <w:tcPr>
            <w:tcW w:w="406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320" w:type="dxa"/>
            <w:vAlign w:val="bottom"/>
            <w:shd w:val="clear" w:color="auto" w:fill="DCE2EF"/>
          </w:tcPr>
          <w:p>
            <w:pPr>
              <w:spacing w:after="0"/>
              <w:rPr>
                <w:sz w:val="17"/>
                <w:szCs w:val="17"/>
                <w:color w:val="auto"/>
              </w:rPr>
            </w:pPr>
          </w:p>
        </w:tc>
        <w:tc>
          <w:tcPr>
            <w:tcW w:w="10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0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0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960" w:type="dxa"/>
            <w:vAlign w:val="bottom"/>
            <w:shd w:val="clear" w:color="auto" w:fill="DCE2EF"/>
          </w:tcPr>
          <w:p>
            <w:pPr>
              <w:spacing w:after="0"/>
              <w:rPr>
                <w:sz w:val="17"/>
                <w:szCs w:val="17"/>
                <w:color w:val="auto"/>
              </w:rPr>
            </w:pPr>
          </w:p>
        </w:tc>
        <w:tc>
          <w:tcPr>
            <w:tcW w:w="1380" w:type="dxa"/>
            <w:vAlign w:val="bottom"/>
            <w:shd w:val="clear" w:color="auto" w:fill="DCE2E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Business &amp; Industry</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3,346.5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1"/>
              <w:spacing w:after="0"/>
              <w:rPr>
                <w:sz w:val="20"/>
                <w:szCs w:val="20"/>
                <w:color w:val="auto"/>
              </w:rPr>
            </w:pPr>
            <w:r>
              <w:rPr>
                <w:rFonts w:ascii="Arial" w:cs="Arial" w:eastAsia="Arial" w:hAnsi="Arial"/>
                <w:sz w:val="16"/>
                <w:szCs w:val="16"/>
                <w:color w:val="auto"/>
              </w:rPr>
              <w:t>3,157.8</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3,251.4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188.7</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6.0%</w:t>
            </w:r>
          </w:p>
        </w:tc>
      </w:tr>
      <w:tr>
        <w:trPr>
          <w:trHeight w:val="219"/>
        </w:trPr>
        <w:tc>
          <w:tcPr>
            <w:tcW w:w="20" w:type="dxa"/>
            <w:vAlign w:val="bottom"/>
            <w:shd w:val="clear" w:color="auto" w:fill="DCE2EF"/>
          </w:tcPr>
          <w:p>
            <w:pPr>
              <w:spacing w:after="0"/>
              <w:rPr>
                <w:sz w:val="19"/>
                <w:szCs w:val="19"/>
                <w:color w:val="auto"/>
              </w:rPr>
            </w:pPr>
          </w:p>
        </w:tc>
        <w:tc>
          <w:tcPr>
            <w:tcW w:w="40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Technology &amp; Manufacturing</w:t>
            </w:r>
          </w:p>
        </w:tc>
        <w:tc>
          <w:tcPr>
            <w:tcW w:w="320" w:type="dxa"/>
            <w:vAlign w:val="bottom"/>
            <w:shd w:val="clear" w:color="auto" w:fill="DCE2EF"/>
          </w:tcPr>
          <w:p>
            <w:pPr>
              <w:spacing w:after="0"/>
              <w:rPr>
                <w:sz w:val="19"/>
                <w:szCs w:val="19"/>
                <w:color w:val="auto"/>
              </w:rPr>
            </w:pPr>
          </w:p>
        </w:tc>
        <w:tc>
          <w:tcPr>
            <w:tcW w:w="108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987.1</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08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rPr>
              <w:t>956.0</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06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917.0</w:t>
            </w:r>
          </w:p>
        </w:tc>
        <w:tc>
          <w:tcPr>
            <w:tcW w:w="100" w:type="dxa"/>
            <w:vAlign w:val="bottom"/>
            <w:shd w:val="clear" w:color="auto" w:fill="DCE2EF"/>
          </w:tcPr>
          <w:p>
            <w:pPr>
              <w:spacing w:after="0"/>
              <w:rPr>
                <w:sz w:val="19"/>
                <w:szCs w:val="19"/>
                <w:color w:val="auto"/>
              </w:rPr>
            </w:pPr>
          </w:p>
        </w:tc>
        <w:tc>
          <w:tcPr>
            <w:tcW w:w="300" w:type="dxa"/>
            <w:vAlign w:val="bottom"/>
            <w:shd w:val="clear" w:color="auto" w:fill="DCE2EF"/>
          </w:tcPr>
          <w:p>
            <w:pPr>
              <w:spacing w:after="0"/>
              <w:rPr>
                <w:sz w:val="19"/>
                <w:szCs w:val="19"/>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31.1</w:t>
            </w:r>
          </w:p>
        </w:tc>
        <w:tc>
          <w:tcPr>
            <w:tcW w:w="138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3.3%</w:t>
            </w: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Education</w:t>
            </w:r>
          </w:p>
        </w:tc>
        <w:tc>
          <w:tcPr>
            <w:tcW w:w="32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836.4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01"/>
              <w:spacing w:after="0"/>
              <w:rPr>
                <w:sz w:val="20"/>
                <w:szCs w:val="20"/>
                <w:color w:val="auto"/>
              </w:rPr>
            </w:pPr>
            <w:r>
              <w:rPr>
                <w:rFonts w:ascii="Arial" w:cs="Arial" w:eastAsia="Arial" w:hAnsi="Arial"/>
                <w:sz w:val="16"/>
                <w:szCs w:val="16"/>
                <w:color w:val="auto"/>
              </w:rPr>
              <w:t>808.8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847.4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27.6</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3.4%</w:t>
            </w:r>
          </w:p>
        </w:tc>
      </w:tr>
      <w:tr>
        <w:trPr>
          <w:trHeight w:val="219"/>
        </w:trPr>
        <w:tc>
          <w:tcPr>
            <w:tcW w:w="20" w:type="dxa"/>
            <w:vAlign w:val="bottom"/>
            <w:shd w:val="clear" w:color="auto" w:fill="DCE2EF"/>
          </w:tcPr>
          <w:p>
            <w:pPr>
              <w:spacing w:after="0"/>
              <w:rPr>
                <w:sz w:val="19"/>
                <w:szCs w:val="19"/>
                <w:color w:val="auto"/>
              </w:rPr>
            </w:pPr>
          </w:p>
        </w:tc>
        <w:tc>
          <w:tcPr>
            <w:tcW w:w="40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Aviation</w:t>
            </w:r>
          </w:p>
        </w:tc>
        <w:tc>
          <w:tcPr>
            <w:tcW w:w="320" w:type="dxa"/>
            <w:vAlign w:val="bottom"/>
            <w:shd w:val="clear" w:color="auto" w:fill="DCE2EF"/>
          </w:tcPr>
          <w:p>
            <w:pPr>
              <w:spacing w:after="0"/>
              <w:rPr>
                <w:sz w:val="19"/>
                <w:szCs w:val="19"/>
                <w:color w:val="auto"/>
              </w:rPr>
            </w:pPr>
          </w:p>
        </w:tc>
        <w:tc>
          <w:tcPr>
            <w:tcW w:w="108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668.8</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08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rPr>
              <w:t>680.9</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06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1,017.3</w:t>
            </w:r>
          </w:p>
        </w:tc>
        <w:tc>
          <w:tcPr>
            <w:tcW w:w="100" w:type="dxa"/>
            <w:vAlign w:val="bottom"/>
            <w:shd w:val="clear" w:color="auto" w:fill="DCE2EF"/>
          </w:tcPr>
          <w:p>
            <w:pPr>
              <w:spacing w:after="0"/>
              <w:rPr>
                <w:sz w:val="19"/>
                <w:szCs w:val="19"/>
                <w:color w:val="auto"/>
              </w:rPr>
            </w:pPr>
          </w:p>
        </w:tc>
        <w:tc>
          <w:tcPr>
            <w:tcW w:w="300" w:type="dxa"/>
            <w:vAlign w:val="bottom"/>
            <w:shd w:val="clear" w:color="auto" w:fill="DCE2EF"/>
          </w:tcPr>
          <w:p>
            <w:pPr>
              <w:spacing w:after="0"/>
              <w:rPr>
                <w:sz w:val="19"/>
                <w:szCs w:val="19"/>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(12.1)</w:t>
            </w:r>
          </w:p>
        </w:tc>
        <w:tc>
          <w:tcPr>
            <w:tcW w:w="13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(1.8)%</w:t>
            </w: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Technical Solutions</w:t>
            </w:r>
          </w:p>
        </w:tc>
        <w:tc>
          <w:tcPr>
            <w:tcW w:w="32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534.0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01"/>
              <w:spacing w:after="0"/>
              <w:rPr>
                <w:sz w:val="20"/>
                <w:szCs w:val="20"/>
                <w:color w:val="auto"/>
              </w:rPr>
            </w:pPr>
            <w:r>
              <w:rPr>
                <w:rFonts w:ascii="Arial" w:cs="Arial" w:eastAsia="Arial" w:hAnsi="Arial"/>
                <w:sz w:val="16"/>
                <w:szCs w:val="16"/>
                <w:color w:val="auto"/>
              </w:rPr>
              <w:t>506.6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593.2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27.4</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5.4%</w:t>
            </w:r>
          </w:p>
        </w:tc>
      </w:tr>
      <w:tr>
        <w:trPr>
          <w:trHeight w:val="216"/>
        </w:trPr>
        <w:tc>
          <w:tcPr>
            <w:tcW w:w="20" w:type="dxa"/>
            <w:vAlign w:val="bottom"/>
            <w:shd w:val="clear" w:color="auto" w:fill="DCE2EF"/>
          </w:tcPr>
          <w:p>
            <w:pPr>
              <w:spacing w:after="0"/>
              <w:rPr>
                <w:sz w:val="18"/>
                <w:szCs w:val="18"/>
                <w:color w:val="auto"/>
              </w:rPr>
            </w:pPr>
          </w:p>
        </w:tc>
        <w:tc>
          <w:tcPr>
            <w:tcW w:w="40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Elimination of inter-segment revenues</w:t>
            </w:r>
          </w:p>
        </w:tc>
        <w:tc>
          <w:tcPr>
            <w:tcW w:w="320" w:type="dxa"/>
            <w:vAlign w:val="bottom"/>
            <w:tcBorders>
              <w:bottom w:val="single" w:sz="8" w:color="auto"/>
            </w:tcBorders>
            <w:shd w:val="clear" w:color="auto" w:fill="DCE2EF"/>
          </w:tcPr>
          <w:p>
            <w:pPr>
              <w:spacing w:after="0"/>
              <w:rPr>
                <w:sz w:val="18"/>
                <w:szCs w:val="18"/>
                <w:color w:val="auto"/>
              </w:rPr>
            </w:pPr>
          </w:p>
        </w:tc>
        <w:tc>
          <w:tcPr>
            <w:tcW w:w="1080" w:type="dxa"/>
            <w:vAlign w:val="bottom"/>
            <w:tcBorders>
              <w:bottom w:val="single" w:sz="8" w:color="auto"/>
            </w:tcBorders>
            <w:shd w:val="clear" w:color="auto" w:fill="DCE2EF"/>
          </w:tcPr>
          <w:p>
            <w:pPr>
              <w:jc w:val="right"/>
              <w:ind w:right="81"/>
              <w:spacing w:after="0"/>
              <w:rPr>
                <w:sz w:val="20"/>
                <w:szCs w:val="20"/>
                <w:color w:val="auto"/>
              </w:rPr>
            </w:pPr>
            <w:r>
              <w:rPr>
                <w:rFonts w:ascii="Arial" w:cs="Arial" w:eastAsia="Arial" w:hAnsi="Arial"/>
                <w:sz w:val="16"/>
                <w:szCs w:val="16"/>
                <w:color w:val="auto"/>
              </w:rPr>
              <w:t>(144.2)</w:t>
            </w:r>
          </w:p>
        </w:tc>
        <w:tc>
          <w:tcPr>
            <w:tcW w:w="100" w:type="dxa"/>
            <w:vAlign w:val="bottom"/>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080" w:type="dxa"/>
            <w:vAlign w:val="bottom"/>
            <w:tcBorders>
              <w:bottom w:val="single" w:sz="8" w:color="auto"/>
            </w:tcBorders>
            <w:shd w:val="clear" w:color="auto" w:fill="DCE2EF"/>
          </w:tcPr>
          <w:p>
            <w:pPr>
              <w:jc w:val="right"/>
              <w:ind w:right="61"/>
              <w:spacing w:after="0"/>
              <w:rPr>
                <w:sz w:val="20"/>
                <w:szCs w:val="20"/>
                <w:color w:val="auto"/>
              </w:rPr>
            </w:pPr>
            <w:r>
              <w:rPr>
                <w:rFonts w:ascii="Arial" w:cs="Arial" w:eastAsia="Arial" w:hAnsi="Arial"/>
                <w:sz w:val="16"/>
                <w:szCs w:val="16"/>
                <w:color w:val="auto"/>
              </w:rPr>
              <w:t>(122.4)</w:t>
            </w:r>
          </w:p>
        </w:tc>
        <w:tc>
          <w:tcPr>
            <w:tcW w:w="120" w:type="dxa"/>
            <w:vAlign w:val="bottom"/>
            <w:shd w:val="clear" w:color="auto" w:fill="DCE2EF"/>
          </w:tcPr>
          <w:p>
            <w:pPr>
              <w:spacing w:after="0"/>
              <w:rPr>
                <w:sz w:val="18"/>
                <w:szCs w:val="18"/>
                <w:color w:val="auto"/>
              </w:rPr>
            </w:pPr>
          </w:p>
        </w:tc>
        <w:tc>
          <w:tcPr>
            <w:tcW w:w="340" w:type="dxa"/>
            <w:vAlign w:val="bottom"/>
            <w:tcBorders>
              <w:bottom w:val="single" w:sz="8" w:color="auto"/>
            </w:tcBorders>
            <w:shd w:val="clear" w:color="auto" w:fill="DCE2EF"/>
          </w:tcPr>
          <w:p>
            <w:pPr>
              <w:spacing w:after="0"/>
              <w:rPr>
                <w:sz w:val="18"/>
                <w:szCs w:val="18"/>
                <w:color w:val="auto"/>
              </w:rPr>
            </w:pPr>
          </w:p>
        </w:tc>
        <w:tc>
          <w:tcPr>
            <w:tcW w:w="1060" w:type="dxa"/>
            <w:vAlign w:val="bottom"/>
            <w:tcBorders>
              <w:bottom w:val="single" w:sz="8" w:color="auto"/>
            </w:tcBorders>
            <w:shd w:val="clear" w:color="auto" w:fill="DCE2EF"/>
          </w:tcPr>
          <w:p>
            <w:pPr>
              <w:jc w:val="right"/>
              <w:ind w:right="61"/>
              <w:spacing w:after="0"/>
              <w:rPr>
                <w:sz w:val="20"/>
                <w:szCs w:val="20"/>
                <w:color w:val="auto"/>
              </w:rPr>
            </w:pPr>
            <w:r>
              <w:rPr>
                <w:rFonts w:ascii="Arial" w:cs="Arial" w:eastAsia="Arial" w:hAnsi="Arial"/>
                <w:sz w:val="16"/>
                <w:szCs w:val="16"/>
                <w:color w:val="auto"/>
              </w:rPr>
              <w:t>(127.7)</w:t>
            </w:r>
          </w:p>
        </w:tc>
        <w:tc>
          <w:tcPr>
            <w:tcW w:w="100" w:type="dxa"/>
            <w:vAlign w:val="bottom"/>
            <w:shd w:val="clear" w:color="auto" w:fill="DCE2EF"/>
          </w:tcPr>
          <w:p>
            <w:pPr>
              <w:spacing w:after="0"/>
              <w:rPr>
                <w:sz w:val="18"/>
                <w:szCs w:val="18"/>
                <w:color w:val="auto"/>
              </w:rPr>
            </w:pPr>
          </w:p>
        </w:tc>
        <w:tc>
          <w:tcPr>
            <w:tcW w:w="300" w:type="dxa"/>
            <w:vAlign w:val="bottom"/>
            <w:tcBorders>
              <w:bottom w:val="single" w:sz="8" w:color="auto"/>
            </w:tcBorders>
            <w:shd w:val="clear" w:color="auto" w:fill="DCE2EF"/>
          </w:tcPr>
          <w:p>
            <w:pPr>
              <w:spacing w:after="0"/>
              <w:rPr>
                <w:sz w:val="18"/>
                <w:szCs w:val="18"/>
                <w:color w:val="auto"/>
              </w:rPr>
            </w:pPr>
          </w:p>
        </w:tc>
        <w:tc>
          <w:tcPr>
            <w:tcW w:w="9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(21.8)</w:t>
            </w:r>
          </w:p>
        </w:tc>
        <w:tc>
          <w:tcPr>
            <w:tcW w:w="13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9"/>
              </w:rPr>
              <w:t>(17.8)%</w:t>
            </w:r>
          </w:p>
        </w:tc>
      </w:tr>
      <w:tr>
        <w:trPr>
          <w:trHeight w:val="213"/>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6,228.6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5,987.6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6,498.6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241.0</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4.0%</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bottom w:val="single" w:sz="8" w:color="DCE2EF"/>
            </w:tcBorders>
          </w:tcPr>
          <w:p>
            <w:pPr>
              <w:spacing w:after="0" w:line="20" w:lineRule="exact"/>
              <w:rPr>
                <w:sz w:val="1"/>
                <w:szCs w:val="1"/>
                <w:color w:val="auto"/>
              </w:rPr>
            </w:pPr>
          </w:p>
        </w:tc>
        <w:tc>
          <w:tcPr>
            <w:tcW w:w="324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DCE2EF"/>
            </w:tcBorders>
          </w:tcPr>
          <w:p>
            <w:pPr>
              <w:spacing w:after="0" w:line="20" w:lineRule="exact"/>
              <w:rPr>
                <w:sz w:val="1"/>
                <w:szCs w:val="1"/>
                <w:color w:val="auto"/>
              </w:rPr>
            </w:pPr>
          </w:p>
        </w:tc>
      </w:tr>
      <w:tr>
        <w:trPr>
          <w:trHeight w:val="183"/>
        </w:trPr>
        <w:tc>
          <w:tcPr>
            <w:tcW w:w="20" w:type="dxa"/>
            <w:vAlign w:val="bottom"/>
            <w:shd w:val="clear" w:color="auto" w:fill="DCE2EF"/>
          </w:tcPr>
          <w:p>
            <w:pPr>
              <w:spacing w:after="0"/>
              <w:rPr>
                <w:sz w:val="15"/>
                <w:szCs w:val="15"/>
                <w:color w:val="auto"/>
              </w:rPr>
            </w:pPr>
          </w:p>
        </w:tc>
        <w:tc>
          <w:tcPr>
            <w:tcW w:w="406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Operating profit (loss)</w:t>
            </w:r>
          </w:p>
        </w:tc>
        <w:tc>
          <w:tcPr>
            <w:tcW w:w="320" w:type="dxa"/>
            <w:vAlign w:val="bottom"/>
            <w:shd w:val="clear" w:color="auto" w:fill="DCE2EF"/>
          </w:tcPr>
          <w:p>
            <w:pPr>
              <w:spacing w:after="0"/>
              <w:rPr>
                <w:sz w:val="15"/>
                <w:szCs w:val="15"/>
                <w:color w:val="auto"/>
              </w:rPr>
            </w:pPr>
          </w:p>
        </w:tc>
        <w:tc>
          <w:tcPr>
            <w:tcW w:w="10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20" w:type="dxa"/>
            <w:vAlign w:val="bottom"/>
            <w:shd w:val="clear" w:color="auto" w:fill="DCE2EF"/>
          </w:tcPr>
          <w:p>
            <w:pPr>
              <w:spacing w:after="0"/>
              <w:rPr>
                <w:sz w:val="15"/>
                <w:szCs w:val="15"/>
                <w:color w:val="auto"/>
              </w:rPr>
            </w:pPr>
          </w:p>
        </w:tc>
        <w:tc>
          <w:tcPr>
            <w:tcW w:w="108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340" w:type="dxa"/>
            <w:vAlign w:val="bottom"/>
            <w:shd w:val="clear" w:color="auto" w:fill="DCE2EF"/>
          </w:tcPr>
          <w:p>
            <w:pPr>
              <w:spacing w:after="0"/>
              <w:rPr>
                <w:sz w:val="15"/>
                <w:szCs w:val="15"/>
                <w:color w:val="auto"/>
              </w:rPr>
            </w:pPr>
          </w:p>
        </w:tc>
        <w:tc>
          <w:tcPr>
            <w:tcW w:w="10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960" w:type="dxa"/>
            <w:vAlign w:val="bottom"/>
            <w:shd w:val="clear" w:color="auto" w:fill="DCE2EF"/>
          </w:tcPr>
          <w:p>
            <w:pPr>
              <w:spacing w:after="0"/>
              <w:rPr>
                <w:sz w:val="15"/>
                <w:szCs w:val="15"/>
                <w:color w:val="auto"/>
              </w:rPr>
            </w:pPr>
          </w:p>
        </w:tc>
        <w:tc>
          <w:tcPr>
            <w:tcW w:w="1380" w:type="dxa"/>
            <w:vAlign w:val="bottom"/>
            <w:shd w:val="clear" w:color="auto" w:fill="DCE2E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Business &amp; Industry</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337.8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1"/>
              <w:spacing w:after="0"/>
              <w:rPr>
                <w:sz w:val="20"/>
                <w:szCs w:val="20"/>
                <w:color w:val="auto"/>
              </w:rPr>
            </w:pPr>
            <w:r>
              <w:rPr>
                <w:rFonts w:ascii="Arial" w:cs="Arial" w:eastAsia="Arial" w:hAnsi="Arial"/>
                <w:sz w:val="16"/>
                <w:szCs w:val="16"/>
                <w:color w:val="auto"/>
              </w:rPr>
              <w:t>253.7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182.3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84.1</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33.1%</w:t>
            </w:r>
          </w:p>
        </w:tc>
      </w:tr>
      <w:tr>
        <w:trPr>
          <w:trHeight w:val="192"/>
        </w:trPr>
        <w:tc>
          <w:tcPr>
            <w:tcW w:w="20" w:type="dxa"/>
            <w:vAlign w:val="bottom"/>
            <w:shd w:val="clear" w:color="auto" w:fill="DCE2EF"/>
          </w:tcPr>
          <w:p>
            <w:pPr>
              <w:spacing w:after="0"/>
              <w:rPr>
                <w:sz w:val="16"/>
                <w:szCs w:val="16"/>
                <w:color w:val="auto"/>
              </w:rPr>
            </w:pPr>
          </w:p>
        </w:tc>
        <w:tc>
          <w:tcPr>
            <w:tcW w:w="406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shd w:val="clear" w:color="auto" w:fill="DCE2EF"/>
          </w:tcPr>
          <w:p>
            <w:pPr>
              <w:spacing w:after="0"/>
              <w:rPr>
                <w:sz w:val="16"/>
                <w:szCs w:val="16"/>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10.1 %</w:t>
            </w:r>
          </w:p>
        </w:tc>
        <w:tc>
          <w:tcPr>
            <w:tcW w:w="10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8.0 %</w:t>
            </w:r>
          </w:p>
        </w:tc>
        <w:tc>
          <w:tcPr>
            <w:tcW w:w="120" w:type="dxa"/>
            <w:vAlign w:val="bottom"/>
            <w:shd w:val="clear" w:color="auto" w:fill="DCE2EF"/>
          </w:tcPr>
          <w:p>
            <w:pPr>
              <w:spacing w:after="0"/>
              <w:rPr>
                <w:sz w:val="16"/>
                <w:szCs w:val="16"/>
                <w:color w:val="auto"/>
              </w:rPr>
            </w:pPr>
          </w:p>
        </w:tc>
        <w:tc>
          <w:tcPr>
            <w:tcW w:w="340" w:type="dxa"/>
            <w:vAlign w:val="bottom"/>
            <w:shd w:val="clear" w:color="auto" w:fill="DCE2EF"/>
          </w:tcPr>
          <w:p>
            <w:pPr>
              <w:spacing w:after="0"/>
              <w:rPr>
                <w:sz w:val="16"/>
                <w:szCs w:val="16"/>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5.6 %</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206 bps</w:t>
            </w:r>
          </w:p>
        </w:tc>
        <w:tc>
          <w:tcPr>
            <w:tcW w:w="1380" w:type="dxa"/>
            <w:vAlign w:val="bottom"/>
            <w:shd w:val="clear" w:color="auto" w:fill="DCE2E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Technology &amp; Manufacturing</w:t>
            </w:r>
          </w:p>
        </w:tc>
        <w:tc>
          <w:tcPr>
            <w:tcW w:w="32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01"/>
              <w:spacing w:after="0"/>
              <w:rPr>
                <w:sz w:val="20"/>
                <w:szCs w:val="20"/>
                <w:color w:val="auto"/>
              </w:rPr>
            </w:pPr>
            <w:r>
              <w:rPr>
                <w:rFonts w:ascii="Arial" w:cs="Arial" w:eastAsia="Arial" w:hAnsi="Arial"/>
                <w:sz w:val="16"/>
                <w:szCs w:val="16"/>
                <w:color w:val="auto"/>
              </w:rPr>
              <w:t>84.4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19.4</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22.9%</w:t>
            </w:r>
          </w:p>
        </w:tc>
      </w:tr>
      <w:tr>
        <w:trPr>
          <w:trHeight w:val="192"/>
        </w:trPr>
        <w:tc>
          <w:tcPr>
            <w:tcW w:w="20" w:type="dxa"/>
            <w:vAlign w:val="bottom"/>
            <w:shd w:val="clear" w:color="auto" w:fill="DCE2EF"/>
          </w:tcPr>
          <w:p>
            <w:pPr>
              <w:spacing w:after="0"/>
              <w:rPr>
                <w:sz w:val="16"/>
                <w:szCs w:val="16"/>
                <w:color w:val="auto"/>
              </w:rPr>
            </w:pPr>
          </w:p>
        </w:tc>
        <w:tc>
          <w:tcPr>
            <w:tcW w:w="406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shd w:val="clear" w:color="auto" w:fill="DCE2EF"/>
          </w:tcPr>
          <w:p>
            <w:pPr>
              <w:spacing w:after="0"/>
              <w:rPr>
                <w:sz w:val="16"/>
                <w:szCs w:val="16"/>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10.5 %</w:t>
            </w:r>
          </w:p>
        </w:tc>
        <w:tc>
          <w:tcPr>
            <w:tcW w:w="10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8.8 %</w:t>
            </w:r>
          </w:p>
        </w:tc>
        <w:tc>
          <w:tcPr>
            <w:tcW w:w="120" w:type="dxa"/>
            <w:vAlign w:val="bottom"/>
            <w:shd w:val="clear" w:color="auto" w:fill="DCE2EF"/>
          </w:tcPr>
          <w:p>
            <w:pPr>
              <w:spacing w:after="0"/>
              <w:rPr>
                <w:sz w:val="16"/>
                <w:szCs w:val="16"/>
                <w:color w:val="auto"/>
              </w:rPr>
            </w:pPr>
          </w:p>
        </w:tc>
        <w:tc>
          <w:tcPr>
            <w:tcW w:w="340" w:type="dxa"/>
            <w:vAlign w:val="bottom"/>
            <w:shd w:val="clear" w:color="auto" w:fill="DCE2EF"/>
          </w:tcPr>
          <w:p>
            <w:pPr>
              <w:spacing w:after="0"/>
              <w:rPr>
                <w:sz w:val="16"/>
                <w:szCs w:val="16"/>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7.9 %</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168 bps</w:t>
            </w:r>
          </w:p>
        </w:tc>
        <w:tc>
          <w:tcPr>
            <w:tcW w:w="1380" w:type="dxa"/>
            <w:vAlign w:val="bottom"/>
            <w:shd w:val="clear" w:color="auto" w:fill="DCE2E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Education</w:t>
            </w:r>
          </w:p>
        </w:tc>
        <w:tc>
          <w:tcPr>
            <w:tcW w:w="32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101.6</w:t>
            </w:r>
          </w:p>
        </w:tc>
        <w:tc>
          <w:tcPr>
            <w:tcW w:w="1380" w:type="dxa"/>
            <w:vAlign w:val="bottom"/>
          </w:tcPr>
          <w:p>
            <w:pPr>
              <w:ind w:left="580"/>
              <w:spacing w:after="0"/>
              <w:rPr>
                <w:sz w:val="20"/>
                <w:szCs w:val="20"/>
                <w:color w:val="auto"/>
              </w:rPr>
            </w:pPr>
            <w:r>
              <w:rPr>
                <w:rFonts w:ascii="Arial" w:cs="Arial" w:eastAsia="Arial" w:hAnsi="Arial"/>
                <w:sz w:val="16"/>
                <w:szCs w:val="16"/>
                <w:color w:val="auto"/>
              </w:rPr>
              <w:t>NM*</w:t>
            </w:r>
          </w:p>
        </w:tc>
      </w:tr>
      <w:tr>
        <w:trPr>
          <w:trHeight w:val="192"/>
        </w:trPr>
        <w:tc>
          <w:tcPr>
            <w:tcW w:w="20" w:type="dxa"/>
            <w:vAlign w:val="bottom"/>
            <w:shd w:val="clear" w:color="auto" w:fill="DCE2EF"/>
          </w:tcPr>
          <w:p>
            <w:pPr>
              <w:spacing w:after="0"/>
              <w:rPr>
                <w:sz w:val="16"/>
                <w:szCs w:val="16"/>
                <w:color w:val="auto"/>
              </w:rPr>
            </w:pPr>
          </w:p>
        </w:tc>
        <w:tc>
          <w:tcPr>
            <w:tcW w:w="406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margin</w:t>
            </w:r>
          </w:p>
        </w:tc>
        <w:tc>
          <w:tcPr>
            <w:tcW w:w="320" w:type="dxa"/>
            <w:vAlign w:val="bottom"/>
            <w:shd w:val="clear" w:color="auto" w:fill="DCE2EF"/>
          </w:tcPr>
          <w:p>
            <w:pPr>
              <w:spacing w:after="0"/>
              <w:rPr>
                <w:sz w:val="16"/>
                <w:szCs w:val="16"/>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7.2 %</w:t>
            </w:r>
          </w:p>
        </w:tc>
        <w:tc>
          <w:tcPr>
            <w:tcW w:w="10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(5.1)%</w:t>
            </w:r>
          </w:p>
        </w:tc>
        <w:tc>
          <w:tcPr>
            <w:tcW w:w="120" w:type="dxa"/>
            <w:vAlign w:val="bottom"/>
            <w:shd w:val="clear" w:color="auto" w:fill="DCE2EF"/>
          </w:tcPr>
          <w:p>
            <w:pPr>
              <w:spacing w:after="0"/>
              <w:rPr>
                <w:sz w:val="16"/>
                <w:szCs w:val="16"/>
                <w:color w:val="auto"/>
              </w:rPr>
            </w:pPr>
          </w:p>
        </w:tc>
        <w:tc>
          <w:tcPr>
            <w:tcW w:w="340" w:type="dxa"/>
            <w:vAlign w:val="bottom"/>
            <w:shd w:val="clear" w:color="auto" w:fill="DCE2EF"/>
          </w:tcPr>
          <w:p>
            <w:pPr>
              <w:spacing w:after="0"/>
              <w:rPr>
                <w:sz w:val="16"/>
                <w:szCs w:val="16"/>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4.6 %</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NM*</w:t>
            </w:r>
          </w:p>
        </w:tc>
        <w:tc>
          <w:tcPr>
            <w:tcW w:w="1380" w:type="dxa"/>
            <w:vAlign w:val="bottom"/>
            <w:shd w:val="clear" w:color="auto" w:fill="DCE2E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Aviation</w:t>
            </w:r>
          </w:p>
        </w:tc>
        <w:tc>
          <w:tcPr>
            <w:tcW w:w="32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92.1</w:t>
            </w:r>
          </w:p>
        </w:tc>
        <w:tc>
          <w:tcPr>
            <w:tcW w:w="1380" w:type="dxa"/>
            <w:vAlign w:val="bottom"/>
          </w:tcPr>
          <w:p>
            <w:pPr>
              <w:ind w:left="580"/>
              <w:spacing w:after="0"/>
              <w:rPr>
                <w:sz w:val="20"/>
                <w:szCs w:val="20"/>
                <w:color w:val="auto"/>
              </w:rPr>
            </w:pPr>
            <w:r>
              <w:rPr>
                <w:rFonts w:ascii="Arial" w:cs="Arial" w:eastAsia="Arial" w:hAnsi="Arial"/>
                <w:sz w:val="16"/>
                <w:szCs w:val="16"/>
                <w:color w:val="auto"/>
              </w:rPr>
              <w:t>NM*</w:t>
            </w:r>
          </w:p>
        </w:tc>
      </w:tr>
      <w:tr>
        <w:trPr>
          <w:trHeight w:val="192"/>
        </w:trPr>
        <w:tc>
          <w:tcPr>
            <w:tcW w:w="20" w:type="dxa"/>
            <w:vAlign w:val="bottom"/>
            <w:shd w:val="clear" w:color="auto" w:fill="DCE2EF"/>
          </w:tcPr>
          <w:p>
            <w:pPr>
              <w:spacing w:after="0"/>
              <w:rPr>
                <w:sz w:val="16"/>
                <w:szCs w:val="16"/>
                <w:color w:val="auto"/>
              </w:rPr>
            </w:pPr>
          </w:p>
        </w:tc>
        <w:tc>
          <w:tcPr>
            <w:tcW w:w="406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margin</w:t>
            </w:r>
          </w:p>
        </w:tc>
        <w:tc>
          <w:tcPr>
            <w:tcW w:w="320" w:type="dxa"/>
            <w:vAlign w:val="bottom"/>
            <w:shd w:val="clear" w:color="auto" w:fill="DCE2EF"/>
          </w:tcPr>
          <w:p>
            <w:pPr>
              <w:spacing w:after="0"/>
              <w:rPr>
                <w:sz w:val="16"/>
                <w:szCs w:val="16"/>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4.9 %</w:t>
            </w:r>
          </w:p>
        </w:tc>
        <w:tc>
          <w:tcPr>
            <w:tcW w:w="10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(8.7)%</w:t>
            </w:r>
          </w:p>
        </w:tc>
        <w:tc>
          <w:tcPr>
            <w:tcW w:w="120" w:type="dxa"/>
            <w:vAlign w:val="bottom"/>
            <w:shd w:val="clear" w:color="auto" w:fill="DCE2EF"/>
          </w:tcPr>
          <w:p>
            <w:pPr>
              <w:spacing w:after="0"/>
              <w:rPr>
                <w:sz w:val="16"/>
                <w:szCs w:val="16"/>
                <w:color w:val="auto"/>
              </w:rPr>
            </w:pPr>
          </w:p>
        </w:tc>
        <w:tc>
          <w:tcPr>
            <w:tcW w:w="340" w:type="dxa"/>
            <w:vAlign w:val="bottom"/>
            <w:shd w:val="clear" w:color="auto" w:fill="DCE2EF"/>
          </w:tcPr>
          <w:p>
            <w:pPr>
              <w:spacing w:after="0"/>
              <w:rPr>
                <w:sz w:val="16"/>
                <w:szCs w:val="16"/>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2.1 %</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NM*</w:t>
            </w:r>
          </w:p>
        </w:tc>
        <w:tc>
          <w:tcPr>
            <w:tcW w:w="1380" w:type="dxa"/>
            <w:vAlign w:val="bottom"/>
            <w:shd w:val="clear" w:color="auto" w:fill="DCE2E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Technical Solutions</w:t>
            </w:r>
          </w:p>
        </w:tc>
        <w:tc>
          <w:tcPr>
            <w:tcW w:w="32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01"/>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40.3</w:t>
            </w:r>
          </w:p>
        </w:tc>
        <w:tc>
          <w:tcPr>
            <w:tcW w:w="1380" w:type="dxa"/>
            <w:vAlign w:val="bottom"/>
          </w:tcPr>
          <w:p>
            <w:pPr>
              <w:ind w:left="580"/>
              <w:spacing w:after="0"/>
              <w:rPr>
                <w:sz w:val="20"/>
                <w:szCs w:val="20"/>
                <w:color w:val="auto"/>
              </w:rPr>
            </w:pPr>
            <w:r>
              <w:rPr>
                <w:rFonts w:ascii="Arial" w:cs="Arial" w:eastAsia="Arial" w:hAnsi="Arial"/>
                <w:sz w:val="16"/>
                <w:szCs w:val="16"/>
                <w:color w:val="auto"/>
              </w:rPr>
              <w:t>NM*</w:t>
            </w:r>
          </w:p>
        </w:tc>
      </w:tr>
      <w:tr>
        <w:trPr>
          <w:trHeight w:val="192"/>
        </w:trPr>
        <w:tc>
          <w:tcPr>
            <w:tcW w:w="20" w:type="dxa"/>
            <w:vAlign w:val="bottom"/>
            <w:shd w:val="clear" w:color="auto" w:fill="DCE2EF"/>
          </w:tcPr>
          <w:p>
            <w:pPr>
              <w:spacing w:after="0"/>
              <w:rPr>
                <w:sz w:val="16"/>
                <w:szCs w:val="16"/>
                <w:color w:val="auto"/>
              </w:rPr>
            </w:pPr>
          </w:p>
        </w:tc>
        <w:tc>
          <w:tcPr>
            <w:tcW w:w="406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shd w:val="clear" w:color="auto" w:fill="DCE2EF"/>
          </w:tcPr>
          <w:p>
            <w:pPr>
              <w:spacing w:after="0"/>
              <w:rPr>
                <w:sz w:val="16"/>
                <w:szCs w:val="16"/>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9.3 %</w:t>
            </w:r>
          </w:p>
        </w:tc>
        <w:tc>
          <w:tcPr>
            <w:tcW w:w="10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1.9 %</w:t>
            </w:r>
          </w:p>
        </w:tc>
        <w:tc>
          <w:tcPr>
            <w:tcW w:w="120" w:type="dxa"/>
            <w:vAlign w:val="bottom"/>
            <w:shd w:val="clear" w:color="auto" w:fill="DCE2EF"/>
          </w:tcPr>
          <w:p>
            <w:pPr>
              <w:spacing w:after="0"/>
              <w:rPr>
                <w:sz w:val="16"/>
                <w:szCs w:val="16"/>
                <w:color w:val="auto"/>
              </w:rPr>
            </w:pPr>
          </w:p>
        </w:tc>
        <w:tc>
          <w:tcPr>
            <w:tcW w:w="340" w:type="dxa"/>
            <w:vAlign w:val="bottom"/>
            <w:shd w:val="clear" w:color="auto" w:fill="DCE2EF"/>
          </w:tcPr>
          <w:p>
            <w:pPr>
              <w:spacing w:after="0"/>
              <w:rPr>
                <w:sz w:val="16"/>
                <w:szCs w:val="16"/>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9.3 %</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745 bps</w:t>
            </w:r>
          </w:p>
        </w:tc>
        <w:tc>
          <w:tcPr>
            <w:tcW w:w="1380" w:type="dxa"/>
            <w:vAlign w:val="bottom"/>
            <w:shd w:val="clear" w:color="auto" w:fill="DCE2E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Government Services</w:t>
            </w:r>
          </w:p>
        </w:tc>
        <w:tc>
          <w:tcPr>
            <w:tcW w:w="320" w:type="dxa"/>
            <w:vAlign w:val="bottom"/>
          </w:tcPr>
          <w:p>
            <w:pPr>
              <w:spacing w:after="0"/>
              <w:rPr>
                <w:sz w:val="18"/>
                <w:szCs w:val="18"/>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c>
          <w:tcPr>
            <w:tcW w:w="1380" w:type="dxa"/>
            <w:vAlign w:val="bottom"/>
          </w:tcPr>
          <w:p>
            <w:pPr>
              <w:ind w:left="580"/>
              <w:spacing w:after="0"/>
              <w:rPr>
                <w:sz w:val="20"/>
                <w:szCs w:val="20"/>
                <w:color w:val="auto"/>
              </w:rPr>
            </w:pPr>
            <w:r>
              <w:rPr>
                <w:rFonts w:ascii="Arial" w:cs="Arial" w:eastAsia="Arial" w:hAnsi="Arial"/>
                <w:sz w:val="16"/>
                <w:szCs w:val="16"/>
                <w:color w:val="auto"/>
              </w:rPr>
              <w:t>NM*</w:t>
            </w:r>
          </w:p>
        </w:tc>
      </w:tr>
      <w:tr>
        <w:trPr>
          <w:trHeight w:val="192"/>
        </w:trPr>
        <w:tc>
          <w:tcPr>
            <w:tcW w:w="20" w:type="dxa"/>
            <w:vAlign w:val="bottom"/>
            <w:shd w:val="clear" w:color="auto" w:fill="DCE2EF"/>
          </w:tcPr>
          <w:p>
            <w:pPr>
              <w:spacing w:after="0"/>
              <w:rPr>
                <w:sz w:val="16"/>
                <w:szCs w:val="16"/>
                <w:color w:val="auto"/>
              </w:rPr>
            </w:pPr>
          </w:p>
        </w:tc>
        <w:tc>
          <w:tcPr>
            <w:tcW w:w="406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shd w:val="clear" w:color="auto" w:fill="DCE2EF"/>
          </w:tcPr>
          <w:p>
            <w:pPr>
              <w:spacing w:after="0"/>
              <w:rPr>
                <w:sz w:val="16"/>
                <w:szCs w:val="16"/>
                <w:color w:val="auto"/>
              </w:rPr>
            </w:pPr>
          </w:p>
        </w:tc>
        <w:tc>
          <w:tcPr>
            <w:tcW w:w="1180" w:type="dxa"/>
            <w:vAlign w:val="bottom"/>
            <w:gridSpan w:val="2"/>
            <w:shd w:val="clear" w:color="auto" w:fill="DCE2EF"/>
          </w:tcPr>
          <w:p>
            <w:pPr>
              <w:ind w:left="780"/>
              <w:spacing w:after="0"/>
              <w:rPr>
                <w:sz w:val="20"/>
                <w:szCs w:val="20"/>
                <w:color w:val="auto"/>
              </w:rPr>
            </w:pPr>
            <w:r>
              <w:rPr>
                <w:rFonts w:ascii="Arial" w:cs="Arial" w:eastAsia="Arial" w:hAnsi="Arial"/>
                <w:sz w:val="14"/>
                <w:szCs w:val="14"/>
                <w:i w:val="1"/>
                <w:iCs w:val="1"/>
                <w:color w:val="auto"/>
              </w:rPr>
              <w:t>NM*</w:t>
            </w:r>
          </w:p>
        </w:tc>
        <w:tc>
          <w:tcPr>
            <w:tcW w:w="320" w:type="dxa"/>
            <w:vAlign w:val="bottom"/>
            <w:shd w:val="clear" w:color="auto" w:fill="DCE2EF"/>
          </w:tcPr>
          <w:p>
            <w:pPr>
              <w:spacing w:after="0"/>
              <w:rPr>
                <w:sz w:val="16"/>
                <w:szCs w:val="16"/>
                <w:color w:val="auto"/>
              </w:rPr>
            </w:pPr>
          </w:p>
        </w:tc>
        <w:tc>
          <w:tcPr>
            <w:tcW w:w="1200" w:type="dxa"/>
            <w:vAlign w:val="bottom"/>
            <w:gridSpan w:val="2"/>
            <w:shd w:val="clear" w:color="auto" w:fill="DCE2EF"/>
          </w:tcPr>
          <w:p>
            <w:pPr>
              <w:ind w:left="780"/>
              <w:spacing w:after="0"/>
              <w:rPr>
                <w:sz w:val="20"/>
                <w:szCs w:val="20"/>
                <w:color w:val="auto"/>
              </w:rPr>
            </w:pPr>
            <w:r>
              <w:rPr>
                <w:rFonts w:ascii="Arial" w:cs="Arial" w:eastAsia="Arial" w:hAnsi="Arial"/>
                <w:sz w:val="14"/>
                <w:szCs w:val="14"/>
                <w:i w:val="1"/>
                <w:iCs w:val="1"/>
                <w:color w:val="auto"/>
              </w:rPr>
              <w:t>NM*</w:t>
            </w:r>
          </w:p>
        </w:tc>
        <w:tc>
          <w:tcPr>
            <w:tcW w:w="340" w:type="dxa"/>
            <w:vAlign w:val="bottom"/>
            <w:shd w:val="clear" w:color="auto" w:fill="DCE2EF"/>
          </w:tcPr>
          <w:p>
            <w:pPr>
              <w:spacing w:after="0"/>
              <w:rPr>
                <w:sz w:val="16"/>
                <w:szCs w:val="16"/>
                <w:color w:val="auto"/>
              </w:rPr>
            </w:pPr>
          </w:p>
        </w:tc>
        <w:tc>
          <w:tcPr>
            <w:tcW w:w="1160" w:type="dxa"/>
            <w:vAlign w:val="bottom"/>
            <w:gridSpan w:val="2"/>
            <w:shd w:val="clear" w:color="auto" w:fill="DCE2EF"/>
          </w:tcPr>
          <w:p>
            <w:pPr>
              <w:ind w:left="760"/>
              <w:spacing w:after="0"/>
              <w:rPr>
                <w:sz w:val="20"/>
                <w:szCs w:val="20"/>
                <w:color w:val="auto"/>
              </w:rPr>
            </w:pPr>
            <w:r>
              <w:rPr>
                <w:rFonts w:ascii="Arial" w:cs="Arial" w:eastAsia="Arial" w:hAnsi="Arial"/>
                <w:sz w:val="14"/>
                <w:szCs w:val="14"/>
                <w:i w:val="1"/>
                <w:iCs w:val="1"/>
                <w:color w:val="auto"/>
              </w:rPr>
              <w:t>NM*</w:t>
            </w:r>
          </w:p>
        </w:tc>
        <w:tc>
          <w:tcPr>
            <w:tcW w:w="300" w:type="dxa"/>
            <w:vAlign w:val="bottom"/>
            <w:shd w:val="clear" w:color="auto" w:fill="DCE2EF"/>
          </w:tcPr>
          <w:p>
            <w:pPr>
              <w:spacing w:after="0"/>
              <w:rPr>
                <w:sz w:val="16"/>
                <w:szCs w:val="16"/>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NM*</w:t>
            </w:r>
          </w:p>
        </w:tc>
        <w:tc>
          <w:tcPr>
            <w:tcW w:w="1380" w:type="dxa"/>
            <w:vAlign w:val="bottom"/>
            <w:shd w:val="clear" w:color="auto" w:fill="DCE2E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Corporate</w:t>
            </w:r>
          </w:p>
        </w:tc>
        <w:tc>
          <w:tcPr>
            <w:tcW w:w="320" w:type="dxa"/>
            <w:vAlign w:val="bottom"/>
          </w:tcPr>
          <w:p>
            <w:pPr>
              <w:spacing w:after="0"/>
              <w:rPr>
                <w:sz w:val="18"/>
                <w:szCs w:val="18"/>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(374.6)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(146.9)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(159.0)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(227.7)</w:t>
            </w:r>
          </w:p>
        </w:tc>
        <w:tc>
          <w:tcPr>
            <w:tcW w:w="1380" w:type="dxa"/>
            <w:vAlign w:val="bottom"/>
          </w:tcPr>
          <w:p>
            <w:pPr>
              <w:ind w:left="580"/>
              <w:spacing w:after="0"/>
              <w:rPr>
                <w:sz w:val="20"/>
                <w:szCs w:val="20"/>
                <w:color w:val="auto"/>
              </w:rPr>
            </w:pPr>
            <w:r>
              <w:rPr>
                <w:rFonts w:ascii="Arial" w:cs="Arial" w:eastAsia="Arial" w:hAnsi="Arial"/>
                <w:sz w:val="16"/>
                <w:szCs w:val="16"/>
                <w:color w:val="auto"/>
              </w:rPr>
              <w:t>NM*</w:t>
            </w:r>
          </w:p>
        </w:tc>
      </w:tr>
      <w:tr>
        <w:trPr>
          <w:trHeight w:val="180"/>
        </w:trPr>
        <w:tc>
          <w:tcPr>
            <w:tcW w:w="20" w:type="dxa"/>
            <w:vAlign w:val="bottom"/>
            <w:shd w:val="clear" w:color="auto" w:fill="DCE2EF"/>
          </w:tcPr>
          <w:p>
            <w:pPr>
              <w:spacing w:after="0"/>
              <w:rPr>
                <w:sz w:val="15"/>
                <w:szCs w:val="15"/>
                <w:color w:val="auto"/>
              </w:rPr>
            </w:pPr>
          </w:p>
        </w:tc>
        <w:tc>
          <w:tcPr>
            <w:tcW w:w="4060" w:type="dxa"/>
            <w:vAlign w:val="bottom"/>
            <w:gridSpan w:val="2"/>
            <w:shd w:val="clear" w:color="auto" w:fill="DCE2EF"/>
          </w:tcPr>
          <w:p>
            <w:pPr>
              <w:ind w:left="60"/>
              <w:spacing w:after="0" w:line="181" w:lineRule="exact"/>
              <w:rPr>
                <w:sz w:val="20"/>
                <w:szCs w:val="20"/>
                <w:color w:val="auto"/>
              </w:rPr>
            </w:pPr>
            <w:r>
              <w:rPr>
                <w:rFonts w:ascii="Arial" w:cs="Arial" w:eastAsia="Arial" w:hAnsi="Arial"/>
                <w:sz w:val="16"/>
                <w:szCs w:val="16"/>
                <w:color w:val="auto"/>
              </w:rPr>
              <w:t>Adjustment for income from unconsolidated</w:t>
            </w:r>
          </w:p>
        </w:tc>
        <w:tc>
          <w:tcPr>
            <w:tcW w:w="320" w:type="dxa"/>
            <w:vAlign w:val="bottom"/>
            <w:shd w:val="clear" w:color="auto" w:fill="DCE2EF"/>
          </w:tcPr>
          <w:p>
            <w:pPr>
              <w:spacing w:after="0"/>
              <w:rPr>
                <w:sz w:val="15"/>
                <w:szCs w:val="15"/>
                <w:color w:val="auto"/>
              </w:rPr>
            </w:pPr>
          </w:p>
        </w:tc>
        <w:tc>
          <w:tcPr>
            <w:tcW w:w="10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20" w:type="dxa"/>
            <w:vAlign w:val="bottom"/>
            <w:shd w:val="clear" w:color="auto" w:fill="DCE2EF"/>
          </w:tcPr>
          <w:p>
            <w:pPr>
              <w:spacing w:after="0"/>
              <w:rPr>
                <w:sz w:val="15"/>
                <w:szCs w:val="15"/>
                <w:color w:val="auto"/>
              </w:rPr>
            </w:pPr>
          </w:p>
        </w:tc>
        <w:tc>
          <w:tcPr>
            <w:tcW w:w="108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340" w:type="dxa"/>
            <w:vAlign w:val="bottom"/>
            <w:shd w:val="clear" w:color="auto" w:fill="DCE2EF"/>
          </w:tcPr>
          <w:p>
            <w:pPr>
              <w:spacing w:after="0"/>
              <w:rPr>
                <w:sz w:val="15"/>
                <w:szCs w:val="15"/>
                <w:color w:val="auto"/>
              </w:rPr>
            </w:pPr>
          </w:p>
        </w:tc>
        <w:tc>
          <w:tcPr>
            <w:tcW w:w="10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960" w:type="dxa"/>
            <w:vAlign w:val="bottom"/>
            <w:shd w:val="clear" w:color="auto" w:fill="DCE2EF"/>
          </w:tcPr>
          <w:p>
            <w:pPr>
              <w:spacing w:after="0"/>
              <w:rPr>
                <w:sz w:val="15"/>
                <w:szCs w:val="15"/>
                <w:color w:val="auto"/>
              </w:rPr>
            </w:pPr>
          </w:p>
        </w:tc>
        <w:tc>
          <w:tcPr>
            <w:tcW w:w="1380" w:type="dxa"/>
            <w:vAlign w:val="bottom"/>
            <w:shd w:val="clear" w:color="auto" w:fill="DCE2EF"/>
          </w:tcPr>
          <w:p>
            <w:pPr>
              <w:spacing w:after="0"/>
              <w:rPr>
                <w:sz w:val="15"/>
                <w:szCs w:val="15"/>
                <w:color w:val="auto"/>
              </w:rPr>
            </w:pPr>
          </w:p>
        </w:tc>
      </w:tr>
      <w:tr>
        <w:trPr>
          <w:trHeight w:val="201"/>
        </w:trPr>
        <w:tc>
          <w:tcPr>
            <w:tcW w:w="20" w:type="dxa"/>
            <w:vAlign w:val="bottom"/>
            <w:shd w:val="clear" w:color="auto" w:fill="DCE2EF"/>
          </w:tcPr>
          <w:p>
            <w:pPr>
              <w:spacing w:after="0"/>
              <w:rPr>
                <w:sz w:val="17"/>
                <w:szCs w:val="17"/>
                <w:color w:val="auto"/>
              </w:rPr>
            </w:pPr>
          </w:p>
        </w:tc>
        <w:tc>
          <w:tcPr>
            <w:tcW w:w="4060" w:type="dxa"/>
            <w:vAlign w:val="bottom"/>
            <w:gridSpan w:val="2"/>
            <w:shd w:val="clear" w:color="auto" w:fill="DCE2EF"/>
          </w:tcPr>
          <w:p>
            <w:pPr>
              <w:ind w:left="60"/>
              <w:spacing w:after="0"/>
              <w:rPr>
                <w:sz w:val="20"/>
                <w:szCs w:val="20"/>
                <w:color w:val="auto"/>
              </w:rPr>
            </w:pPr>
            <w:r>
              <w:rPr>
                <w:rFonts w:ascii="Arial" w:cs="Arial" w:eastAsia="Arial" w:hAnsi="Arial"/>
                <w:sz w:val="16"/>
                <w:szCs w:val="16"/>
                <w:color w:val="auto"/>
              </w:rPr>
              <w:t>affiliates, included in Aviation</w:t>
            </w:r>
          </w:p>
        </w:tc>
        <w:tc>
          <w:tcPr>
            <w:tcW w:w="320" w:type="dxa"/>
            <w:vAlign w:val="bottom"/>
            <w:shd w:val="clear" w:color="auto" w:fill="DCE2EF"/>
          </w:tcPr>
          <w:p>
            <w:pPr>
              <w:spacing w:after="0"/>
              <w:rPr>
                <w:sz w:val="17"/>
                <w:szCs w:val="17"/>
                <w:color w:val="auto"/>
              </w:rPr>
            </w:pPr>
          </w:p>
        </w:tc>
        <w:tc>
          <w:tcPr>
            <w:tcW w:w="108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(2.1)</w:t>
            </w: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080" w:type="dxa"/>
            <w:vAlign w:val="bottom"/>
            <w:shd w:val="clear" w:color="auto" w:fill="DCE2EF"/>
          </w:tcPr>
          <w:p>
            <w:pPr>
              <w:jc w:val="right"/>
              <w:ind w:right="61"/>
              <w:spacing w:after="0"/>
              <w:rPr>
                <w:sz w:val="20"/>
                <w:szCs w:val="20"/>
                <w:color w:val="auto"/>
              </w:rPr>
            </w:pPr>
            <w:r>
              <w:rPr>
                <w:rFonts w:ascii="Arial" w:cs="Arial" w:eastAsia="Arial" w:hAnsi="Arial"/>
                <w:sz w:val="16"/>
                <w:szCs w:val="16"/>
                <w:color w:val="auto"/>
              </w:rPr>
              <w:t>(2.2)</w:t>
            </w:r>
          </w:p>
        </w:tc>
        <w:tc>
          <w:tcPr>
            <w:tcW w:w="12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060" w:type="dxa"/>
            <w:vAlign w:val="bottom"/>
            <w:shd w:val="clear" w:color="auto" w:fill="DCE2EF"/>
          </w:tcPr>
          <w:p>
            <w:pPr>
              <w:jc w:val="right"/>
              <w:ind w:right="61"/>
              <w:spacing w:after="0"/>
              <w:rPr>
                <w:sz w:val="20"/>
                <w:szCs w:val="20"/>
                <w:color w:val="auto"/>
              </w:rPr>
            </w:pPr>
            <w:r>
              <w:rPr>
                <w:rFonts w:ascii="Arial" w:cs="Arial" w:eastAsia="Arial" w:hAnsi="Arial"/>
                <w:sz w:val="16"/>
                <w:szCs w:val="16"/>
                <w:color w:val="auto"/>
              </w:rPr>
              <w:t>(3.0)</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138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3.9%</w:t>
            </w:r>
          </w:p>
        </w:tc>
      </w:tr>
      <w:tr>
        <w:trPr>
          <w:trHeight w:val="177"/>
        </w:trPr>
        <w:tc>
          <w:tcPr>
            <w:tcW w:w="20" w:type="dxa"/>
            <w:vAlign w:val="bottom"/>
          </w:tcPr>
          <w:p>
            <w:pPr>
              <w:spacing w:after="0"/>
              <w:rPr>
                <w:sz w:val="15"/>
                <w:szCs w:val="15"/>
                <w:color w:val="auto"/>
              </w:rPr>
            </w:pPr>
          </w:p>
        </w:tc>
        <w:tc>
          <w:tcPr>
            <w:tcW w:w="4060" w:type="dxa"/>
            <w:vAlign w:val="bottom"/>
            <w:gridSpan w:val="2"/>
          </w:tcPr>
          <w:p>
            <w:pPr>
              <w:ind w:left="60"/>
              <w:spacing w:after="0" w:line="178" w:lineRule="exact"/>
              <w:rPr>
                <w:sz w:val="20"/>
                <w:szCs w:val="20"/>
                <w:color w:val="auto"/>
              </w:rPr>
            </w:pPr>
            <w:r>
              <w:rPr>
                <w:rFonts w:ascii="Arial" w:cs="Arial" w:eastAsia="Arial" w:hAnsi="Arial"/>
                <w:sz w:val="16"/>
                <w:szCs w:val="16"/>
                <w:color w:val="auto"/>
              </w:rPr>
              <w:t>Adjustment for tax deductions for energy</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4060" w:type="dxa"/>
            <w:vAlign w:val="bottom"/>
            <w:gridSpan w:val="2"/>
          </w:tcPr>
          <w:p>
            <w:pPr>
              <w:ind w:left="60"/>
              <w:spacing w:after="0" w:line="162" w:lineRule="exact"/>
              <w:rPr>
                <w:sz w:val="20"/>
                <w:szCs w:val="20"/>
                <w:color w:val="auto"/>
              </w:rPr>
            </w:pPr>
            <w:r>
              <w:rPr>
                <w:rFonts w:ascii="Arial" w:cs="Arial" w:eastAsia="Arial" w:hAnsi="Arial"/>
                <w:sz w:val="16"/>
                <w:szCs w:val="16"/>
                <w:color w:val="auto"/>
              </w:rPr>
              <w:t>efficient government buildings, included in</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8"/>
        </w:trPr>
        <w:tc>
          <w:tcPr>
            <w:tcW w:w="20" w:type="dxa"/>
            <w:vAlign w:val="bottom"/>
            <w:tcBorders>
              <w:bottom w:val="single" w:sz="8" w:color="DCE2EF"/>
            </w:tcBorders>
          </w:tcPr>
          <w:p>
            <w:pPr>
              <w:spacing w:after="0"/>
              <w:rPr>
                <w:sz w:val="17"/>
                <w:szCs w:val="17"/>
                <w:color w:val="auto"/>
              </w:rPr>
            </w:pPr>
          </w:p>
        </w:tc>
        <w:tc>
          <w:tcPr>
            <w:tcW w:w="4060" w:type="dxa"/>
            <w:vAlign w:val="bottom"/>
            <w:tcBorders>
              <w:bottom w:val="single" w:sz="8" w:color="DCE2EF"/>
            </w:tcBorders>
            <w:gridSpan w:val="2"/>
          </w:tcPr>
          <w:p>
            <w:pPr>
              <w:ind w:left="60"/>
              <w:spacing w:after="0"/>
              <w:rPr>
                <w:sz w:val="20"/>
                <w:szCs w:val="20"/>
                <w:color w:val="auto"/>
              </w:rPr>
            </w:pPr>
            <w:r>
              <w:rPr>
                <w:rFonts w:ascii="Arial" w:cs="Arial" w:eastAsia="Arial" w:hAnsi="Arial"/>
                <w:sz w:val="16"/>
                <w:szCs w:val="16"/>
                <w:color w:val="auto"/>
              </w:rPr>
              <w:t>Technical Solutions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DCE2E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DCE2E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380" w:type="dxa"/>
            <w:vAlign w:val="bottom"/>
            <w:tcBorders>
              <w:bottom w:val="single" w:sz="8" w:color="DCE2EF"/>
            </w:tcBorders>
          </w:tcPr>
          <w:p>
            <w:pPr>
              <w:jc w:val="center"/>
              <w:ind w:left="39"/>
              <w:spacing w:after="0"/>
              <w:rPr>
                <w:sz w:val="20"/>
                <w:szCs w:val="20"/>
                <w:color w:val="auto"/>
              </w:rPr>
            </w:pPr>
            <w:r>
              <w:rPr>
                <w:rFonts w:ascii="Arial" w:cs="Arial" w:eastAsia="Arial" w:hAnsi="Arial"/>
                <w:sz w:val="16"/>
                <w:szCs w:val="16"/>
                <w:color w:val="auto"/>
              </w:rPr>
              <w:t>44.2%</w:t>
            </w:r>
          </w:p>
        </w:tc>
      </w:tr>
      <w:tr>
        <w:trPr>
          <w:trHeight w:val="238"/>
        </w:trPr>
        <w:tc>
          <w:tcPr>
            <w:tcW w:w="20" w:type="dxa"/>
            <w:vAlign w:val="bottom"/>
            <w:tcBorders>
              <w:bottom w:val="single" w:sz="8" w:color="DCE2EF"/>
            </w:tcBorders>
            <w:shd w:val="clear" w:color="auto" w:fill="DCE2EF"/>
          </w:tcPr>
          <w:p>
            <w:pPr>
              <w:spacing w:after="0"/>
              <w:rPr>
                <w:sz w:val="20"/>
                <w:szCs w:val="20"/>
                <w:color w:val="auto"/>
              </w:rPr>
            </w:pPr>
          </w:p>
        </w:tc>
        <w:tc>
          <w:tcPr>
            <w:tcW w:w="820" w:type="dxa"/>
            <w:vAlign w:val="bottom"/>
            <w:tcBorders>
              <w:bottom w:val="single" w:sz="8" w:color="DCE2EF"/>
            </w:tcBorders>
            <w:shd w:val="clear" w:color="auto" w:fill="DCE2EF"/>
          </w:tcPr>
          <w:p>
            <w:pPr>
              <w:spacing w:after="0"/>
              <w:rPr>
                <w:sz w:val="20"/>
                <w:szCs w:val="20"/>
                <w:color w:val="auto"/>
              </w:rPr>
            </w:pPr>
          </w:p>
        </w:tc>
        <w:tc>
          <w:tcPr>
            <w:tcW w:w="3240" w:type="dxa"/>
            <w:vAlign w:val="bottom"/>
            <w:tcBorders>
              <w:bottom w:val="single" w:sz="8" w:color="DCE2EF"/>
            </w:tcBorders>
            <w:shd w:val="clear" w:color="auto" w:fill="DCE2EF"/>
          </w:tcPr>
          <w:p>
            <w:pPr>
              <w:spacing w:after="0"/>
              <w:rPr>
                <w:sz w:val="20"/>
                <w:szCs w:val="20"/>
                <w:color w:val="auto"/>
              </w:rPr>
            </w:pPr>
          </w:p>
        </w:tc>
        <w:tc>
          <w:tcPr>
            <w:tcW w:w="320" w:type="dxa"/>
            <w:vAlign w:val="bottom"/>
            <w:tcBorders>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CE2EF"/>
          </w:tcPr>
          <w:p>
            <w:pPr>
              <w:jc w:val="right"/>
              <w:ind w:right="121"/>
              <w:spacing w:after="0"/>
              <w:rPr>
                <w:sz w:val="20"/>
                <w:szCs w:val="20"/>
                <w:color w:val="auto"/>
              </w:rPr>
            </w:pPr>
            <w:r>
              <w:rPr>
                <w:rFonts w:ascii="Arial" w:cs="Arial" w:eastAsia="Arial" w:hAnsi="Arial"/>
                <w:sz w:val="16"/>
                <w:szCs w:val="16"/>
                <w:color w:val="auto"/>
              </w:rPr>
              <w:t>206.3</w:t>
            </w:r>
          </w:p>
        </w:tc>
        <w:tc>
          <w:tcPr>
            <w:tcW w:w="100" w:type="dxa"/>
            <w:vAlign w:val="bottom"/>
            <w:tcBorders>
              <w:bottom w:val="single" w:sz="8" w:color="DCE2EF"/>
            </w:tcBorders>
            <w:shd w:val="clear" w:color="auto" w:fill="DCE2EF"/>
          </w:tcPr>
          <w:p>
            <w:pPr>
              <w:spacing w:after="0"/>
              <w:rPr>
                <w:sz w:val="20"/>
                <w:szCs w:val="20"/>
                <w:color w:val="auto"/>
              </w:rPr>
            </w:pPr>
          </w:p>
        </w:tc>
        <w:tc>
          <w:tcPr>
            <w:tcW w:w="320" w:type="dxa"/>
            <w:vAlign w:val="bottom"/>
            <w:tcBorders>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CE2EF"/>
          </w:tcPr>
          <w:p>
            <w:pPr>
              <w:jc w:val="right"/>
              <w:ind w:right="101"/>
              <w:spacing w:after="0"/>
              <w:rPr>
                <w:sz w:val="20"/>
                <w:szCs w:val="20"/>
                <w:color w:val="auto"/>
              </w:rPr>
            </w:pPr>
            <w:r>
              <w:rPr>
                <w:rFonts w:ascii="Arial" w:cs="Arial" w:eastAsia="Arial" w:hAnsi="Arial"/>
                <w:sz w:val="16"/>
                <w:szCs w:val="16"/>
                <w:color w:val="auto"/>
              </w:rPr>
              <w:t>95.7</w:t>
            </w:r>
          </w:p>
        </w:tc>
        <w:tc>
          <w:tcPr>
            <w:tcW w:w="12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DCE2EF"/>
          </w:tcPr>
          <w:p>
            <w:pPr>
              <w:jc w:val="right"/>
              <w:ind w:right="121"/>
              <w:spacing w:after="0"/>
              <w:rPr>
                <w:sz w:val="20"/>
                <w:szCs w:val="20"/>
                <w:color w:val="auto"/>
              </w:rPr>
            </w:pPr>
            <w:r>
              <w:rPr>
                <w:rFonts w:ascii="Arial" w:cs="Arial" w:eastAsia="Arial" w:hAnsi="Arial"/>
                <w:sz w:val="16"/>
                <w:szCs w:val="16"/>
                <w:color w:val="auto"/>
              </w:rPr>
              <w:t>208.3</w:t>
            </w:r>
          </w:p>
        </w:tc>
        <w:tc>
          <w:tcPr>
            <w:tcW w:w="10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110.6</w:t>
            </w:r>
          </w:p>
        </w:tc>
        <w:tc>
          <w:tcPr>
            <w:tcW w:w="1380" w:type="dxa"/>
            <w:vAlign w:val="bottom"/>
            <w:tcBorders>
              <w:bottom w:val="single" w:sz="8" w:color="DCE2EF"/>
            </w:tcBorders>
            <w:shd w:val="clear" w:color="auto" w:fill="DCE2EF"/>
          </w:tcPr>
          <w:p>
            <w:pPr>
              <w:ind w:left="580"/>
              <w:spacing w:after="0"/>
              <w:rPr>
                <w:sz w:val="20"/>
                <w:szCs w:val="20"/>
                <w:color w:val="auto"/>
              </w:rPr>
            </w:pPr>
            <w:r>
              <w:rPr>
                <w:rFonts w:ascii="Arial" w:cs="Arial" w:eastAsia="Arial" w:hAnsi="Arial"/>
                <w:sz w:val="16"/>
                <w:szCs w:val="16"/>
                <w:color w:val="auto"/>
              </w:rPr>
              <w:t>NM*</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820" w:type="dxa"/>
            <w:vAlign w:val="bottom"/>
            <w:tcBorders>
              <w:top w:val="single" w:sz="8" w:color="DCE2EF"/>
            </w:tcBorders>
          </w:tcPr>
          <w:p>
            <w:pPr>
              <w:spacing w:after="0" w:line="20" w:lineRule="exact"/>
              <w:rPr>
                <w:sz w:val="1"/>
                <w:szCs w:val="1"/>
                <w:color w:val="auto"/>
              </w:rPr>
            </w:pPr>
          </w:p>
        </w:tc>
        <w:tc>
          <w:tcPr>
            <w:tcW w:w="324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0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08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0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960" w:type="dxa"/>
            <w:vAlign w:val="bottom"/>
            <w:tcBorders>
              <w:top w:val="single" w:sz="8" w:color="DCE2EF"/>
              <w:bottom w:val="single" w:sz="8" w:color="auto"/>
            </w:tcBorders>
          </w:tcPr>
          <w:p>
            <w:pPr>
              <w:spacing w:after="0" w:line="20" w:lineRule="exact"/>
              <w:rPr>
                <w:sz w:val="1"/>
                <w:szCs w:val="1"/>
                <w:color w:val="auto"/>
              </w:rPr>
            </w:pPr>
          </w:p>
        </w:tc>
        <w:tc>
          <w:tcPr>
            <w:tcW w:w="1380" w:type="dxa"/>
            <w:vAlign w:val="bottom"/>
            <w:tcBorders>
              <w:top w:val="single" w:sz="8" w:color="DCE2EF"/>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9"/>
        </w:trPr>
        <w:tc>
          <w:tcPr>
            <w:tcW w:w="7800" w:type="dxa"/>
            <w:vAlign w:val="bottom"/>
            <w:gridSpan w:val="9"/>
          </w:tcPr>
          <w:p>
            <w:pPr>
              <w:spacing w:after="0"/>
              <w:rPr>
                <w:sz w:val="20"/>
                <w:szCs w:val="20"/>
                <w:color w:val="auto"/>
              </w:rPr>
            </w:pPr>
            <w:r>
              <w:rPr>
                <w:rFonts w:ascii="Arial" w:cs="Arial" w:eastAsia="Arial" w:hAnsi="Arial"/>
                <w:sz w:val="18"/>
                <w:szCs w:val="18"/>
                <w:b w:val="1"/>
                <w:bCs w:val="1"/>
                <w:i w:val="1"/>
                <w:iCs w:val="1"/>
                <w:color w:val="0046AD"/>
              </w:rPr>
              <w:t>The Year Ended October 31, 2021 Compared with the Year Ended October 31, 2020</w:t>
            </w:r>
          </w:p>
        </w:tc>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b w:val="1"/>
                <w:bCs w:val="1"/>
                <w:i w:val="1"/>
                <w:iCs w:val="1"/>
                <w:color w:val="0046AD"/>
              </w:rPr>
              <w:t>Business &amp; Industry</w:t>
            </w:r>
          </w:p>
        </w:tc>
        <w:tc>
          <w:tcPr>
            <w:tcW w:w="400" w:type="dxa"/>
            <w:vAlign w:val="bottom"/>
          </w:tcPr>
          <w:p>
            <w:pPr>
              <w:spacing w:after="0"/>
              <w:rPr>
                <w:sz w:val="24"/>
                <w:szCs w:val="24"/>
                <w:color w:val="auto"/>
              </w:rPr>
            </w:pPr>
          </w:p>
        </w:tc>
        <w:tc>
          <w:tcPr>
            <w:tcW w:w="3400" w:type="dxa"/>
            <w:vAlign w:val="bottom"/>
            <w:gridSpan w:val="5"/>
            <w:vMerge w:val="restart"/>
          </w:tcPr>
          <w:p>
            <w:pPr>
              <w:ind w:left="380"/>
              <w:spacing w:after="0"/>
              <w:rPr>
                <w:sz w:val="20"/>
                <w:szCs w:val="20"/>
                <w:color w:val="auto"/>
              </w:rPr>
            </w:pPr>
            <w:r>
              <w:rPr>
                <w:rFonts w:ascii="Arial" w:cs="Arial" w:eastAsia="Arial" w:hAnsi="Arial"/>
                <w:sz w:val="18"/>
                <w:szCs w:val="18"/>
                <w:b w:val="1"/>
                <w:bCs w:val="1"/>
                <w:color w:val="auto"/>
              </w:rPr>
              <w:t>Years Ended October 31,</w:t>
            </w:r>
          </w:p>
        </w:tc>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0" w:type="dxa"/>
            <w:vAlign w:val="bottom"/>
            <w:gridSpan w:val="5"/>
            <w:vMerge w:val="continue"/>
          </w:tcPr>
          <w:p>
            <w:pPr>
              <w:spacing w:after="0"/>
              <w:rPr>
                <w:sz w:val="19"/>
                <w:szCs w:val="19"/>
                <w:color w:val="auto"/>
              </w:rPr>
            </w:pPr>
          </w:p>
        </w:tc>
        <w:tc>
          <w:tcPr>
            <w:tcW w:w="6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8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594"/>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595"/>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80" w:type="dxa"/>
            <w:vAlign w:val="bottom"/>
          </w:tcPr>
          <w:p>
            <w:pPr>
              <w:jc w:val="right"/>
              <w:ind w:right="35"/>
              <w:spacing w:after="0" w:line="182" w:lineRule="exact"/>
              <w:rPr>
                <w:sz w:val="20"/>
                <w:szCs w:val="20"/>
                <w:color w:val="auto"/>
              </w:rPr>
            </w:pPr>
            <w:r>
              <w:rPr>
                <w:rFonts w:ascii="Arial" w:cs="Arial" w:eastAsia="Arial" w:hAnsi="Arial"/>
                <w:sz w:val="18"/>
                <w:szCs w:val="18"/>
                <w:b w:val="1"/>
                <w:bCs w:val="1"/>
                <w:color w:val="auto"/>
              </w:rPr>
              <w:t>Increase</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16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39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CE2EF"/>
          </w:tcPr>
          <w:p>
            <w:pPr>
              <w:jc w:val="right"/>
              <w:ind w:right="114"/>
              <w:spacing w:after="0"/>
              <w:rPr>
                <w:sz w:val="20"/>
                <w:szCs w:val="20"/>
                <w:color w:val="auto"/>
              </w:rPr>
            </w:pPr>
            <w:r>
              <w:rPr>
                <w:rFonts w:ascii="Arial" w:cs="Arial" w:eastAsia="Arial" w:hAnsi="Arial"/>
                <w:sz w:val="18"/>
                <w:szCs w:val="18"/>
                <w:color w:val="auto"/>
              </w:rPr>
              <w:t>3,346.5</w:t>
            </w:r>
          </w:p>
        </w:tc>
        <w:tc>
          <w:tcPr>
            <w:tcW w:w="120" w:type="dxa"/>
            <w:vAlign w:val="bottom"/>
            <w:shd w:val="clear" w:color="auto" w:fill="DCE2EF"/>
          </w:tcPr>
          <w:p>
            <w:pPr>
              <w:spacing w:after="0"/>
              <w:rPr>
                <w:sz w:val="19"/>
                <w:szCs w:val="19"/>
                <w:color w:val="auto"/>
              </w:rPr>
            </w:pP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CE2EF"/>
          </w:tcPr>
          <w:p>
            <w:pPr>
              <w:jc w:val="right"/>
              <w:ind w:right="95"/>
              <w:spacing w:after="0"/>
              <w:rPr>
                <w:sz w:val="20"/>
                <w:szCs w:val="20"/>
                <w:color w:val="auto"/>
              </w:rPr>
            </w:pPr>
            <w:r>
              <w:rPr>
                <w:rFonts w:ascii="Arial" w:cs="Arial" w:eastAsia="Arial" w:hAnsi="Arial"/>
                <w:sz w:val="18"/>
                <w:szCs w:val="18"/>
                <w:color w:val="auto"/>
              </w:rPr>
              <w:t>3,157.8</w:t>
            </w:r>
          </w:p>
        </w:tc>
        <w:tc>
          <w:tcPr>
            <w:tcW w:w="120" w:type="dxa"/>
            <w:vAlign w:val="bottom"/>
            <w:shd w:val="clear" w:color="auto" w:fill="DCE2EF"/>
          </w:tcPr>
          <w:p>
            <w:pPr>
              <w:spacing w:after="0"/>
              <w:rPr>
                <w:sz w:val="19"/>
                <w:szCs w:val="19"/>
                <w:color w:val="auto"/>
              </w:rPr>
            </w:pPr>
          </w:p>
        </w:tc>
        <w:tc>
          <w:tcPr>
            <w:tcW w:w="620" w:type="dxa"/>
            <w:vAlign w:val="bottom"/>
            <w:shd w:val="clear" w:color="auto" w:fill="DCE2EF"/>
          </w:tcPr>
          <w:p>
            <w:pPr>
              <w:jc w:val="right"/>
              <w:ind w:right="4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CE2EF"/>
          </w:tcPr>
          <w:p>
            <w:pPr>
              <w:jc w:val="right"/>
              <w:ind w:right="535"/>
              <w:spacing w:after="0"/>
              <w:rPr>
                <w:sz w:val="20"/>
                <w:szCs w:val="20"/>
                <w:color w:val="auto"/>
              </w:rPr>
            </w:pPr>
            <w:r>
              <w:rPr>
                <w:rFonts w:ascii="Arial" w:cs="Arial" w:eastAsia="Arial" w:hAnsi="Arial"/>
                <w:sz w:val="18"/>
                <w:szCs w:val="18"/>
                <w:color w:val="auto"/>
              </w:rPr>
              <w:t>188.7</w:t>
            </w:r>
          </w:p>
        </w:tc>
        <w:tc>
          <w:tcPr>
            <w:tcW w:w="1220" w:type="dxa"/>
            <w:vAlign w:val="bottom"/>
            <w:shd w:val="clear" w:color="auto" w:fill="DCE2EF"/>
          </w:tcPr>
          <w:p>
            <w:pPr>
              <w:jc w:val="right"/>
              <w:ind w:right="53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19"/>
                <w:szCs w:val="19"/>
                <w:color w:val="auto"/>
              </w:rPr>
            </w:pPr>
          </w:p>
        </w:tc>
        <w:tc>
          <w:tcPr>
            <w:tcW w:w="1380" w:type="dxa"/>
            <w:vAlign w:val="bottom"/>
          </w:tcPr>
          <w:p>
            <w:pPr>
              <w:jc w:val="right"/>
              <w:ind w:right="114"/>
              <w:spacing w:after="0"/>
              <w:rPr>
                <w:sz w:val="20"/>
                <w:szCs w:val="20"/>
                <w:color w:val="auto"/>
              </w:rPr>
            </w:pPr>
            <w:r>
              <w:rPr>
                <w:rFonts w:ascii="Arial" w:cs="Arial" w:eastAsia="Arial" w:hAnsi="Arial"/>
                <w:sz w:val="18"/>
                <w:szCs w:val="18"/>
                <w:color w:val="auto"/>
              </w:rPr>
              <w:t>337.8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95"/>
              <w:spacing w:after="0"/>
              <w:rPr>
                <w:sz w:val="20"/>
                <w:szCs w:val="20"/>
                <w:color w:val="auto"/>
              </w:rPr>
            </w:pPr>
            <w:r>
              <w:rPr>
                <w:rFonts w:ascii="Arial" w:cs="Arial" w:eastAsia="Arial" w:hAnsi="Arial"/>
                <w:sz w:val="18"/>
                <w:szCs w:val="18"/>
                <w:color w:val="auto"/>
              </w:rPr>
              <w:t>253.7</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80" w:type="dxa"/>
            <w:vAlign w:val="bottom"/>
          </w:tcPr>
          <w:p>
            <w:pPr>
              <w:jc w:val="right"/>
              <w:ind w:right="535"/>
              <w:spacing w:after="0"/>
              <w:rPr>
                <w:sz w:val="20"/>
                <w:szCs w:val="20"/>
                <w:color w:val="auto"/>
              </w:rPr>
            </w:pPr>
            <w:r>
              <w:rPr>
                <w:rFonts w:ascii="Arial" w:cs="Arial" w:eastAsia="Arial" w:hAnsi="Arial"/>
                <w:sz w:val="18"/>
                <w:szCs w:val="18"/>
                <w:color w:val="auto"/>
              </w:rPr>
              <w:t>84.1</w:t>
            </w: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398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10.1 %</w:t>
            </w:r>
          </w:p>
        </w:tc>
        <w:tc>
          <w:tcPr>
            <w:tcW w:w="120" w:type="dxa"/>
            <w:vAlign w:val="bottom"/>
            <w:shd w:val="clear" w:color="auto" w:fill="DCE2EF"/>
          </w:tcPr>
          <w:p>
            <w:pPr>
              <w:spacing w:after="0"/>
              <w:rPr>
                <w:sz w:val="16"/>
                <w:szCs w:val="16"/>
                <w:color w:val="auto"/>
              </w:rPr>
            </w:pP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8.0 %</w:t>
            </w:r>
          </w:p>
        </w:tc>
        <w:tc>
          <w:tcPr>
            <w:tcW w:w="120" w:type="dxa"/>
            <w:vAlign w:val="bottom"/>
            <w:shd w:val="clear" w:color="auto" w:fill="DCE2EF"/>
          </w:tcPr>
          <w:p>
            <w:pPr>
              <w:spacing w:after="0"/>
              <w:rPr>
                <w:sz w:val="16"/>
                <w:szCs w:val="16"/>
                <w:color w:val="auto"/>
              </w:rPr>
            </w:pPr>
          </w:p>
        </w:tc>
        <w:tc>
          <w:tcPr>
            <w:tcW w:w="620" w:type="dxa"/>
            <w:vAlign w:val="bottom"/>
            <w:shd w:val="clear" w:color="auto" w:fill="DCE2EF"/>
          </w:tcPr>
          <w:p>
            <w:pPr>
              <w:spacing w:after="0"/>
              <w:rPr>
                <w:sz w:val="16"/>
                <w:szCs w:val="16"/>
                <w:color w:val="auto"/>
              </w:rPr>
            </w:pPr>
          </w:p>
        </w:tc>
        <w:tc>
          <w:tcPr>
            <w:tcW w:w="1580" w:type="dxa"/>
            <w:vAlign w:val="bottom"/>
            <w:shd w:val="clear" w:color="auto" w:fill="DCE2EF"/>
          </w:tcPr>
          <w:p>
            <w:pPr>
              <w:jc w:val="right"/>
              <w:ind w:right="475"/>
              <w:spacing w:after="0"/>
              <w:rPr>
                <w:sz w:val="20"/>
                <w:szCs w:val="20"/>
                <w:color w:val="auto"/>
              </w:rPr>
            </w:pPr>
            <w:r>
              <w:rPr>
                <w:rFonts w:ascii="Arial" w:cs="Arial" w:eastAsia="Arial" w:hAnsi="Arial"/>
                <w:sz w:val="14"/>
                <w:szCs w:val="14"/>
                <w:i w:val="1"/>
                <w:iCs w:val="1"/>
                <w:color w:val="auto"/>
              </w:rPr>
              <w:t>206 bps</w:t>
            </w:r>
          </w:p>
        </w:tc>
        <w:tc>
          <w:tcPr>
            <w:tcW w:w="122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B&amp;I revenues increased by $188.7 million, or 6.0%, during 2021, as compared to 2020. The increase was primarily driven by a $101.1 million revenue increase due to the Able Acquisition in the fourth quarter of 2021. The remaining increase was due to an increase in work orders (as a result of the Pandemic) and net new business in our U.K. Operations. Management reimbursement revenues for this segment totaled $185.8 million and $221.4 million during 2021 and 2020, respectively.</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increased by $84.1 million, or 33.1%, during 2021, as compared to 2020. Operating profit margin increased by 206 bps to 10.1% in 2021 from 8.0% in 2020. The increase in operating profit margin was primarily associated with higher margins on certain accounts in both our U.S. and U.K. businesses and an increase in work orders, which have higher margins. Operating margin was also positively impacted by lower insurance expense related to our self-insurance program and a decrease in bad debt expense as higher reserves were recorded in the prior year, mainly associated with increasing credit risk resulting from the Pandemic.</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0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Technology &amp; Manufacturing</w:t>
            </w:r>
          </w:p>
        </w:tc>
        <w:tc>
          <w:tcPr>
            <w:tcW w:w="400" w:type="dxa"/>
            <w:vAlign w:val="bottom"/>
          </w:tcPr>
          <w:p>
            <w:pPr>
              <w:spacing w:after="0"/>
              <w:rPr>
                <w:sz w:val="20"/>
                <w:szCs w:val="20"/>
                <w:color w:val="auto"/>
              </w:rPr>
            </w:pPr>
          </w:p>
        </w:tc>
        <w:tc>
          <w:tcPr>
            <w:tcW w:w="3380" w:type="dxa"/>
            <w:vAlign w:val="bottom"/>
            <w:gridSpan w:val="5"/>
            <w:vMerge w:val="restart"/>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80" w:type="dxa"/>
            <w:vAlign w:val="bottom"/>
            <w:gridSpan w:val="5"/>
            <w:vMerge w:val="continue"/>
          </w:tcPr>
          <w:p>
            <w:pPr>
              <w:spacing w:after="0"/>
              <w:rPr>
                <w:sz w:val="19"/>
                <w:szCs w:val="19"/>
                <w:color w:val="auto"/>
              </w:rPr>
            </w:pPr>
          </w:p>
        </w:tc>
        <w:tc>
          <w:tcPr>
            <w:tcW w:w="6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02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614"/>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595"/>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80" w:type="dxa"/>
            <w:vAlign w:val="bottom"/>
          </w:tcPr>
          <w:p>
            <w:pPr>
              <w:ind w:left="720"/>
              <w:spacing w:after="0" w:line="182" w:lineRule="exact"/>
              <w:rPr>
                <w:sz w:val="20"/>
                <w:szCs w:val="20"/>
                <w:color w:val="auto"/>
              </w:rPr>
            </w:pPr>
            <w:r>
              <w:rPr>
                <w:rFonts w:ascii="Arial" w:cs="Arial" w:eastAsia="Arial" w:hAnsi="Arial"/>
                <w:sz w:val="18"/>
                <w:szCs w:val="18"/>
                <w:b w:val="1"/>
                <w:bCs w:val="1"/>
                <w:color w:val="auto"/>
              </w:rPr>
              <w:t>Increase</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18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2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DCE2EF"/>
          </w:tcPr>
          <w:p>
            <w:pPr>
              <w:jc w:val="right"/>
              <w:ind w:right="114"/>
              <w:spacing w:after="0"/>
              <w:rPr>
                <w:sz w:val="20"/>
                <w:szCs w:val="20"/>
                <w:color w:val="auto"/>
              </w:rPr>
            </w:pPr>
            <w:r>
              <w:rPr>
                <w:rFonts w:ascii="Arial" w:cs="Arial" w:eastAsia="Arial" w:hAnsi="Arial"/>
                <w:sz w:val="18"/>
                <w:szCs w:val="18"/>
                <w:color w:val="auto"/>
              </w:rPr>
              <w:t>987.1</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CE2EF"/>
          </w:tcPr>
          <w:p>
            <w:pPr>
              <w:jc w:val="right"/>
              <w:ind w:right="115"/>
              <w:spacing w:after="0"/>
              <w:rPr>
                <w:sz w:val="20"/>
                <w:szCs w:val="20"/>
                <w:color w:val="auto"/>
              </w:rPr>
            </w:pPr>
            <w:r>
              <w:rPr>
                <w:rFonts w:ascii="Arial" w:cs="Arial" w:eastAsia="Arial" w:hAnsi="Arial"/>
                <w:sz w:val="18"/>
                <w:szCs w:val="18"/>
                <w:color w:val="auto"/>
              </w:rPr>
              <w:t>956.0</w:t>
            </w:r>
          </w:p>
        </w:tc>
        <w:tc>
          <w:tcPr>
            <w:tcW w:w="120" w:type="dxa"/>
            <w:vAlign w:val="bottom"/>
            <w:shd w:val="clear" w:color="auto" w:fill="DCE2EF"/>
          </w:tcPr>
          <w:p>
            <w:pPr>
              <w:spacing w:after="0"/>
              <w:rPr>
                <w:sz w:val="19"/>
                <w:szCs w:val="19"/>
                <w:color w:val="auto"/>
              </w:rPr>
            </w:pPr>
          </w:p>
        </w:tc>
        <w:tc>
          <w:tcPr>
            <w:tcW w:w="620" w:type="dxa"/>
            <w:vAlign w:val="bottom"/>
            <w:shd w:val="clear" w:color="auto" w:fill="DCE2EF"/>
          </w:tcPr>
          <w:p>
            <w:pPr>
              <w:jc w:val="right"/>
              <w:ind w:right="43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31.1</w:t>
            </w:r>
          </w:p>
        </w:tc>
        <w:tc>
          <w:tcPr>
            <w:tcW w:w="1200" w:type="dxa"/>
            <w:vAlign w:val="bottom"/>
            <w:shd w:val="clear" w:color="auto" w:fill="DCE2EF"/>
          </w:tcPr>
          <w:p>
            <w:pPr>
              <w:jc w:val="right"/>
              <w:ind w:right="5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402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19"/>
                <w:szCs w:val="19"/>
                <w:color w:val="auto"/>
              </w:rPr>
            </w:pPr>
          </w:p>
        </w:tc>
        <w:tc>
          <w:tcPr>
            <w:tcW w:w="1380" w:type="dxa"/>
            <w:vAlign w:val="bottom"/>
          </w:tcPr>
          <w:p>
            <w:pPr>
              <w:jc w:val="right"/>
              <w:ind w:right="114"/>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19.4</w:t>
            </w:r>
          </w:p>
        </w:tc>
        <w:tc>
          <w:tcPr>
            <w:tcW w:w="1200" w:type="dxa"/>
            <w:vAlign w:val="bottom"/>
          </w:tcPr>
          <w:p>
            <w:pPr>
              <w:jc w:val="right"/>
              <w:ind w:right="47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40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10.5 %</w:t>
            </w:r>
          </w:p>
        </w:tc>
        <w:tc>
          <w:tcPr>
            <w:tcW w:w="100" w:type="dxa"/>
            <w:vAlign w:val="bottom"/>
            <w:shd w:val="clear" w:color="auto" w:fill="DCE2EF"/>
          </w:tcPr>
          <w:p>
            <w:pPr>
              <w:spacing w:after="0"/>
              <w:rPr>
                <w:sz w:val="16"/>
                <w:szCs w:val="16"/>
                <w:color w:val="auto"/>
              </w:rPr>
            </w:pP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8.8 %</w:t>
            </w:r>
          </w:p>
        </w:tc>
        <w:tc>
          <w:tcPr>
            <w:tcW w:w="120" w:type="dxa"/>
            <w:vAlign w:val="bottom"/>
            <w:shd w:val="clear" w:color="auto" w:fill="DCE2EF"/>
          </w:tcPr>
          <w:p>
            <w:pPr>
              <w:spacing w:after="0"/>
              <w:rPr>
                <w:sz w:val="16"/>
                <w:szCs w:val="16"/>
                <w:color w:val="auto"/>
              </w:rPr>
            </w:pPr>
          </w:p>
        </w:tc>
        <w:tc>
          <w:tcPr>
            <w:tcW w:w="620" w:type="dxa"/>
            <w:vAlign w:val="bottom"/>
            <w:shd w:val="clear" w:color="auto" w:fill="DCE2EF"/>
          </w:tcPr>
          <w:p>
            <w:pPr>
              <w:spacing w:after="0"/>
              <w:rPr>
                <w:sz w:val="16"/>
                <w:szCs w:val="16"/>
                <w:color w:val="auto"/>
              </w:rPr>
            </w:pPr>
          </w:p>
        </w:tc>
        <w:tc>
          <w:tcPr>
            <w:tcW w:w="1580" w:type="dxa"/>
            <w:vAlign w:val="bottom"/>
            <w:shd w:val="clear" w:color="auto" w:fill="DCE2EF"/>
          </w:tcPr>
          <w:p>
            <w:pPr>
              <w:jc w:val="center"/>
              <w:spacing w:after="0"/>
              <w:rPr>
                <w:sz w:val="20"/>
                <w:szCs w:val="20"/>
                <w:color w:val="auto"/>
              </w:rPr>
            </w:pPr>
            <w:r>
              <w:rPr>
                <w:rFonts w:ascii="Arial" w:cs="Arial" w:eastAsia="Arial" w:hAnsi="Arial"/>
                <w:sz w:val="14"/>
                <w:szCs w:val="14"/>
                <w:i w:val="1"/>
                <w:iCs w:val="1"/>
                <w:color w:val="auto"/>
              </w:rPr>
              <w:t>168 bps</w:t>
            </w:r>
          </w:p>
        </w:tc>
        <w:tc>
          <w:tcPr>
            <w:tcW w:w="120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T&amp;M revenues increased by $ 31.1 million, or 3.3%, during 2021, as compared to 2020. The increase was primarily attributable to net new business and an increase in work orders (primarily as a result of the Pandemic).</w:t>
      </w:r>
    </w:p>
    <w:p>
      <w:pPr>
        <w:spacing w:after="0" w:line="14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increased by $19.4 million, or 22.9%, during 2021, as compared to 2020. Operating profit margin increased by 168 bps to 10.5% in 2021 from 8.8% in 2020. The increase in operating profit margin was primarily attributable to a decrease in bad debt expense, as higher reserves were recorded in the prior year mainly associated with increasing credit risk resulting from the Pandemic, and higher margins on work orders.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b w:val="1"/>
                <w:bCs w:val="1"/>
                <w:i w:val="1"/>
                <w:iCs w:val="1"/>
                <w:color w:val="0046AD"/>
              </w:rPr>
              <w:t>Education</w:t>
            </w:r>
          </w:p>
        </w:tc>
        <w:tc>
          <w:tcPr>
            <w:tcW w:w="400" w:type="dxa"/>
            <w:vAlign w:val="bottom"/>
          </w:tcPr>
          <w:p>
            <w:pPr>
              <w:spacing w:after="0"/>
              <w:rPr>
                <w:sz w:val="20"/>
                <w:szCs w:val="20"/>
                <w:color w:val="auto"/>
              </w:rPr>
            </w:pPr>
          </w:p>
        </w:tc>
        <w:tc>
          <w:tcPr>
            <w:tcW w:w="3340" w:type="dxa"/>
            <w:vAlign w:val="bottom"/>
            <w:gridSpan w:val="5"/>
            <w:vMerge w:val="restart"/>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6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40" w:type="dxa"/>
            <w:vAlign w:val="bottom"/>
            <w:gridSpan w:val="5"/>
            <w:vMerge w:val="continue"/>
          </w:tcPr>
          <w:p>
            <w:pPr>
              <w:spacing w:after="0"/>
              <w:rPr>
                <w:sz w:val="19"/>
                <w:szCs w:val="19"/>
                <w:color w:val="auto"/>
              </w:rPr>
            </w:pPr>
          </w:p>
        </w:tc>
        <w:tc>
          <w:tcPr>
            <w:tcW w:w="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0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594"/>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595"/>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0" w:type="dxa"/>
            <w:vAlign w:val="bottom"/>
          </w:tcPr>
          <w:p>
            <w:pPr>
              <w:jc w:val="right"/>
              <w:ind w:right="75"/>
              <w:spacing w:after="0" w:line="182" w:lineRule="exact"/>
              <w:rPr>
                <w:sz w:val="20"/>
                <w:szCs w:val="20"/>
                <w:color w:val="auto"/>
              </w:rPr>
            </w:pPr>
            <w:r>
              <w:rPr>
                <w:rFonts w:ascii="Arial" w:cs="Arial" w:eastAsia="Arial" w:hAnsi="Arial"/>
                <w:sz w:val="18"/>
                <w:szCs w:val="18"/>
                <w:b w:val="1"/>
                <w:bCs w:val="1"/>
                <w:color w:val="auto"/>
              </w:rPr>
              <w:t>Increase</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18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40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CE2EF"/>
          </w:tcPr>
          <w:p>
            <w:pPr>
              <w:jc w:val="right"/>
              <w:ind w:right="114"/>
              <w:spacing w:after="0"/>
              <w:rPr>
                <w:sz w:val="20"/>
                <w:szCs w:val="20"/>
                <w:color w:val="auto"/>
              </w:rPr>
            </w:pPr>
            <w:r>
              <w:rPr>
                <w:rFonts w:ascii="Arial" w:cs="Arial" w:eastAsia="Arial" w:hAnsi="Arial"/>
                <w:sz w:val="18"/>
                <w:szCs w:val="18"/>
                <w:color w:val="auto"/>
              </w:rPr>
              <w:t>836.4</w:t>
            </w:r>
          </w:p>
        </w:tc>
        <w:tc>
          <w:tcPr>
            <w:tcW w:w="100" w:type="dxa"/>
            <w:vAlign w:val="bottom"/>
            <w:shd w:val="clear" w:color="auto" w:fill="DCE2EF"/>
          </w:tcPr>
          <w:p>
            <w:pPr>
              <w:spacing w:after="0"/>
              <w:rPr>
                <w:sz w:val="19"/>
                <w:szCs w:val="19"/>
                <w:color w:val="auto"/>
              </w:rPr>
            </w:pP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CE2EF"/>
          </w:tcPr>
          <w:p>
            <w:pPr>
              <w:jc w:val="right"/>
              <w:ind w:right="95"/>
              <w:spacing w:after="0"/>
              <w:rPr>
                <w:sz w:val="20"/>
                <w:szCs w:val="20"/>
                <w:color w:val="auto"/>
              </w:rPr>
            </w:pPr>
            <w:r>
              <w:rPr>
                <w:rFonts w:ascii="Arial" w:cs="Arial" w:eastAsia="Arial" w:hAnsi="Arial"/>
                <w:sz w:val="18"/>
                <w:szCs w:val="18"/>
                <w:color w:val="auto"/>
              </w:rPr>
              <w:t>808.8</w:t>
            </w:r>
          </w:p>
        </w:tc>
        <w:tc>
          <w:tcPr>
            <w:tcW w:w="120" w:type="dxa"/>
            <w:vAlign w:val="bottom"/>
            <w:shd w:val="clear" w:color="auto" w:fill="DCE2EF"/>
          </w:tcPr>
          <w:p>
            <w:pPr>
              <w:spacing w:after="0"/>
              <w:rPr>
                <w:sz w:val="19"/>
                <w:szCs w:val="19"/>
                <w:color w:val="auto"/>
              </w:rPr>
            </w:pPr>
          </w:p>
        </w:tc>
        <w:tc>
          <w:tcPr>
            <w:tcW w:w="620" w:type="dxa"/>
            <w:vAlign w:val="bottom"/>
            <w:shd w:val="clear" w:color="auto" w:fill="DCE2EF"/>
          </w:tcPr>
          <w:p>
            <w:pPr>
              <w:jc w:val="right"/>
              <w:ind w:right="4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DCE2EF"/>
          </w:tcPr>
          <w:p>
            <w:pPr>
              <w:jc w:val="right"/>
              <w:ind w:right="555"/>
              <w:spacing w:after="0"/>
              <w:rPr>
                <w:sz w:val="20"/>
                <w:szCs w:val="20"/>
                <w:color w:val="auto"/>
              </w:rPr>
            </w:pPr>
            <w:r>
              <w:rPr>
                <w:rFonts w:ascii="Arial" w:cs="Arial" w:eastAsia="Arial" w:hAnsi="Arial"/>
                <w:sz w:val="18"/>
                <w:szCs w:val="18"/>
                <w:color w:val="auto"/>
              </w:rPr>
              <w:t>27.6</w:t>
            </w:r>
          </w:p>
        </w:tc>
        <w:tc>
          <w:tcPr>
            <w:tcW w:w="1200" w:type="dxa"/>
            <w:vAlign w:val="bottom"/>
            <w:shd w:val="clear" w:color="auto" w:fill="DCE2EF"/>
          </w:tcPr>
          <w:p>
            <w:pPr>
              <w:jc w:val="right"/>
              <w:ind w:right="53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Operating profit (loss)</w:t>
            </w:r>
          </w:p>
        </w:tc>
        <w:tc>
          <w:tcPr>
            <w:tcW w:w="40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0" w:type="dxa"/>
            <w:vAlign w:val="bottom"/>
          </w:tcPr>
          <w:p>
            <w:pPr>
              <w:jc w:val="right"/>
              <w:ind w:right="555"/>
              <w:spacing w:after="0"/>
              <w:rPr>
                <w:sz w:val="20"/>
                <w:szCs w:val="20"/>
                <w:color w:val="auto"/>
              </w:rPr>
            </w:pPr>
            <w:r>
              <w:rPr>
                <w:rFonts w:ascii="Arial" w:cs="Arial" w:eastAsia="Arial" w:hAnsi="Arial"/>
                <w:sz w:val="18"/>
                <w:szCs w:val="18"/>
                <w:color w:val="auto"/>
              </w:rPr>
              <w:t>101.6</w:t>
            </w:r>
          </w:p>
        </w:tc>
        <w:tc>
          <w:tcPr>
            <w:tcW w:w="1200" w:type="dxa"/>
            <w:vAlign w:val="bottom"/>
          </w:tcPr>
          <w:p>
            <w:pPr>
              <w:jc w:val="center"/>
              <w:ind w:right="370"/>
              <w:spacing w:after="0"/>
              <w:rPr>
                <w:sz w:val="20"/>
                <w:szCs w:val="20"/>
                <w:color w:val="auto"/>
              </w:rPr>
            </w:pPr>
            <w:r>
              <w:rPr>
                <w:rFonts w:ascii="Arial" w:cs="Arial" w:eastAsia="Arial" w:hAnsi="Arial"/>
                <w:sz w:val="18"/>
                <w:szCs w:val="18"/>
                <w:color w:val="auto"/>
                <w:w w:val="97"/>
              </w:rPr>
              <w:t>NM*</w:t>
            </w: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40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margin</w:t>
            </w:r>
          </w:p>
        </w:tc>
        <w:tc>
          <w:tcPr>
            <w:tcW w:w="400" w:type="dxa"/>
            <w:vAlign w:val="bottom"/>
            <w:shd w:val="clear" w:color="auto" w:fill="DCE2EF"/>
          </w:tcPr>
          <w:p>
            <w:pPr>
              <w:spacing w:after="0"/>
              <w:rPr>
                <w:sz w:val="16"/>
                <w:szCs w:val="16"/>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7.2 %</w:t>
            </w:r>
          </w:p>
        </w:tc>
        <w:tc>
          <w:tcPr>
            <w:tcW w:w="100" w:type="dxa"/>
            <w:vAlign w:val="bottom"/>
            <w:shd w:val="clear" w:color="auto" w:fill="DCE2EF"/>
          </w:tcPr>
          <w:p>
            <w:pPr>
              <w:spacing w:after="0"/>
              <w:rPr>
                <w:sz w:val="16"/>
                <w:szCs w:val="16"/>
                <w:color w:val="auto"/>
              </w:rPr>
            </w:pPr>
          </w:p>
        </w:tc>
        <w:tc>
          <w:tcPr>
            <w:tcW w:w="420" w:type="dxa"/>
            <w:vAlign w:val="bottom"/>
            <w:shd w:val="clear" w:color="auto" w:fill="DCE2EF"/>
          </w:tcPr>
          <w:p>
            <w:pPr>
              <w:spacing w:after="0"/>
              <w:rPr>
                <w:sz w:val="16"/>
                <w:szCs w:val="16"/>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(5.1)%</w:t>
            </w:r>
          </w:p>
        </w:tc>
        <w:tc>
          <w:tcPr>
            <w:tcW w:w="120" w:type="dxa"/>
            <w:vAlign w:val="bottom"/>
            <w:shd w:val="clear" w:color="auto" w:fill="DCE2EF"/>
          </w:tcPr>
          <w:p>
            <w:pPr>
              <w:spacing w:after="0"/>
              <w:rPr>
                <w:sz w:val="16"/>
                <w:szCs w:val="16"/>
                <w:color w:val="auto"/>
              </w:rPr>
            </w:pPr>
          </w:p>
        </w:tc>
        <w:tc>
          <w:tcPr>
            <w:tcW w:w="620" w:type="dxa"/>
            <w:vAlign w:val="bottom"/>
            <w:shd w:val="clear" w:color="auto" w:fill="DCE2EF"/>
          </w:tcPr>
          <w:p>
            <w:pPr>
              <w:spacing w:after="0"/>
              <w:rPr>
                <w:sz w:val="16"/>
                <w:szCs w:val="16"/>
                <w:color w:val="auto"/>
              </w:rPr>
            </w:pPr>
          </w:p>
        </w:tc>
        <w:tc>
          <w:tcPr>
            <w:tcW w:w="1600" w:type="dxa"/>
            <w:vAlign w:val="bottom"/>
            <w:shd w:val="clear" w:color="auto" w:fill="DCE2EF"/>
          </w:tcPr>
          <w:p>
            <w:pPr>
              <w:jc w:val="right"/>
              <w:ind w:right="495"/>
              <w:spacing w:after="0"/>
              <w:rPr>
                <w:sz w:val="20"/>
                <w:szCs w:val="20"/>
                <w:color w:val="auto"/>
              </w:rPr>
            </w:pPr>
            <w:r>
              <w:rPr>
                <w:rFonts w:ascii="Arial" w:cs="Arial" w:eastAsia="Arial" w:hAnsi="Arial"/>
                <w:sz w:val="14"/>
                <w:szCs w:val="14"/>
                <w:i w:val="1"/>
                <w:iCs w:val="1"/>
                <w:color w:val="auto"/>
              </w:rPr>
              <w:t>NM*</w:t>
            </w:r>
          </w:p>
        </w:tc>
        <w:tc>
          <w:tcPr>
            <w:tcW w:w="120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*Not meaningful</w:t>
      </w:r>
    </w:p>
    <w:p>
      <w:pPr>
        <w:spacing w:after="0" w:line="21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Education revenues increased by $27.6 million, or 3.4%, during 2021, as compared to 2020. The increase was primarily attributable to an increase in work orders as a result of Pandemic-related demands and recovery in the volume of our business as schools gradually reopened. The increase was partially offset by the loss of certain accounts during the year.</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Education had an operating profit of $60.5 million during 2021, as compared to an operating loss of $41.1 million during 2020. Operating margin increased to 7.2% in 2021 from (5.1)% in 2020. The increase in operating profit margin was primarily attributable to the absence of prior year goodwill impairment charges of $99.3 million. Additionally, operating margin was positively impacted by higher margin work orders, a decrease in bad debt expense, driven by net recoveries of certain previously reserved receivables, and lower amortization of intangible assets. The increase in operating margin, excluding the impact of prior year impairment, was mostly offset by the increase in direct labor and related costs as schools reopened.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b w:val="1"/>
                <w:bCs w:val="1"/>
                <w:i w:val="1"/>
                <w:iCs w:val="1"/>
                <w:color w:val="0046AD"/>
              </w:rPr>
              <w:t>Aviation</w:t>
            </w:r>
          </w:p>
        </w:tc>
        <w:tc>
          <w:tcPr>
            <w:tcW w:w="400" w:type="dxa"/>
            <w:vAlign w:val="bottom"/>
          </w:tcPr>
          <w:p>
            <w:pPr>
              <w:spacing w:after="0"/>
              <w:rPr>
                <w:sz w:val="20"/>
                <w:szCs w:val="20"/>
                <w:color w:val="auto"/>
              </w:rPr>
            </w:pPr>
          </w:p>
        </w:tc>
        <w:tc>
          <w:tcPr>
            <w:tcW w:w="3380" w:type="dxa"/>
            <w:vAlign w:val="bottom"/>
            <w:gridSpan w:val="5"/>
            <w:vMerge w:val="restart"/>
          </w:tcPr>
          <w:p>
            <w:pPr>
              <w:ind w:left="380"/>
              <w:spacing w:after="0"/>
              <w:rPr>
                <w:sz w:val="20"/>
                <w:szCs w:val="20"/>
                <w:color w:val="auto"/>
              </w:rPr>
            </w:pPr>
            <w:r>
              <w:rPr>
                <w:rFonts w:ascii="Arial" w:cs="Arial" w:eastAsia="Arial" w:hAnsi="Arial"/>
                <w:sz w:val="18"/>
                <w:szCs w:val="18"/>
                <w:b w:val="1"/>
                <w:bCs w:val="1"/>
                <w:color w:val="auto"/>
              </w:rPr>
              <w:t>Years Ended October 31,</w:t>
            </w: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80" w:type="dxa"/>
            <w:vAlign w:val="bottom"/>
            <w:gridSpan w:val="5"/>
            <w:vMerge w:val="continue"/>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0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614"/>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595"/>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960" w:type="dxa"/>
            <w:vAlign w:val="bottom"/>
            <w:gridSpan w:val="2"/>
          </w:tcPr>
          <w:p>
            <w:pPr>
              <w:ind w:left="340"/>
              <w:spacing w:after="0" w:line="182" w:lineRule="exact"/>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18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40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CE2EF"/>
          </w:tcPr>
          <w:p>
            <w:pPr>
              <w:jc w:val="right"/>
              <w:ind w:right="114"/>
              <w:spacing w:after="0"/>
              <w:rPr>
                <w:sz w:val="20"/>
                <w:szCs w:val="20"/>
                <w:color w:val="auto"/>
              </w:rPr>
            </w:pPr>
            <w:r>
              <w:rPr>
                <w:rFonts w:ascii="Arial" w:cs="Arial" w:eastAsia="Arial" w:hAnsi="Arial"/>
                <w:sz w:val="18"/>
                <w:szCs w:val="18"/>
                <w:color w:val="auto"/>
              </w:rPr>
              <w:t>668.8</w:t>
            </w:r>
          </w:p>
        </w:tc>
        <w:tc>
          <w:tcPr>
            <w:tcW w:w="100" w:type="dxa"/>
            <w:vAlign w:val="bottom"/>
            <w:shd w:val="clear" w:color="auto" w:fill="DCE2EF"/>
          </w:tcPr>
          <w:p>
            <w:pPr>
              <w:spacing w:after="0"/>
              <w:rPr>
                <w:sz w:val="19"/>
                <w:szCs w:val="19"/>
                <w:color w:val="auto"/>
              </w:rPr>
            </w:pP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CE2EF"/>
          </w:tcPr>
          <w:p>
            <w:pPr>
              <w:jc w:val="right"/>
              <w:ind w:right="95"/>
              <w:spacing w:after="0"/>
              <w:rPr>
                <w:sz w:val="20"/>
                <w:szCs w:val="20"/>
                <w:color w:val="auto"/>
              </w:rPr>
            </w:pPr>
            <w:r>
              <w:rPr>
                <w:rFonts w:ascii="Arial" w:cs="Arial" w:eastAsia="Arial" w:hAnsi="Arial"/>
                <w:sz w:val="18"/>
                <w:szCs w:val="18"/>
                <w:color w:val="auto"/>
              </w:rPr>
              <w:t>680.9</w:t>
            </w:r>
          </w:p>
        </w:tc>
        <w:tc>
          <w:tcPr>
            <w:tcW w:w="120" w:type="dxa"/>
            <w:vAlign w:val="bottom"/>
            <w:shd w:val="clear" w:color="auto" w:fill="DCE2EF"/>
          </w:tcPr>
          <w:p>
            <w:pPr>
              <w:spacing w:after="0"/>
              <w:rPr>
                <w:sz w:val="19"/>
                <w:szCs w:val="19"/>
                <w:color w:val="auto"/>
              </w:rPr>
            </w:pPr>
          </w:p>
        </w:tc>
        <w:tc>
          <w:tcPr>
            <w:tcW w:w="460" w:type="dxa"/>
            <w:vAlign w:val="bottom"/>
            <w:shd w:val="clear" w:color="auto" w:fill="DCE2E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DCE2EF"/>
          </w:tcPr>
          <w:p>
            <w:pPr>
              <w:jc w:val="right"/>
              <w:ind w:right="255"/>
              <w:spacing w:after="0"/>
              <w:rPr>
                <w:sz w:val="20"/>
                <w:szCs w:val="20"/>
                <w:color w:val="auto"/>
              </w:rPr>
            </w:pPr>
            <w:r>
              <w:rPr>
                <w:rFonts w:ascii="Arial" w:cs="Arial" w:eastAsia="Arial" w:hAnsi="Arial"/>
                <w:sz w:val="18"/>
                <w:szCs w:val="18"/>
                <w:color w:val="auto"/>
              </w:rPr>
              <w:t>(12.1)</w:t>
            </w:r>
          </w:p>
        </w:tc>
        <w:tc>
          <w:tcPr>
            <w:tcW w:w="1440" w:type="dxa"/>
            <w:vAlign w:val="bottom"/>
            <w:shd w:val="clear" w:color="auto" w:fill="DCE2EF"/>
          </w:tcPr>
          <w:p>
            <w:pPr>
              <w:jc w:val="right"/>
              <w:ind w:right="4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Operating profit (loss)</w:t>
            </w:r>
          </w:p>
        </w:tc>
        <w:tc>
          <w:tcPr>
            <w:tcW w:w="400" w:type="dxa"/>
            <w:vAlign w:val="bottom"/>
          </w:tcPr>
          <w:p>
            <w:pPr>
              <w:spacing w:after="0"/>
              <w:rPr>
                <w:sz w:val="19"/>
                <w:szCs w:val="19"/>
                <w:color w:val="auto"/>
              </w:rPr>
            </w:pPr>
          </w:p>
        </w:tc>
        <w:tc>
          <w:tcPr>
            <w:tcW w:w="1380" w:type="dxa"/>
            <w:vAlign w:val="bottom"/>
          </w:tcPr>
          <w:p>
            <w:pPr>
              <w:jc w:val="right"/>
              <w:ind w:right="114"/>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ind w:right="315"/>
              <w:spacing w:after="0"/>
              <w:rPr>
                <w:sz w:val="20"/>
                <w:szCs w:val="20"/>
                <w:color w:val="auto"/>
              </w:rPr>
            </w:pPr>
            <w:r>
              <w:rPr>
                <w:rFonts w:ascii="Arial" w:cs="Arial" w:eastAsia="Arial" w:hAnsi="Arial"/>
                <w:sz w:val="18"/>
                <w:szCs w:val="18"/>
                <w:color w:val="auto"/>
              </w:rPr>
              <w:t>92.1</w:t>
            </w:r>
          </w:p>
        </w:tc>
        <w:tc>
          <w:tcPr>
            <w:tcW w:w="1440" w:type="dxa"/>
            <w:vAlign w:val="bottom"/>
          </w:tcPr>
          <w:p>
            <w:pPr>
              <w:jc w:val="center"/>
              <w:ind w:right="130"/>
              <w:spacing w:after="0"/>
              <w:rPr>
                <w:sz w:val="20"/>
                <w:szCs w:val="20"/>
                <w:color w:val="auto"/>
              </w:rPr>
            </w:pPr>
            <w:r>
              <w:rPr>
                <w:rFonts w:ascii="Arial" w:cs="Arial" w:eastAsia="Arial" w:hAnsi="Arial"/>
                <w:sz w:val="18"/>
                <w:szCs w:val="18"/>
                <w:color w:val="auto"/>
                <w:w w:val="97"/>
              </w:rPr>
              <w:t>NM*</w:t>
            </w: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40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margin</w:t>
            </w: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4.9 %</w:t>
            </w:r>
          </w:p>
        </w:tc>
        <w:tc>
          <w:tcPr>
            <w:tcW w:w="100" w:type="dxa"/>
            <w:vAlign w:val="bottom"/>
            <w:shd w:val="clear" w:color="auto" w:fill="DCE2EF"/>
          </w:tcPr>
          <w:p>
            <w:pPr>
              <w:spacing w:after="0"/>
              <w:rPr>
                <w:sz w:val="16"/>
                <w:szCs w:val="16"/>
                <w:color w:val="auto"/>
              </w:rPr>
            </w:pPr>
          </w:p>
        </w:tc>
        <w:tc>
          <w:tcPr>
            <w:tcW w:w="420" w:type="dxa"/>
            <w:vAlign w:val="bottom"/>
            <w:shd w:val="clear" w:color="auto" w:fill="DCE2EF"/>
          </w:tcPr>
          <w:p>
            <w:pPr>
              <w:spacing w:after="0"/>
              <w:rPr>
                <w:sz w:val="16"/>
                <w:szCs w:val="16"/>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(8.7)%</w:t>
            </w:r>
          </w:p>
        </w:tc>
        <w:tc>
          <w:tcPr>
            <w:tcW w:w="120" w:type="dxa"/>
            <w:vAlign w:val="bottom"/>
            <w:shd w:val="clear" w:color="auto" w:fill="DCE2EF"/>
          </w:tcPr>
          <w:p>
            <w:pPr>
              <w:spacing w:after="0"/>
              <w:rPr>
                <w:sz w:val="16"/>
                <w:szCs w:val="16"/>
                <w:color w:val="auto"/>
              </w:rPr>
            </w:pPr>
          </w:p>
        </w:tc>
        <w:tc>
          <w:tcPr>
            <w:tcW w:w="460" w:type="dxa"/>
            <w:vAlign w:val="bottom"/>
            <w:shd w:val="clear" w:color="auto" w:fill="DCE2EF"/>
          </w:tcPr>
          <w:p>
            <w:pPr>
              <w:spacing w:after="0"/>
              <w:rPr>
                <w:sz w:val="16"/>
                <w:szCs w:val="16"/>
                <w:color w:val="auto"/>
              </w:rPr>
            </w:pPr>
          </w:p>
        </w:tc>
        <w:tc>
          <w:tcPr>
            <w:tcW w:w="1520" w:type="dxa"/>
            <w:vAlign w:val="bottom"/>
            <w:shd w:val="clear" w:color="auto" w:fill="DCE2EF"/>
          </w:tcPr>
          <w:p>
            <w:pPr>
              <w:ind w:left="900"/>
              <w:spacing w:after="0"/>
              <w:rPr>
                <w:sz w:val="20"/>
                <w:szCs w:val="20"/>
                <w:color w:val="auto"/>
              </w:rPr>
            </w:pPr>
            <w:r>
              <w:rPr>
                <w:rFonts w:ascii="Arial" w:cs="Arial" w:eastAsia="Arial" w:hAnsi="Arial"/>
                <w:sz w:val="14"/>
                <w:szCs w:val="14"/>
                <w:i w:val="1"/>
                <w:iCs w:val="1"/>
                <w:color w:val="auto"/>
              </w:rPr>
              <w:t>NM*</w:t>
            </w:r>
          </w:p>
        </w:tc>
        <w:tc>
          <w:tcPr>
            <w:tcW w:w="144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*Not meaningful</w:t>
      </w:r>
    </w:p>
    <w:p>
      <w:pPr>
        <w:spacing w:after="0" w:line="2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Aviation revenues decreased by $12.1 million, or 1.8%, during 2021, as compared to 2020. The decrease was primarily attributable to travel restrictions and a decline in passenger demand resulting from the Pandemic. While demand and revenue improved during the third and fourth quarter of 2021, Pandemic-related volume reductions continued to impact parking, janitorial, passenger services, transportation, and catering accounts. The decrease was partially offset by Pandemic-related cleaning services and new parking-related services. Management reimbursement revenues for this segment totaled $54.5 million and $74.3 million during 2021 and 2020, respectively.</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Aviation had an operating profit of $32.5 million during 2021, as compared to an operating loss of $59.6 million during 2020. Operating margin increased to 4.9% during 2021, from (8.7)% during 2020. This increase in operating profit margin was primarily attributable to the absence of prior year impairment charges of $55.5 million on goodwill and $5.6 million on customer relationships. Additionally, operating margin increased as the result of management of direct labor and related personnel costs during the Pandemic, higher margins on Pandemic-related cleaning services, and a strategic shift toward securing higher margin contracts with airports and related facilities.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b w:val="1"/>
                <w:bCs w:val="1"/>
                <w:i w:val="1"/>
                <w:iCs w:val="1"/>
                <w:color w:val="0046AD"/>
              </w:rPr>
              <w:t>Technical Solutions</w:t>
            </w:r>
          </w:p>
        </w:tc>
        <w:tc>
          <w:tcPr>
            <w:tcW w:w="400" w:type="dxa"/>
            <w:vAlign w:val="bottom"/>
          </w:tcPr>
          <w:p>
            <w:pPr>
              <w:spacing w:after="0"/>
              <w:rPr>
                <w:sz w:val="20"/>
                <w:szCs w:val="20"/>
                <w:color w:val="auto"/>
              </w:rPr>
            </w:pPr>
          </w:p>
        </w:tc>
        <w:tc>
          <w:tcPr>
            <w:tcW w:w="3380" w:type="dxa"/>
            <w:vAlign w:val="bottom"/>
            <w:gridSpan w:val="5"/>
            <w:vMerge w:val="restart"/>
          </w:tcPr>
          <w:p>
            <w:pPr>
              <w:ind w:left="380"/>
              <w:spacing w:after="0"/>
              <w:rPr>
                <w:sz w:val="20"/>
                <w:szCs w:val="20"/>
                <w:color w:val="auto"/>
              </w:rPr>
            </w:pPr>
            <w:r>
              <w:rPr>
                <w:rFonts w:ascii="Arial" w:cs="Arial" w:eastAsia="Arial" w:hAnsi="Arial"/>
                <w:sz w:val="18"/>
                <w:szCs w:val="18"/>
                <w:b w:val="1"/>
                <w:bCs w:val="1"/>
                <w:color w:val="auto"/>
              </w:rPr>
              <w:t>Years Ended October 31,</w:t>
            </w:r>
          </w:p>
        </w:tc>
        <w:tc>
          <w:tcPr>
            <w:tcW w:w="6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80" w:type="dxa"/>
            <w:vAlign w:val="bottom"/>
            <w:gridSpan w:val="5"/>
            <w:vMerge w:val="continue"/>
          </w:tcPr>
          <w:p>
            <w:pPr>
              <w:spacing w:after="0"/>
              <w:rPr>
                <w:sz w:val="19"/>
                <w:szCs w:val="19"/>
                <w:color w:val="auto"/>
              </w:rPr>
            </w:pPr>
          </w:p>
        </w:tc>
        <w:tc>
          <w:tcPr>
            <w:tcW w:w="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0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614"/>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595"/>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0" w:type="dxa"/>
            <w:vAlign w:val="bottom"/>
          </w:tcPr>
          <w:p>
            <w:pPr>
              <w:ind w:left="720"/>
              <w:spacing w:after="0" w:line="182" w:lineRule="exact"/>
              <w:rPr>
                <w:sz w:val="20"/>
                <w:szCs w:val="20"/>
                <w:color w:val="auto"/>
              </w:rPr>
            </w:pPr>
            <w:r>
              <w:rPr>
                <w:rFonts w:ascii="Arial" w:cs="Arial" w:eastAsia="Arial" w:hAnsi="Arial"/>
                <w:sz w:val="18"/>
                <w:szCs w:val="18"/>
                <w:b w:val="1"/>
                <w:bCs w:val="1"/>
                <w:color w:val="auto"/>
              </w:rPr>
              <w:t>Increase</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18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40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CE2EF"/>
          </w:tcPr>
          <w:p>
            <w:pPr>
              <w:jc w:val="right"/>
              <w:ind w:right="114"/>
              <w:spacing w:after="0"/>
              <w:rPr>
                <w:sz w:val="20"/>
                <w:szCs w:val="20"/>
                <w:color w:val="auto"/>
              </w:rPr>
            </w:pPr>
            <w:r>
              <w:rPr>
                <w:rFonts w:ascii="Arial" w:cs="Arial" w:eastAsia="Arial" w:hAnsi="Arial"/>
                <w:sz w:val="18"/>
                <w:szCs w:val="18"/>
                <w:color w:val="auto"/>
              </w:rPr>
              <w:t>534.0</w:t>
            </w:r>
          </w:p>
        </w:tc>
        <w:tc>
          <w:tcPr>
            <w:tcW w:w="100" w:type="dxa"/>
            <w:vAlign w:val="bottom"/>
            <w:shd w:val="clear" w:color="auto" w:fill="DCE2EF"/>
          </w:tcPr>
          <w:p>
            <w:pPr>
              <w:spacing w:after="0"/>
              <w:rPr>
                <w:sz w:val="19"/>
                <w:szCs w:val="19"/>
                <w:color w:val="auto"/>
              </w:rPr>
            </w:pP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CE2EF"/>
          </w:tcPr>
          <w:p>
            <w:pPr>
              <w:jc w:val="right"/>
              <w:ind w:right="95"/>
              <w:spacing w:after="0"/>
              <w:rPr>
                <w:sz w:val="20"/>
                <w:szCs w:val="20"/>
                <w:color w:val="auto"/>
              </w:rPr>
            </w:pPr>
            <w:r>
              <w:rPr>
                <w:rFonts w:ascii="Arial" w:cs="Arial" w:eastAsia="Arial" w:hAnsi="Arial"/>
                <w:sz w:val="18"/>
                <w:szCs w:val="18"/>
                <w:color w:val="auto"/>
              </w:rPr>
              <w:t>506.6</w:t>
            </w:r>
          </w:p>
        </w:tc>
        <w:tc>
          <w:tcPr>
            <w:tcW w:w="120" w:type="dxa"/>
            <w:vAlign w:val="bottom"/>
            <w:shd w:val="clear" w:color="auto" w:fill="DCE2EF"/>
          </w:tcPr>
          <w:p>
            <w:pPr>
              <w:spacing w:after="0"/>
              <w:rPr>
                <w:sz w:val="19"/>
                <w:szCs w:val="19"/>
                <w:color w:val="auto"/>
              </w:rPr>
            </w:pPr>
          </w:p>
        </w:tc>
        <w:tc>
          <w:tcPr>
            <w:tcW w:w="620" w:type="dxa"/>
            <w:vAlign w:val="bottom"/>
            <w:shd w:val="clear" w:color="auto" w:fill="DCE2EF"/>
          </w:tcPr>
          <w:p>
            <w:pPr>
              <w:jc w:val="right"/>
              <w:ind w:right="4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6"/>
              </w:rPr>
              <w:t>27.4</w:t>
            </w:r>
          </w:p>
        </w:tc>
        <w:tc>
          <w:tcPr>
            <w:tcW w:w="1200" w:type="dxa"/>
            <w:vAlign w:val="bottom"/>
            <w:shd w:val="clear" w:color="auto" w:fill="DCE2EF"/>
          </w:tcPr>
          <w:p>
            <w:pPr>
              <w:jc w:val="right"/>
              <w:ind w:right="53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19"/>
                <w:szCs w:val="19"/>
                <w:color w:val="auto"/>
              </w:rPr>
            </w:pPr>
          </w:p>
        </w:tc>
        <w:tc>
          <w:tcPr>
            <w:tcW w:w="1380" w:type="dxa"/>
            <w:vAlign w:val="bottom"/>
          </w:tcPr>
          <w:p>
            <w:pPr>
              <w:jc w:val="right"/>
              <w:ind w:right="114"/>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95"/>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6"/>
              </w:rPr>
              <w:t>40.3</w:t>
            </w:r>
          </w:p>
        </w:tc>
        <w:tc>
          <w:tcPr>
            <w:tcW w:w="1200" w:type="dxa"/>
            <w:vAlign w:val="bottom"/>
          </w:tcPr>
          <w:p>
            <w:pPr>
              <w:jc w:val="center"/>
              <w:ind w:right="370"/>
              <w:spacing w:after="0"/>
              <w:rPr>
                <w:sz w:val="20"/>
                <w:szCs w:val="20"/>
                <w:color w:val="auto"/>
              </w:rPr>
            </w:pPr>
            <w:r>
              <w:rPr>
                <w:rFonts w:ascii="Arial" w:cs="Arial" w:eastAsia="Arial" w:hAnsi="Arial"/>
                <w:sz w:val="18"/>
                <w:szCs w:val="18"/>
                <w:color w:val="auto"/>
                <w:w w:val="97"/>
              </w:rPr>
              <w:t>NM*</w:t>
            </w: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40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9.3 %</w:t>
            </w:r>
          </w:p>
        </w:tc>
        <w:tc>
          <w:tcPr>
            <w:tcW w:w="100" w:type="dxa"/>
            <w:vAlign w:val="bottom"/>
            <w:shd w:val="clear" w:color="auto" w:fill="DCE2EF"/>
          </w:tcPr>
          <w:p>
            <w:pPr>
              <w:spacing w:after="0"/>
              <w:rPr>
                <w:sz w:val="16"/>
                <w:szCs w:val="16"/>
                <w:color w:val="auto"/>
              </w:rPr>
            </w:pPr>
          </w:p>
        </w:tc>
        <w:tc>
          <w:tcPr>
            <w:tcW w:w="420" w:type="dxa"/>
            <w:vAlign w:val="bottom"/>
            <w:shd w:val="clear" w:color="auto" w:fill="DCE2EF"/>
          </w:tcPr>
          <w:p>
            <w:pPr>
              <w:spacing w:after="0"/>
              <w:rPr>
                <w:sz w:val="16"/>
                <w:szCs w:val="16"/>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1.9 %</w:t>
            </w:r>
          </w:p>
        </w:tc>
        <w:tc>
          <w:tcPr>
            <w:tcW w:w="120" w:type="dxa"/>
            <w:vAlign w:val="bottom"/>
            <w:shd w:val="clear" w:color="auto" w:fill="DCE2EF"/>
          </w:tcPr>
          <w:p>
            <w:pPr>
              <w:spacing w:after="0"/>
              <w:rPr>
                <w:sz w:val="16"/>
                <w:szCs w:val="16"/>
                <w:color w:val="auto"/>
              </w:rPr>
            </w:pPr>
          </w:p>
        </w:tc>
        <w:tc>
          <w:tcPr>
            <w:tcW w:w="620" w:type="dxa"/>
            <w:vAlign w:val="bottom"/>
            <w:shd w:val="clear" w:color="auto" w:fill="DCE2EF"/>
          </w:tcPr>
          <w:p>
            <w:pPr>
              <w:spacing w:after="0"/>
              <w:rPr>
                <w:sz w:val="16"/>
                <w:szCs w:val="16"/>
                <w:color w:val="auto"/>
              </w:rPr>
            </w:pPr>
          </w:p>
        </w:tc>
        <w:tc>
          <w:tcPr>
            <w:tcW w:w="1600" w:type="dxa"/>
            <w:vAlign w:val="bottom"/>
            <w:shd w:val="clear" w:color="auto" w:fill="DCE2EF"/>
          </w:tcPr>
          <w:p>
            <w:pPr>
              <w:jc w:val="center"/>
              <w:spacing w:after="0"/>
              <w:rPr>
                <w:sz w:val="20"/>
                <w:szCs w:val="20"/>
                <w:color w:val="auto"/>
              </w:rPr>
            </w:pPr>
            <w:r>
              <w:rPr>
                <w:rFonts w:ascii="Arial" w:cs="Arial" w:eastAsia="Arial" w:hAnsi="Arial"/>
                <w:sz w:val="14"/>
                <w:szCs w:val="14"/>
                <w:i w:val="1"/>
                <w:iCs w:val="1"/>
                <w:color w:val="auto"/>
              </w:rPr>
              <w:t>745 bps</w:t>
            </w:r>
          </w:p>
        </w:tc>
        <w:tc>
          <w:tcPr>
            <w:tcW w:w="120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*Not meaningful</w:t>
      </w:r>
    </w:p>
    <w:p>
      <w:pPr>
        <w:spacing w:after="0" w:line="21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Technical Solutions revenues increased by $27.4 million, or 5.4%, during 2021, as compared to 2020. The increase was primarily attributable to an increase in the volume of our U.S. and U.K. businesses due to the easing of Pandemic-related lockdowns, which provided access to facilities that were previously restricted. In addition, the revenue increase was driven by growth in electric vehicle charging station installation sales.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increased by $40.3 million during 2021, as compared to 2020. Operating profit margin increased by 745 bps to 9.3% in 2021 from 1.9% in 2020. The increase in operating profit margin was primarily attributable to the absence of a prior year $17.6 million reserve on notes receivable related to a unique, entertainment-related project, mainly associated with increasing credit risk resulting from the Pandemic. The increase was also due to the absence of prior year impairment charges of $9.0 million on goodwill and $3.4 million on customer relationships related to our U.K. business.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i w:val="1"/>
                <w:iCs w:val="1"/>
                <w:color w:val="0046AD"/>
              </w:rPr>
              <w:t>Corporate</w:t>
            </w:r>
          </w:p>
        </w:tc>
        <w:tc>
          <w:tcPr>
            <w:tcW w:w="380" w:type="dxa"/>
            <w:vAlign w:val="bottom"/>
          </w:tcPr>
          <w:p>
            <w:pPr>
              <w:spacing w:after="0"/>
              <w:rPr>
                <w:sz w:val="20"/>
                <w:szCs w:val="20"/>
                <w:color w:val="auto"/>
              </w:rPr>
            </w:pPr>
          </w:p>
        </w:tc>
        <w:tc>
          <w:tcPr>
            <w:tcW w:w="3240" w:type="dxa"/>
            <w:vAlign w:val="bottom"/>
            <w:gridSpan w:val="5"/>
            <w:vMerge w:val="restart"/>
          </w:tcPr>
          <w:p>
            <w:pPr>
              <w:ind w:left="320"/>
              <w:spacing w:after="0"/>
              <w:rPr>
                <w:sz w:val="20"/>
                <w:szCs w:val="20"/>
                <w:color w:val="auto"/>
              </w:rPr>
            </w:pPr>
            <w:r>
              <w:rPr>
                <w:rFonts w:ascii="Arial" w:cs="Arial" w:eastAsia="Arial" w:hAnsi="Arial"/>
                <w:sz w:val="18"/>
                <w:szCs w:val="18"/>
                <w:b w:val="1"/>
                <w:bCs w:val="1"/>
                <w:color w:val="auto"/>
              </w:rPr>
              <w:t>Years Ended October 31,</w:t>
            </w:r>
          </w:p>
        </w:tc>
        <w:tc>
          <w:tcPr>
            <w:tcW w:w="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40" w:type="dxa"/>
            <w:vAlign w:val="bottom"/>
            <w:gridSpan w:val="5"/>
            <w:vMerge w:val="continue"/>
          </w:tcPr>
          <w:p>
            <w:pPr>
              <w:spacing w:after="0"/>
              <w:rPr>
                <w:sz w:val="19"/>
                <w:szCs w:val="19"/>
                <w:color w:val="auto"/>
              </w:rPr>
            </w:pPr>
          </w:p>
        </w:tc>
        <w:tc>
          <w:tcPr>
            <w:tcW w:w="6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2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55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55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20" w:type="dxa"/>
            <w:vAlign w:val="bottom"/>
          </w:tcPr>
          <w:p>
            <w:pPr>
              <w:jc w:val="right"/>
              <w:ind w:right="90"/>
              <w:spacing w:after="0" w:line="182" w:lineRule="exact"/>
              <w:rPr>
                <w:sz w:val="20"/>
                <w:szCs w:val="20"/>
                <w:color w:val="auto"/>
              </w:rPr>
            </w:pPr>
            <w:r>
              <w:rPr>
                <w:rFonts w:ascii="Arial" w:cs="Arial" w:eastAsia="Arial" w:hAnsi="Arial"/>
                <w:sz w:val="18"/>
                <w:szCs w:val="18"/>
                <w:b w:val="1"/>
                <w:bCs w:val="1"/>
                <w:color w:val="auto"/>
              </w:rPr>
              <w:t>Increase</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4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422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Corporate expenses</w:t>
            </w: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(374.6)</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(146.9)</w:t>
            </w:r>
          </w:p>
        </w:tc>
        <w:tc>
          <w:tcPr>
            <w:tcW w:w="120" w:type="dxa"/>
            <w:vAlign w:val="bottom"/>
            <w:shd w:val="clear" w:color="auto" w:fill="DCE2EF"/>
          </w:tcPr>
          <w:p>
            <w:pPr>
              <w:spacing w:after="0"/>
              <w:rPr>
                <w:sz w:val="19"/>
                <w:szCs w:val="19"/>
                <w:color w:val="auto"/>
              </w:rPr>
            </w:pPr>
          </w:p>
        </w:tc>
        <w:tc>
          <w:tcPr>
            <w:tcW w:w="600" w:type="dxa"/>
            <w:vAlign w:val="bottom"/>
            <w:shd w:val="clear" w:color="auto" w:fill="DCE2EF"/>
          </w:tcPr>
          <w:p>
            <w:pPr>
              <w:jc w:val="right"/>
              <w:ind w:right="4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DCE2EF"/>
          </w:tcPr>
          <w:p>
            <w:pPr>
              <w:jc w:val="right"/>
              <w:ind w:right="470"/>
              <w:spacing w:after="0"/>
              <w:rPr>
                <w:sz w:val="20"/>
                <w:szCs w:val="20"/>
                <w:color w:val="auto"/>
              </w:rPr>
            </w:pPr>
            <w:r>
              <w:rPr>
                <w:rFonts w:ascii="Arial" w:cs="Arial" w:eastAsia="Arial" w:hAnsi="Arial"/>
                <w:sz w:val="18"/>
                <w:szCs w:val="18"/>
                <w:color w:val="auto"/>
              </w:rPr>
              <w:t>(227.7)</w:t>
            </w:r>
          </w:p>
        </w:tc>
        <w:tc>
          <w:tcPr>
            <w:tcW w:w="1140" w:type="dxa"/>
            <w:vAlign w:val="bottom"/>
            <w:shd w:val="clear" w:color="auto" w:fill="DCE2EF"/>
          </w:tcPr>
          <w:p>
            <w:pPr>
              <w:ind w:lef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*Not meaningful</w:t>
      </w:r>
    </w:p>
    <w:p>
      <w:pPr>
        <w:spacing w:after="0" w:line="21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Corporate expenses increased by $227.7 million during 2021, as compared to 2020. The increase in corporate expenses was primarily related to:</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4" w:name="page35"/>
    <w:bookmarkEnd w:id="34"/>
    <w:p>
      <w:pPr>
        <w:ind w:left="620" w:hanging="288"/>
        <w:spacing w:after="0"/>
        <w:tabs>
          <w:tab w:leader="none" w:pos="620" w:val="left"/>
        </w:tabs>
        <w:numPr>
          <w:ilvl w:val="0"/>
          <w:numId w:val="14"/>
        </w:numPr>
        <w:rPr>
          <w:rFonts w:ascii="Arial" w:cs="Arial" w:eastAsia="Arial" w:hAnsi="Arial"/>
          <w:sz w:val="20"/>
          <w:szCs w:val="20"/>
          <w:color w:val="auto"/>
        </w:rPr>
      </w:pPr>
      <w:r>
        <w:rPr>
          <w:rFonts w:ascii="Arial" w:cs="Arial" w:eastAsia="Arial" w:hAnsi="Arial"/>
          <w:sz w:val="18"/>
          <w:szCs w:val="18"/>
          <w:color w:val="auto"/>
        </w:rPr>
        <w:t xml:space="preserve">a $145.8 million increase in legal costs and settlements, primarily attributed to the accrual of a legal settlement for 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w:t>
      </w:r>
    </w:p>
    <w:p>
      <w:pPr>
        <w:spacing w:after="0" w:line="157" w:lineRule="exact"/>
        <w:rPr>
          <w:rFonts w:ascii="Arial" w:cs="Arial" w:eastAsia="Arial" w:hAnsi="Arial"/>
          <w:sz w:val="20"/>
          <w:szCs w:val="20"/>
          <w:color w:val="auto"/>
        </w:rPr>
      </w:pPr>
    </w:p>
    <w:p>
      <w:pPr>
        <w:ind w:left="660" w:hanging="328"/>
        <w:spacing w:after="0" w:line="260" w:lineRule="auto"/>
        <w:tabs>
          <w:tab w:leader="none" w:pos="621" w:val="left"/>
        </w:tabs>
        <w:numPr>
          <w:ilvl w:val="0"/>
          <w:numId w:val="14"/>
        </w:numPr>
        <w:rPr>
          <w:rFonts w:ascii="Arial" w:cs="Arial" w:eastAsia="Arial" w:hAnsi="Arial"/>
          <w:sz w:val="20"/>
          <w:szCs w:val="20"/>
          <w:color w:val="auto"/>
        </w:rPr>
      </w:pPr>
      <w:r>
        <w:rPr>
          <w:rFonts w:ascii="Arial" w:cs="Arial" w:eastAsia="Arial" w:hAnsi="Arial"/>
          <w:sz w:val="18"/>
          <w:szCs w:val="18"/>
          <w:color w:val="auto"/>
        </w:rPr>
        <w:t xml:space="preserve">a $43.2 million increase in certain technology projects and other enterprise initiatives (including </w:t>
      </w:r>
      <w:r>
        <w:rPr>
          <w:rFonts w:ascii="Arial" w:cs="Arial" w:eastAsia="Arial" w:hAnsi="Arial"/>
          <w:sz w:val="18"/>
          <w:szCs w:val="18"/>
          <w:b w:val="1"/>
          <w:bCs w:val="1"/>
          <w:color w:val="E98300"/>
        </w:rPr>
        <w:t>ELEVATE</w:t>
      </w:r>
      <w:r>
        <w:rPr>
          <w:rFonts w:ascii="Arial" w:cs="Arial" w:eastAsia="Arial" w:hAnsi="Arial"/>
          <w:sz w:val="18"/>
          <w:szCs w:val="18"/>
          <w:color w:val="auto"/>
        </w:rPr>
        <w:t>), in addition to marketing events;</w:t>
      </w:r>
    </w:p>
    <w:p>
      <w:pPr>
        <w:spacing w:after="0" w:line="156" w:lineRule="exact"/>
        <w:rPr>
          <w:rFonts w:ascii="Arial" w:cs="Arial" w:eastAsia="Arial" w:hAnsi="Arial"/>
          <w:sz w:val="20"/>
          <w:szCs w:val="20"/>
          <w:color w:val="auto"/>
        </w:rPr>
      </w:pPr>
    </w:p>
    <w:p>
      <w:pPr>
        <w:jc w:val="both"/>
        <w:ind w:left="660" w:hanging="328"/>
        <w:spacing w:after="0" w:line="245" w:lineRule="auto"/>
        <w:tabs>
          <w:tab w:leader="none" w:pos="621" w:val="left"/>
        </w:tabs>
        <w:numPr>
          <w:ilvl w:val="0"/>
          <w:numId w:val="14"/>
        </w:numPr>
        <w:rPr>
          <w:rFonts w:ascii="Arial" w:cs="Arial" w:eastAsia="Arial" w:hAnsi="Arial"/>
          <w:sz w:val="20"/>
          <w:szCs w:val="20"/>
          <w:color w:val="auto"/>
        </w:rPr>
      </w:pPr>
      <w:r>
        <w:rPr>
          <w:rFonts w:ascii="Arial" w:cs="Arial" w:eastAsia="Arial" w:hAnsi="Arial"/>
          <w:sz w:val="18"/>
          <w:szCs w:val="18"/>
          <w:color w:val="auto"/>
        </w:rPr>
        <w:t>a $33.4 million increase in compensation and related expenses, primarily driven by corporate and staff labor reductions that occurred in the prior period due to the Pandemic, including wage reductions, employee furloughs, and the suspension of certain benefits such as 401(k) matching. The increase was also due to updated assessments regarding financial performance target achievements in connection with certain performance share awards and cash incentive plans;</w:t>
      </w:r>
    </w:p>
    <w:p>
      <w:pPr>
        <w:spacing w:after="0" w:line="157" w:lineRule="exact"/>
        <w:rPr>
          <w:rFonts w:ascii="Arial" w:cs="Arial" w:eastAsia="Arial" w:hAnsi="Arial"/>
          <w:sz w:val="20"/>
          <w:szCs w:val="20"/>
          <w:color w:val="auto"/>
        </w:rPr>
      </w:pPr>
    </w:p>
    <w:p>
      <w:pPr>
        <w:ind w:left="620" w:hanging="288"/>
        <w:spacing w:after="0"/>
        <w:tabs>
          <w:tab w:leader="none" w:pos="620" w:val="left"/>
        </w:tabs>
        <w:numPr>
          <w:ilvl w:val="0"/>
          <w:numId w:val="14"/>
        </w:numPr>
        <w:rPr>
          <w:rFonts w:ascii="Arial" w:cs="Arial" w:eastAsia="Arial" w:hAnsi="Arial"/>
          <w:sz w:val="20"/>
          <w:szCs w:val="20"/>
          <w:color w:val="auto"/>
        </w:rPr>
      </w:pPr>
      <w:r>
        <w:rPr>
          <w:rFonts w:ascii="Arial" w:cs="Arial" w:eastAsia="Arial" w:hAnsi="Arial"/>
          <w:sz w:val="18"/>
          <w:szCs w:val="18"/>
          <w:color w:val="auto"/>
        </w:rPr>
        <w:t>a $21.9 million increase in acquisition and integration costs attributable to the Able Acquisition; and</w:t>
      </w:r>
    </w:p>
    <w:p>
      <w:pPr>
        <w:spacing w:after="0" w:line="174" w:lineRule="exact"/>
        <w:rPr>
          <w:rFonts w:ascii="Arial" w:cs="Arial" w:eastAsia="Arial" w:hAnsi="Arial"/>
          <w:sz w:val="20"/>
          <w:szCs w:val="20"/>
          <w:color w:val="auto"/>
        </w:rPr>
      </w:pPr>
    </w:p>
    <w:p>
      <w:pPr>
        <w:ind w:left="660" w:hanging="328"/>
        <w:spacing w:after="0" w:line="237" w:lineRule="auto"/>
        <w:tabs>
          <w:tab w:leader="none" w:pos="621" w:val="left"/>
        </w:tabs>
        <w:numPr>
          <w:ilvl w:val="0"/>
          <w:numId w:val="14"/>
        </w:numPr>
        <w:rPr>
          <w:rFonts w:ascii="Arial" w:cs="Arial" w:eastAsia="Arial" w:hAnsi="Arial"/>
          <w:sz w:val="20"/>
          <w:szCs w:val="20"/>
          <w:color w:val="auto"/>
        </w:rPr>
      </w:pPr>
      <w:r>
        <w:rPr>
          <w:rFonts w:ascii="Arial" w:cs="Arial" w:eastAsia="Arial" w:hAnsi="Arial"/>
          <w:sz w:val="18"/>
          <w:szCs w:val="18"/>
          <w:color w:val="auto"/>
        </w:rPr>
        <w:t>a $9.1 million non-cash impairment charge for previously capitalized internal-use software related to our ERP system implementation as we determined that certain components developed will no longer be incorporated into the new ERP system.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hanging="328"/>
        <w:spacing w:after="0" w:line="215" w:lineRule="auto"/>
        <w:tabs>
          <w:tab w:leader="none" w:pos="621" w:val="left"/>
        </w:tabs>
        <w:numPr>
          <w:ilvl w:val="0"/>
          <w:numId w:val="15"/>
        </w:numPr>
        <w:rPr>
          <w:rFonts w:ascii="Arial" w:cs="Arial" w:eastAsia="Arial" w:hAnsi="Arial"/>
          <w:sz w:val="20"/>
          <w:szCs w:val="20"/>
          <w:color w:val="auto"/>
        </w:rPr>
      </w:pPr>
      <w:r>
        <w:rPr>
          <w:rFonts w:ascii="Arial" w:cs="Arial" w:eastAsia="Arial" w:hAnsi="Arial"/>
          <w:sz w:val="18"/>
          <w:szCs w:val="18"/>
          <w:color w:val="auto"/>
        </w:rPr>
        <w:t>a $17.4 million decrease in insurance expense as the result of favorable self-insurance reserve adjustments from actuarial evaluations completed in fiscal year 2021 as compared to 2020; and</w:t>
      </w:r>
    </w:p>
    <w:p>
      <w:pPr>
        <w:spacing w:after="0" w:line="121" w:lineRule="exact"/>
        <w:rPr>
          <w:rFonts w:ascii="Arial" w:cs="Arial" w:eastAsia="Arial" w:hAnsi="Arial"/>
          <w:sz w:val="20"/>
          <w:szCs w:val="20"/>
          <w:color w:val="auto"/>
        </w:rPr>
      </w:pPr>
    </w:p>
    <w:p>
      <w:pPr>
        <w:ind w:left="620" w:hanging="288"/>
        <w:spacing w:after="0"/>
        <w:tabs>
          <w:tab w:leader="none" w:pos="620" w:val="left"/>
        </w:tabs>
        <w:numPr>
          <w:ilvl w:val="0"/>
          <w:numId w:val="15"/>
        </w:numPr>
        <w:rPr>
          <w:rFonts w:ascii="Arial" w:cs="Arial" w:eastAsia="Arial" w:hAnsi="Arial"/>
          <w:sz w:val="20"/>
          <w:szCs w:val="20"/>
          <w:color w:val="auto"/>
        </w:rPr>
      </w:pPr>
      <w:r>
        <w:rPr>
          <w:rFonts w:ascii="Arial" w:cs="Arial" w:eastAsia="Arial" w:hAnsi="Arial"/>
          <w:sz w:val="18"/>
          <w:szCs w:val="18"/>
          <w:color w:val="auto"/>
        </w:rPr>
        <w:t>a $7.6 million decrease in restructuring and related expenses due to the completion of our restructuring program in fiscal year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The Year Ended October 31, 2020 Compared with the Year Ended October 31, 2019</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a comparison of our Segment Information for the year ended October 31, 2020, to the year ended October 31, 2019, see “Part II, Item 7. Management’s Discussion and Analysis of Financial Condition and Results of Operations” of our Form 10-K for the fiscal year ended October 31, 2020, filed with the SEC on December 17, 2020.</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0046AD"/>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p>
      <w:pPr>
        <w:spacing w:after="0" w:line="3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primary sources of liquidity are operating cash flows and borrowing capacity under our credit facility. We assess our liquidity in terms of our ability to generate cash to fund our short- and long-term cash requirements. As such, we project our anticipated cash requirements as well as cash flows generated from operating activities to meet those needs.</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In addition to normal working capital requirements, we anticipate that our short- and long-term cash requirements will include funding legal settlements, insurance claims, dividend payments, capital expenditures, share repurchases, mandatory loan repayments, and systems and technology transformation initiatives under our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strategy. We anticipate long-term cash uses may also include strategic acquisitions. On a long-term basis, we will continue to rely on our credit facility for any long-term funding not provided by operating cash flows.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the Pandemic has had, and will likely continue to have, an impact on our consolidated financial position, results of operations, and cash flows. Since we cannot predict the duration or scope of the Pandemic, we cannot fully anticipate or reasonably estimate all the ways in which the current global health crisis and financial market conditions could adversely impact our business in fiscal 2022 or in the future.</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taken and continue to take certain steps to preserve liquidity, including: imposing furloughs or reduced hours for certain service employees in markets significantly impacted by business slowdowns and shutdowns; managing our operating expenditures and certain selling, general and administrative expenses; amending our credit facility, as further described under “Credit Facility” below; and suspending share repurchases under our share repurchase program. In addition, we continue focusing on collection of customer receivables, monitoring the adequacy of our reserves, and extending vendor payment terms where possible. We also evaluated the business tax provisions of the CARES Act and have deferred remittance of approximately $132 million of payroll tax through December 31, 2020, which the CARES Act requires to be remitted by December 31, 2021, and December 31, 2022, in equal parts.</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our operating cash flows and borrowing capacity under our credit facility are sufficient to fund our cash requirements for the next 12 months. In the event that our plans change or our cash requirements are greater than we anticipate, we may need to access the capital markets to finance future cash requirements. However, there can be no assurance that such financing will be available to us should we need it or, if available, that the terms will be satisfactory to us and not dilutive to existing shareholders.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Credit Facility</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(the “Credit Facility”), consisting of a $900.0 million revolving line of credit and an $800.0 million amortizing term loan. In accordance with the terms of the Credit Facility, the revolving line of credit was reduced to $800.0 million on September 1, 2018.</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May 28, 2020, we amended and restated our Credit Facility (“the First Amendment”) to further enhance our financial flexibility as a precautionary measure in response to uncertainty arising from the Pandemic. The First Amendment modified certain financial covenants, the interest rate, interest margins, and commitment fees applicable to loans and commitments under the Credit Facility. The First Amendment made certain additional changes to the negative covenants restrictions under the Credit Facility, including, subject to certain exceptions: restrictions on our ability to make acquisitions, share repurchases, and other defined restricted payments, depending on our total net leverage ratio.</w:t>
      </w:r>
    </w:p>
    <w:p>
      <w:pPr>
        <w:spacing w:after="0" w:line="15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June 28, 2021, the Company amended and restated the Credit Facility (the “Second Amendment,” and the Credit Facility as amended, the “Amended Credit Facility”), extending the maturity date to June 28, 2026, and increasing the capacity of the revolving credit facility from $800.0 million to $1.3 billion and the then-remaining term loan outstanding from $620.0 million to $650.0 million. The Second Amendment also removed the anti-cash hoarding mandatory prepayment requirement as well as other restrictions that limited our ability to make acquisitions, share repurchases, and other defined restricted payments under the First Amendment. Additionally, the Second Amendment modified certain financial covenants, terms, interest rates, interest margins, and commitment fees applicable to loans and commitments under the prior Credit Facility. The Amended Credit Facility provides for the issuance of up to $350.0 million for standby letters of credit and the issuance of up to $75.0 million in swingline advances. The obligations under the Amended Credit Facility are secured on a first-priority basis by a lien 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type w:val="continuous"/>
        </w:sectPr>
      </w:pPr>
    </w:p>
    <w:bookmarkStart w:id="36" w:name="page37"/>
    <w:bookmarkEnd w:id="36"/>
    <w:p>
      <w:pPr>
        <w:jc w:val="both"/>
        <w:ind w:right="20"/>
        <w:spacing w:after="0" w:line="261" w:lineRule="auto"/>
        <w:rPr>
          <w:sz w:val="20"/>
          <w:szCs w:val="20"/>
          <w:color w:val="auto"/>
        </w:rPr>
      </w:pPr>
      <w:r>
        <w:rPr>
          <w:rFonts w:ascii="Arial" w:cs="Arial" w:eastAsia="Arial" w:hAnsi="Arial"/>
          <w:sz w:val="18"/>
          <w:szCs w:val="18"/>
          <w:color w:val="auto"/>
        </w:rPr>
        <w:t>substantially all of our assets and properties, subject to certain exceptions. We may repay amounts borrowed under the Amended Credit Facility at any time without penalty.</w:t>
      </w:r>
    </w:p>
    <w:p>
      <w:pPr>
        <w:spacing w:after="0" w:line="14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the Amended Credit Facility, the term loan and U.S.-dollar-denominated borrowings under the revolver bear interest at a rate equal to one-month LIBOR plus a spread based upon our leverage ratio. Euro- and sterling-denominated borrowings under the revolver bear at the interest rate of the Euro Interbank Offered Rate (EURIBOR) and the daily Sterling Overnight Index Average (SONIA) reference rate, respectively, plus a spread that is based upon our leverage ratio. The spread ranges from 1.375% to 2.250% for Eurocurrency loans and 0.375% to 1.250% for base rate loans. At October 31, 2021, the weighted average interest rate on our outstanding borrowings was 1.59%. We also pay a commitment fee, based on our leverage ratio and payable quarterly in arrears, ranging from 0.20% to 0.40% on the average daily unused portion of the line of credit. For purposes of this calculation, irrevocable standby letters of credit, which are issued primarily in conjunction with our insurance programs, and cash borrowings are included as outstanding under the line of credit.</w:t>
      </w:r>
    </w:p>
    <w:p>
      <w:pPr>
        <w:spacing w:after="0" w:line="15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 the Amended Credit Facility, we may elect to increase the maximum total net leverage ratio to 5.50 to 1.00 for a total of four fiscal quarters and increase the maximum secured net leverage ratio to 4.50 to 1.00 for a total of four fiscal quarters. We did not make this election for the Able Acquisition. Our borrowing capacity is subject to, and limited by, compliance with the covenants described above. At October 31, 2021, we were in compliance with these covenants and expect to be in compliance in the foreseeable future.</w:t>
      </w:r>
    </w:p>
    <w:p>
      <w:pPr>
        <w:spacing w:after="0" w:line="15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2021, we made $76.3 million of principal payments under the term loan. At October 31, 2021, the total outstanding borrowings under our Amended Credit Facility in the form of cash borrowings and standby letters of credit were $888.8 million and $167.7 million, respectively. At October 31, 2021, we had up to $875.0 million of borrowing capacity.</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March 5, 2021, the United Kingdom’s Financial Conduct Authority, the regulator of LIBOR, announced that the USD LIBOR rates will no longer be published after June 30, 2023. While we expect LIBOR to be available in substantially its current form until at least the end of June 30, 2023, it is possible that LIBOR will become unavailable prior to that point, which may impact our Amended Credit Facility and interest rate swaps. Our current credit agreement as well as our International Swaps and Derivatives Association, Inc. agreement provide for any changes away from LIBOR to a successor rate to be based on prevailing or equivalent standards. Additionally, our interest rate swaps mature before June 30, 2023. As such, we do not anticipate a material impact related to the LIBOR transition and will continue to monitor developments related to the LIBOR transition and/or identification of an alternative, market-accepted rate.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Reinvestment of Foreign Earnings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plan to reinvest our foreign earnings to fund future non-U.S. growth and expansion, and we do not anticipate remitting such earnings to the United States. While U.S. federal tax expense has been recognized as a result of the Tax Cuts and Jobs Act of 2017, no deferred tax liabilities with respect to federal and state income taxes or foreign withholding taxes have been recognized. We believe that our cash on hand in the United States, along with our Amended Credit Facility and future domestic cash flows, are sufficient to satisfy our domestic liquidity requirements.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Share Repurchases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Effective December 18, 2019, our Board of Directors replaced our then-existing share repurchase program with a new share repurchase program under which we may repurchase up to $150.0 million of our common stock. We repurchased shares under the 2019 Share Repurchase Program during the second quarter of 2020. However, due to the market and business conditions arising from the Pandemic, we suspended further repurchases of our common stock in March 2020 and did not repurchase any shares of our outstanding common stock during fiscal year 2021. At October 31, 2021, authorization for $144.9 million of repurchases remained under the 2019 Share Repurchase Program.</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7" w:name="page38"/>
    <w:bookmarkEnd w:id="37"/>
    <w:p>
      <w:pPr>
        <w:ind w:left="8080"/>
        <w:spacing w:after="0"/>
        <w:rPr>
          <w:sz w:val="20"/>
          <w:szCs w:val="20"/>
          <w:color w:val="auto"/>
        </w:rPr>
      </w:pPr>
      <w:r>
        <w:rPr>
          <w:rFonts w:ascii="Arial" w:cs="Arial" w:eastAsia="Arial" w:hAnsi="Arial"/>
          <w:sz w:val="18"/>
          <w:szCs w:val="18"/>
          <w:b w:val="1"/>
          <w:bCs w:val="1"/>
          <w:color w:val="auto"/>
        </w:rPr>
        <w:t>Years Ended October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04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4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ind w:right="73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730"/>
              <w:spacing w:after="0" w:line="182" w:lineRule="exact"/>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260" w:type="dxa"/>
            <w:vAlign w:val="bottom"/>
            <w:tcBorders>
              <w:top w:val="single" w:sz="8" w:color="auto"/>
              <w:bottom w:val="single" w:sz="8" w:color="DCE2EF"/>
            </w:tcBorders>
          </w:tcPr>
          <w:p>
            <w:pPr>
              <w:spacing w:after="0" w:line="20" w:lineRule="exact"/>
              <w:rPr>
                <w:sz w:val="1"/>
                <w:szCs w:val="1"/>
                <w:color w:val="auto"/>
              </w:rPr>
            </w:pPr>
          </w:p>
        </w:tc>
        <w:tc>
          <w:tcPr>
            <w:tcW w:w="4780" w:type="dxa"/>
            <w:vAlign w:val="bottom"/>
            <w:tcBorders>
              <w:bottom w:val="single" w:sz="8" w:color="DCE2E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Total number of shares purchased</w:t>
            </w:r>
          </w:p>
        </w:tc>
        <w:tc>
          <w:tcPr>
            <w:tcW w:w="460" w:type="dxa"/>
            <w:vAlign w:val="bottom"/>
            <w:shd w:val="clear" w:color="auto" w:fill="DCE2EF"/>
          </w:tcPr>
          <w:p>
            <w:pPr>
              <w:spacing w:after="0"/>
              <w:rPr>
                <w:sz w:val="19"/>
                <w:szCs w:val="19"/>
                <w:color w:val="auto"/>
              </w:rPr>
            </w:pPr>
          </w:p>
        </w:tc>
        <w:tc>
          <w:tcPr>
            <w:tcW w:w="1680" w:type="dxa"/>
            <w:vAlign w:val="bottom"/>
            <w:gridSpan w:val="2"/>
            <w:shd w:val="clear" w:color="auto" w:fill="DCE2EF"/>
          </w:tcPr>
          <w:p>
            <w:pPr>
              <w:jc w:val="center"/>
              <w:ind w:left="10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Average price paid per share</w:t>
            </w:r>
          </w:p>
        </w:tc>
        <w:tc>
          <w:tcPr>
            <w:tcW w:w="460" w:type="dxa"/>
            <w:vAlign w:val="bottom"/>
          </w:tcPr>
          <w:p>
            <w:pPr>
              <w:spacing w:after="0"/>
              <w:rPr>
                <w:sz w:val="19"/>
                <w:szCs w:val="19"/>
                <w:color w:val="auto"/>
              </w:rPr>
            </w:pPr>
          </w:p>
        </w:tc>
        <w:tc>
          <w:tcPr>
            <w:tcW w:w="1680" w:type="dxa"/>
            <w:vAlign w:val="bottom"/>
            <w:gridSpan w:val="2"/>
          </w:tcPr>
          <w:p>
            <w:pPr>
              <w:jc w:val="center"/>
              <w:ind w:left="1050"/>
              <w:spacing w:after="0"/>
              <w:rPr>
                <w:sz w:val="20"/>
                <w:szCs w:val="20"/>
                <w:color w:val="auto"/>
              </w:rPr>
            </w:pPr>
            <w:r>
              <w:rPr>
                <w:rFonts w:ascii="Arial" w:cs="Arial" w:eastAsia="Arial" w:hAnsi="Arial"/>
                <w:sz w:val="18"/>
                <w:szCs w:val="18"/>
                <w:color w:val="auto"/>
                <w:w w:val="99"/>
              </w:rPr>
              <w:t>N/A</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36.16</w:t>
            </w:r>
          </w:p>
        </w:tc>
      </w:tr>
      <w:tr>
        <w:trPr>
          <w:trHeight w:val="230"/>
        </w:trPr>
        <w:tc>
          <w:tcPr>
            <w:tcW w:w="20" w:type="dxa"/>
            <w:vAlign w:val="bottom"/>
            <w:shd w:val="clear" w:color="auto" w:fill="DCE2EF"/>
          </w:tcPr>
          <w:p>
            <w:pPr>
              <w:spacing w:after="0"/>
              <w:rPr>
                <w:sz w:val="19"/>
                <w:szCs w:val="19"/>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Total cash paid for share repurchases</w:t>
            </w:r>
          </w:p>
        </w:tc>
        <w:tc>
          <w:tcPr>
            <w:tcW w:w="460" w:type="dxa"/>
            <w:vAlign w:val="bottom"/>
            <w:shd w:val="clear" w:color="auto" w:fill="DCE2EF"/>
          </w:tcPr>
          <w:p>
            <w:pPr>
              <w:jc w:val="right"/>
              <w:ind w:right="250"/>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DCE2EF"/>
          </w:tcPr>
          <w:p>
            <w:pPr>
              <w:jc w:val="center"/>
              <w:ind w:left="10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DCE2E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5.1</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Proceeds from Federal Energy Savings Performance Contracts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part of our Technical Solutions business, we enter into energy savings performance contracts (“ESPC”) with the federal government pursuant to which we agree to develop, design, engineer, and construct a project and guarantee that the project will satisfy agreed-upon performance standards. Proceeds from ESPC projects are generally received in advance of construction through agreements to sell the ESPC receivables to unaffiliated third parties. We use the advances from the third parties under these agreements to finance the projects, which are recorded as cash flows from financing activities. The use of the cash received under these arrangements to pay project costs is classified as operating cash flows.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Effect of Inflation</w:t>
      </w:r>
    </w:p>
    <w:p>
      <w:pPr>
        <w:spacing w:after="0" w:line="19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rates of inflation experienced in recent years have not had a material impact on our Financial Statements. We attempt to recover increased costs by increasing prices for our services to the extent permitted by contracts and competition.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Regulatory Environment</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operations are subject to various federal, state, and/or local laws, rules, and regulations regulating the discharge of materials into the environment or otherwise relating to the protection of the environment, as well as laws and regulations relating to, among other things, labor, wages, and health and safety matters. Historically, the cost of complying with these laws, rules, and regulations has not had a material adverse effect on our financial position, results of operations, or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Cash Flows</w:t>
      </w:r>
    </w:p>
    <w:p>
      <w:pPr>
        <w:spacing w:after="0" w:line="193" w:lineRule="exact"/>
        <w:rPr>
          <w:sz w:val="20"/>
          <w:szCs w:val="20"/>
          <w:color w:val="auto"/>
        </w:rPr>
      </w:pPr>
    </w:p>
    <w:p>
      <w:pPr>
        <w:jc w:val="both"/>
        <w:ind w:firstLine="263"/>
        <w:spacing w:after="0" w:line="253"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because strong operating cash flows provide opportunities for growth both organically and through acquisitions. Operating cash flows primarily depend on: revenue levels; the quality and timing of collections of accounts receivable; the timing of payments to suppliers and other vendors; the timing and amount of income tax payments; and the timing and amount of payments on insurance claims and legal settlements.</w:t>
      </w:r>
    </w:p>
    <w:p>
      <w:pPr>
        <w:spacing w:after="0" w:line="170"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Years Ended October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560" w:type="dxa"/>
            <w:vAlign w:val="bottom"/>
            <w:gridSpan w:val="2"/>
          </w:tcPr>
          <w:p>
            <w:pPr>
              <w:spacing w:after="0"/>
              <w:rPr>
                <w:sz w:val="20"/>
                <w:szCs w:val="20"/>
                <w:color w:val="auto"/>
              </w:rPr>
            </w:pPr>
            <w:r>
              <w:rPr>
                <w:rFonts w:ascii="Arial" w:cs="Arial" w:eastAsia="Arial" w:hAnsi="Arial"/>
                <w:sz w:val="13"/>
                <w:szCs w:val="13"/>
                <w:i w:val="1"/>
                <w:iCs w:val="1"/>
                <w:color w:val="auto"/>
              </w:rPr>
              <w:t>(in millions)</w:t>
            </w: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7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7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90"/>
              <w:spacing w:after="0" w:line="182" w:lineRule="exact"/>
              <w:rPr>
                <w:sz w:val="20"/>
                <w:szCs w:val="20"/>
                <w:color w:val="auto"/>
              </w:rPr>
            </w:pPr>
            <w:r>
              <w:rPr>
                <w:rFonts w:ascii="Arial" w:cs="Arial" w:eastAsia="Arial" w:hAnsi="Arial"/>
                <w:sz w:val="18"/>
                <w:szCs w:val="18"/>
                <w:b w:val="1"/>
                <w:bCs w:val="1"/>
                <w:color w:val="auto"/>
              </w:rPr>
              <w:t>2019</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694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75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314.3</w:t>
            </w:r>
          </w:p>
        </w:tc>
        <w:tc>
          <w:tcPr>
            <w:tcW w:w="120" w:type="dxa"/>
            <w:vAlign w:val="bottom"/>
            <w:shd w:val="clear" w:color="auto" w:fill="DCE2EF"/>
          </w:tcPr>
          <w:p>
            <w:pPr>
              <w:spacing w:after="0"/>
              <w:rPr>
                <w:sz w:val="19"/>
                <w:szCs w:val="19"/>
                <w:color w:val="auto"/>
              </w:rPr>
            </w:pPr>
          </w:p>
        </w:tc>
        <w:tc>
          <w:tcPr>
            <w:tcW w:w="2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457.4</w:t>
            </w:r>
          </w:p>
        </w:tc>
        <w:tc>
          <w:tcPr>
            <w:tcW w:w="120" w:type="dxa"/>
            <w:vAlign w:val="bottom"/>
            <w:shd w:val="clear" w:color="auto" w:fill="DCE2EF"/>
          </w:tcPr>
          <w:p>
            <w:pPr>
              <w:spacing w:after="0"/>
              <w:rPr>
                <w:sz w:val="19"/>
                <w:szCs w:val="19"/>
                <w:color w:val="auto"/>
              </w:rPr>
            </w:pPr>
          </w:p>
        </w:tc>
        <w:tc>
          <w:tcPr>
            <w:tcW w:w="2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262.8</w:t>
            </w:r>
          </w:p>
        </w:tc>
      </w:tr>
      <w:tr>
        <w:trPr>
          <w:trHeight w:val="229"/>
        </w:trPr>
        <w:tc>
          <w:tcPr>
            <w:tcW w:w="20" w:type="dxa"/>
            <w:vAlign w:val="bottom"/>
          </w:tcPr>
          <w:p>
            <w:pPr>
              <w:spacing w:after="0"/>
              <w:rPr>
                <w:sz w:val="19"/>
                <w:szCs w:val="19"/>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Net cash provided by (used in) operating activities of discontinued operations</w:t>
            </w: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20" w:type="dxa"/>
            <w:vAlign w:val="bottom"/>
            <w:tcBorders>
              <w:top w:val="single" w:sz="8" w:color="DCE2EF"/>
            </w:tcBorders>
            <w:shd w:val="clear" w:color="auto" w:fill="DCE2EF"/>
          </w:tcPr>
          <w:p>
            <w:pPr>
              <w:spacing w:after="0"/>
              <w:rPr>
                <w:sz w:val="19"/>
                <w:szCs w:val="19"/>
                <w:color w:val="auto"/>
              </w:rPr>
            </w:pPr>
          </w:p>
        </w:tc>
        <w:tc>
          <w:tcPr>
            <w:tcW w:w="7560" w:type="dxa"/>
            <w:vAlign w:val="bottom"/>
            <w:tcBorders>
              <w:top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shd w:val="clear" w:color="auto" w:fill="DCE2EF"/>
          </w:tcPr>
          <w:p>
            <w:pPr>
              <w:spacing w:after="0"/>
              <w:rPr>
                <w:sz w:val="19"/>
                <w:szCs w:val="19"/>
                <w:color w:val="auto"/>
              </w:rPr>
            </w:pPr>
          </w:p>
        </w:tc>
        <w:tc>
          <w:tcPr>
            <w:tcW w:w="9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314.3</w:t>
            </w:r>
          </w:p>
        </w:tc>
        <w:tc>
          <w:tcPr>
            <w:tcW w:w="120" w:type="dxa"/>
            <w:vAlign w:val="bottom"/>
            <w:tcBorders>
              <w:top w:val="single" w:sz="8" w:color="DCE2EF"/>
            </w:tcBorders>
            <w:shd w:val="clear" w:color="auto" w:fill="DCE2EF"/>
          </w:tcPr>
          <w:p>
            <w:pPr>
              <w:spacing w:after="0"/>
              <w:rPr>
                <w:sz w:val="19"/>
                <w:szCs w:val="19"/>
                <w:color w:val="auto"/>
              </w:rPr>
            </w:pPr>
          </w:p>
        </w:tc>
        <w:tc>
          <w:tcPr>
            <w:tcW w:w="240" w:type="dxa"/>
            <w:vAlign w:val="bottom"/>
            <w:tcBorders>
              <w:top w:val="single" w:sz="8" w:color="auto"/>
            </w:tcBorders>
            <w:shd w:val="clear" w:color="auto" w:fill="DCE2EF"/>
          </w:tcPr>
          <w:p>
            <w:pPr>
              <w:spacing w:after="0"/>
              <w:rPr>
                <w:sz w:val="19"/>
                <w:szCs w:val="19"/>
                <w:color w:val="auto"/>
              </w:rPr>
            </w:pPr>
          </w:p>
        </w:tc>
        <w:tc>
          <w:tcPr>
            <w:tcW w:w="9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457.5</w:t>
            </w:r>
          </w:p>
        </w:tc>
        <w:tc>
          <w:tcPr>
            <w:tcW w:w="120" w:type="dxa"/>
            <w:vAlign w:val="bottom"/>
            <w:tcBorders>
              <w:top w:val="single" w:sz="8" w:color="DCE2EF"/>
            </w:tcBorders>
            <w:shd w:val="clear" w:color="auto" w:fill="DCE2EF"/>
          </w:tcPr>
          <w:p>
            <w:pPr>
              <w:spacing w:after="0"/>
              <w:rPr>
                <w:sz w:val="19"/>
                <w:szCs w:val="19"/>
                <w:color w:val="auto"/>
              </w:rPr>
            </w:pPr>
          </w:p>
        </w:tc>
        <w:tc>
          <w:tcPr>
            <w:tcW w:w="240" w:type="dxa"/>
            <w:vAlign w:val="bottom"/>
            <w:tcBorders>
              <w:top w:val="single" w:sz="8" w:color="auto"/>
            </w:tcBorders>
            <w:shd w:val="clear" w:color="auto" w:fill="DCE2EF"/>
          </w:tcPr>
          <w:p>
            <w:pPr>
              <w:spacing w:after="0"/>
              <w:rPr>
                <w:sz w:val="19"/>
                <w:szCs w:val="19"/>
                <w:color w:val="auto"/>
              </w:rPr>
            </w:pPr>
          </w:p>
        </w:tc>
        <w:tc>
          <w:tcPr>
            <w:tcW w:w="9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262.7</w:t>
            </w:r>
          </w:p>
        </w:tc>
      </w:tr>
      <w:tr>
        <w:trPr>
          <w:trHeight w:val="256"/>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0"/>
        </w:trPr>
        <w:tc>
          <w:tcPr>
            <w:tcW w:w="20" w:type="dxa"/>
            <w:vAlign w:val="bottom"/>
            <w:shd w:val="clear" w:color="auto" w:fill="DCE2EF"/>
          </w:tcPr>
          <w:p>
            <w:pPr>
              <w:spacing w:after="0"/>
              <w:rPr>
                <w:sz w:val="19"/>
                <w:szCs w:val="19"/>
                <w:color w:val="auto"/>
              </w:rPr>
            </w:pPr>
          </w:p>
        </w:tc>
        <w:tc>
          <w:tcPr>
            <w:tcW w:w="75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(740.0)</w:t>
            </w:r>
          </w:p>
        </w:tc>
        <w:tc>
          <w:tcPr>
            <w:tcW w:w="1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(58.3)</w:t>
            </w:r>
          </w:p>
        </w:tc>
      </w:tr>
      <w:tr>
        <w:trPr>
          <w:trHeight w:val="270"/>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20" w:type="dxa"/>
            <w:vAlign w:val="bottom"/>
            <w:shd w:val="clear" w:color="auto" w:fill="DCE2EF"/>
          </w:tcPr>
          <w:p>
            <w:pPr>
              <w:spacing w:after="0"/>
              <w:rPr>
                <w:sz w:val="19"/>
                <w:szCs w:val="19"/>
                <w:color w:val="auto"/>
              </w:rPr>
            </w:pPr>
          </w:p>
        </w:tc>
        <w:tc>
          <w:tcPr>
            <w:tcW w:w="75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(94.1)</w:t>
            </w:r>
          </w:p>
        </w:tc>
        <w:tc>
          <w:tcPr>
            <w:tcW w:w="1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(184.8)</w:t>
            </w:r>
          </w:p>
        </w:tc>
      </w:tr>
    </w:tbl>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0046AD"/>
        </w:rPr>
        <w:t>Operating Activities of Continuing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provided by operating activities of continuing operations decreased by $ 143.1 million during 2021, as compared to 2020. The decrease was primarily related to the timing of working capital changes, partially offset by deferred remittance of payroll taxes under the CARES Act.</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provided by operating activities of continuing operations increased by $194.6 million during 2020, as compared to 2019. The increase was primarily related to the timing of client receivable collections and deferred remittance of approximately $101 million of payroll taxes under the CARES Act, partially offset by the timing of vendor payments.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i w:val="1"/>
          <w:iCs w:val="1"/>
          <w:color w:val="0046AD"/>
        </w:rPr>
        <w:t>Investing Activities</w:t>
      </w:r>
    </w:p>
    <w:p>
      <w:pPr>
        <w:spacing w:after="0" w:line="18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Net cash used in investing activities increased by $712.5 million during 2021, as compared to 2020. The increase was primarily related to the Able Acquisition during the fourth quarter of 2021.</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investing activities decreased by $30.8 million during 2020, as compared to 2019. The decrease was primarily related to lower additions to property, plant and equipment in 2020. Additionally, the implementation of the new ERP system was temporarily suspended during 2020 due to the Pandemic.</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0046AD"/>
        </w:rPr>
        <w:t>Financing Activities</w:t>
      </w:r>
    </w:p>
    <w:p>
      <w:pPr>
        <w:spacing w:after="0" w:line="18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Net cash provided by financing activities was $ 92.4 million in 2021, as compared to net cash used in financing activities of $94.1 million in 2020, primarily due to higher net borrowings to partially fund the purchase price of the Able Acquisition.</w:t>
      </w:r>
    </w:p>
    <w:p>
      <w:pPr>
        <w:spacing w:after="0" w:line="144"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Net cash used in financing activities decreased by $90.7 million during 2020, as compared to 2019, primarily due to lower repayments of our borrowings in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Dividends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December 15, 2021, we announced a quarterly cash dividend of $ 0.195 per share on our common stock, payable on February 7, 2022. We declared a quarterly cash dividend on our common stock every quarter during 2021, 2020, and 2019. We paid total annual dividends of $51.0 million, $49.3 million, and $47.7 million during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0046AD"/>
        </w:rPr>
        <w:t>Material Cash Requirements from Contractual and Other Obligations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October 31, 2021, our material cash requirements for our known contractual and other obligations were as follows:</w:t>
      </w:r>
    </w:p>
    <w:p>
      <w:pPr>
        <w:spacing w:after="0" w:line="207" w:lineRule="exact"/>
        <w:rPr>
          <w:sz w:val="20"/>
          <w:szCs w:val="20"/>
          <w:color w:val="auto"/>
        </w:rPr>
      </w:pPr>
    </w:p>
    <w:p>
      <w:pPr>
        <w:jc w:val="both"/>
        <w:ind w:left="660" w:hanging="328"/>
        <w:spacing w:after="0" w:line="228" w:lineRule="auto"/>
        <w:tabs>
          <w:tab w:leader="none" w:pos="649" w:val="left"/>
        </w:tabs>
        <w:numPr>
          <w:ilvl w:val="0"/>
          <w:numId w:val="16"/>
        </w:numPr>
        <w:rPr>
          <w:rFonts w:ascii="Arial" w:cs="Arial" w:eastAsia="Arial" w:hAnsi="Arial"/>
          <w:sz w:val="16"/>
          <w:szCs w:val="16"/>
          <w:b w:val="1"/>
          <w:bCs w:val="1"/>
          <w:color w:val="auto"/>
        </w:rPr>
      </w:pPr>
      <w:r>
        <w:rPr>
          <w:rFonts w:ascii="Arial" w:cs="Arial" w:eastAsia="Arial" w:hAnsi="Arial"/>
          <w:sz w:val="18"/>
          <w:szCs w:val="18"/>
          <w:i w:val="1"/>
          <w:iCs w:val="1"/>
          <w:color w:val="0046AD"/>
        </w:rPr>
        <w:t xml:space="preserve">Debt Obligations and Interest Payments </w:t>
      </w:r>
      <w:r>
        <w:rPr>
          <w:rFonts w:ascii="Arial" w:cs="Arial" w:eastAsia="Arial" w:hAnsi="Arial"/>
          <w:sz w:val="18"/>
          <w:szCs w:val="18"/>
          <w:color w:val="000000"/>
        </w:rPr>
        <w:t>– Outstanding payments on our Amended Credit Facility were $888.8 million, with $32.5</w:t>
      </w:r>
      <w:r>
        <w:rPr>
          <w:rFonts w:ascii="Arial" w:cs="Arial" w:eastAsia="Arial" w:hAnsi="Arial"/>
          <w:sz w:val="18"/>
          <w:szCs w:val="18"/>
          <w:i w:val="1"/>
          <w:iCs w:val="1"/>
          <w:color w:val="0046AD"/>
        </w:rPr>
        <w:t xml:space="preserve"> </w:t>
      </w:r>
      <w:r>
        <w:rPr>
          <w:rFonts w:ascii="Arial" w:cs="Arial" w:eastAsia="Arial" w:hAnsi="Arial"/>
          <w:sz w:val="18"/>
          <w:szCs w:val="18"/>
          <w:color w:val="000000"/>
        </w:rPr>
        <w:t>million payable within 12 months. Additionally, we had future interest payments based on our hedged borrowings under our Amended Credit Facility of $5.0 million, which is payable within 12 months. The interest payments on our remaining borrowings under the Amended Credit Facility will be determined based upon the average outstanding balance of our borrowings and the prevailing interest rate during that time. See Note 11, “Credit Facility,” in the Financial Statements for further detail of our debt and the timing of expected future principal and interest payments.</w:t>
      </w:r>
    </w:p>
    <w:p>
      <w:pPr>
        <w:spacing w:after="0" w:line="197" w:lineRule="exact"/>
        <w:rPr>
          <w:rFonts w:ascii="Arial" w:cs="Arial" w:eastAsia="Arial" w:hAnsi="Arial"/>
          <w:sz w:val="16"/>
          <w:szCs w:val="16"/>
          <w:b w:val="1"/>
          <w:bCs w:val="1"/>
          <w:color w:val="auto"/>
        </w:rPr>
      </w:pPr>
    </w:p>
    <w:p>
      <w:pPr>
        <w:jc w:val="both"/>
        <w:ind w:left="660" w:hanging="328"/>
        <w:spacing w:after="0" w:line="232" w:lineRule="auto"/>
        <w:tabs>
          <w:tab w:leader="none" w:pos="649" w:val="left"/>
        </w:tabs>
        <w:numPr>
          <w:ilvl w:val="0"/>
          <w:numId w:val="16"/>
        </w:numPr>
        <w:rPr>
          <w:rFonts w:ascii="Arial" w:cs="Arial" w:eastAsia="Arial" w:hAnsi="Arial"/>
          <w:sz w:val="16"/>
          <w:szCs w:val="16"/>
          <w:b w:val="1"/>
          <w:bCs w:val="1"/>
          <w:color w:val="auto"/>
        </w:rPr>
      </w:pPr>
      <w:r>
        <w:rPr>
          <w:rFonts w:ascii="Arial" w:cs="Arial" w:eastAsia="Arial" w:hAnsi="Arial"/>
          <w:sz w:val="18"/>
          <w:szCs w:val="18"/>
          <w:i w:val="1"/>
          <w:iCs w:val="1"/>
          <w:color w:val="0046AD"/>
        </w:rPr>
        <w:t xml:space="preserve">Operating and Finance Leases </w:t>
      </w:r>
      <w:r>
        <w:rPr>
          <w:rFonts w:ascii="Arial" w:cs="Arial" w:eastAsia="Arial" w:hAnsi="Arial"/>
          <w:sz w:val="18"/>
          <w:szCs w:val="18"/>
          <w:color w:val="000000"/>
        </w:rPr>
        <w:t>– We enter into various noncancelable lease agreements for office space, parking facilities,</w:t>
      </w:r>
      <w:r>
        <w:rPr>
          <w:rFonts w:ascii="Arial" w:cs="Arial" w:eastAsia="Arial" w:hAnsi="Arial"/>
          <w:sz w:val="18"/>
          <w:szCs w:val="18"/>
          <w:i w:val="1"/>
          <w:iCs w:val="1"/>
          <w:color w:val="0046AD"/>
        </w:rPr>
        <w:t xml:space="preserve"> </w:t>
      </w:r>
      <w:r>
        <w:rPr>
          <w:rFonts w:ascii="Arial" w:cs="Arial" w:eastAsia="Arial" w:hAnsi="Arial"/>
          <w:sz w:val="18"/>
          <w:szCs w:val="18"/>
          <w:color w:val="000000"/>
        </w:rPr>
        <w:t>warehouses, vehicles, and equipment used in the normal course of business. Operating and finance lease obligations were $170.6 million, with $38.9 million payable within 12 months. See Note 5, “Leases,” in the Financial Statements for further detail of our obligations and the timing of expected future payments.</w:t>
      </w:r>
    </w:p>
    <w:p>
      <w:pPr>
        <w:spacing w:after="0" w:line="198" w:lineRule="exact"/>
        <w:rPr>
          <w:rFonts w:ascii="Arial" w:cs="Arial" w:eastAsia="Arial" w:hAnsi="Arial"/>
          <w:sz w:val="16"/>
          <w:szCs w:val="16"/>
          <w:b w:val="1"/>
          <w:bCs w:val="1"/>
          <w:color w:val="auto"/>
        </w:rPr>
      </w:pPr>
    </w:p>
    <w:p>
      <w:pPr>
        <w:jc w:val="both"/>
        <w:ind w:left="660" w:hanging="328"/>
        <w:spacing w:after="0" w:line="236" w:lineRule="auto"/>
        <w:tabs>
          <w:tab w:leader="none" w:pos="649" w:val="left"/>
        </w:tabs>
        <w:numPr>
          <w:ilvl w:val="0"/>
          <w:numId w:val="16"/>
        </w:numPr>
        <w:rPr>
          <w:rFonts w:ascii="Arial" w:cs="Arial" w:eastAsia="Arial" w:hAnsi="Arial"/>
          <w:sz w:val="16"/>
          <w:szCs w:val="16"/>
          <w:b w:val="1"/>
          <w:bCs w:val="1"/>
          <w:color w:val="auto"/>
        </w:rPr>
      </w:pPr>
      <w:r>
        <w:rPr>
          <w:rFonts w:ascii="Arial" w:cs="Arial" w:eastAsia="Arial" w:hAnsi="Arial"/>
          <w:sz w:val="18"/>
          <w:szCs w:val="18"/>
          <w:i w:val="1"/>
          <w:iCs w:val="1"/>
          <w:color w:val="0046AD"/>
        </w:rPr>
        <w:t xml:space="preserve">Service Concession Arrangements </w:t>
      </w:r>
      <w:r>
        <w:rPr>
          <w:rFonts w:ascii="Arial" w:cs="Arial" w:eastAsia="Arial" w:hAnsi="Arial"/>
          <w:sz w:val="18"/>
          <w:szCs w:val="18"/>
          <w:color w:val="000000"/>
        </w:rPr>
        <w:t>– As defined under Topic 853,</w:t>
      </w:r>
      <w:r>
        <w:rPr>
          <w:rFonts w:ascii="Arial" w:cs="Arial" w:eastAsia="Arial" w:hAnsi="Arial"/>
          <w:sz w:val="18"/>
          <w:szCs w:val="18"/>
          <w:i w:val="1"/>
          <w:iCs w:val="1"/>
          <w:color w:val="0046AD"/>
        </w:rPr>
        <w:t xml:space="preserve"> </w:t>
      </w:r>
      <w:r>
        <w:rPr>
          <w:rFonts w:ascii="Arial" w:cs="Arial" w:eastAsia="Arial" w:hAnsi="Arial"/>
          <w:sz w:val="18"/>
          <w:szCs w:val="18"/>
          <w:i w:val="1"/>
          <w:iCs w:val="1"/>
          <w:color w:val="000000"/>
        </w:rPr>
        <w:t>Service Concession Arrangements</w:t>
      </w:r>
      <w:r>
        <w:rPr>
          <w:rFonts w:ascii="Arial" w:cs="Arial" w:eastAsia="Arial" w:hAnsi="Arial"/>
          <w:sz w:val="18"/>
          <w:szCs w:val="18"/>
          <w:color w:val="000000"/>
        </w:rPr>
        <w:t>, our leased location parking</w:t>
      </w:r>
      <w:r>
        <w:rPr>
          <w:rFonts w:ascii="Arial" w:cs="Arial" w:eastAsia="Arial" w:hAnsi="Arial"/>
          <w:sz w:val="18"/>
          <w:szCs w:val="18"/>
          <w:i w:val="1"/>
          <w:iCs w:val="1"/>
          <w:color w:val="0046AD"/>
        </w:rPr>
        <w:t xml:space="preserve"> </w:t>
      </w:r>
      <w:r>
        <w:rPr>
          <w:rFonts w:ascii="Arial" w:cs="Arial" w:eastAsia="Arial" w:hAnsi="Arial"/>
          <w:sz w:val="18"/>
          <w:szCs w:val="18"/>
          <w:color w:val="000000"/>
        </w:rPr>
        <w:t>arrangements are represented as service concession arrangements. We had contractual payments for these arrangements of $89.9 million, with $24.9 million payable within 12 months.</w:t>
      </w:r>
    </w:p>
    <w:p>
      <w:pPr>
        <w:spacing w:after="0" w:line="199" w:lineRule="exact"/>
        <w:rPr>
          <w:rFonts w:ascii="Arial" w:cs="Arial" w:eastAsia="Arial" w:hAnsi="Arial"/>
          <w:sz w:val="16"/>
          <w:szCs w:val="16"/>
          <w:b w:val="1"/>
          <w:bCs w:val="1"/>
          <w:color w:val="auto"/>
        </w:rPr>
      </w:pPr>
    </w:p>
    <w:p>
      <w:pPr>
        <w:jc w:val="both"/>
        <w:ind w:left="660" w:hanging="328"/>
        <w:spacing w:after="0" w:line="236" w:lineRule="auto"/>
        <w:tabs>
          <w:tab w:leader="none" w:pos="649" w:val="left"/>
        </w:tabs>
        <w:numPr>
          <w:ilvl w:val="0"/>
          <w:numId w:val="16"/>
        </w:numPr>
        <w:rPr>
          <w:rFonts w:ascii="Arial" w:cs="Arial" w:eastAsia="Arial" w:hAnsi="Arial"/>
          <w:sz w:val="16"/>
          <w:szCs w:val="16"/>
          <w:b w:val="1"/>
          <w:bCs w:val="1"/>
          <w:color w:val="auto"/>
        </w:rPr>
      </w:pPr>
      <w:r>
        <w:rPr>
          <w:rFonts w:ascii="Arial" w:cs="Arial" w:eastAsia="Arial" w:hAnsi="Arial"/>
          <w:sz w:val="18"/>
          <w:szCs w:val="18"/>
          <w:i w:val="1"/>
          <w:iCs w:val="1"/>
          <w:color w:val="2F5496"/>
        </w:rPr>
        <w:t xml:space="preserve">Information Technology Service Agreements </w:t>
      </w:r>
      <w:r>
        <w:rPr>
          <w:rFonts w:ascii="Arial" w:cs="Arial" w:eastAsia="Arial" w:hAnsi="Arial"/>
          <w:sz w:val="18"/>
          <w:szCs w:val="18"/>
          <w:color w:val="000000"/>
        </w:rPr>
        <w:t>– Information technology service agreements represent outsourced services and</w:t>
      </w:r>
      <w:r>
        <w:rPr>
          <w:rFonts w:ascii="Arial" w:cs="Arial" w:eastAsia="Arial" w:hAnsi="Arial"/>
          <w:sz w:val="18"/>
          <w:szCs w:val="18"/>
          <w:i w:val="1"/>
          <w:iCs w:val="1"/>
          <w:color w:val="2F5496"/>
        </w:rPr>
        <w:t xml:space="preserve"> </w:t>
      </w:r>
      <w:r>
        <w:rPr>
          <w:rFonts w:ascii="Arial" w:cs="Arial" w:eastAsia="Arial" w:hAnsi="Arial"/>
          <w:sz w:val="18"/>
          <w:szCs w:val="18"/>
          <w:color w:val="000000"/>
        </w:rPr>
        <w:t>licensing costs pursuant to our information technology agreements. We had contractual payments for these agreements of $79.9 million, with $44.9 million payable within 12 months.</w:t>
      </w:r>
    </w:p>
    <w:p>
      <w:pPr>
        <w:spacing w:after="0" w:line="199" w:lineRule="exact"/>
        <w:rPr>
          <w:rFonts w:ascii="Arial" w:cs="Arial" w:eastAsia="Arial" w:hAnsi="Arial"/>
          <w:sz w:val="16"/>
          <w:szCs w:val="16"/>
          <w:b w:val="1"/>
          <w:bCs w:val="1"/>
          <w:color w:val="auto"/>
        </w:rPr>
      </w:pPr>
    </w:p>
    <w:p>
      <w:pPr>
        <w:jc w:val="both"/>
        <w:ind w:left="660" w:hanging="328"/>
        <w:spacing w:after="0" w:line="236" w:lineRule="auto"/>
        <w:tabs>
          <w:tab w:leader="none" w:pos="649" w:val="left"/>
        </w:tabs>
        <w:numPr>
          <w:ilvl w:val="0"/>
          <w:numId w:val="16"/>
        </w:numPr>
        <w:rPr>
          <w:rFonts w:ascii="Arial" w:cs="Arial" w:eastAsia="Arial" w:hAnsi="Arial"/>
          <w:sz w:val="16"/>
          <w:szCs w:val="16"/>
          <w:b w:val="1"/>
          <w:bCs w:val="1"/>
          <w:color w:val="auto"/>
        </w:rPr>
      </w:pPr>
      <w:r>
        <w:rPr>
          <w:rFonts w:ascii="Arial" w:cs="Arial" w:eastAsia="Arial" w:hAnsi="Arial"/>
          <w:sz w:val="18"/>
          <w:szCs w:val="18"/>
          <w:i w:val="1"/>
          <w:iCs w:val="1"/>
          <w:color w:val="2F5496"/>
        </w:rPr>
        <w:t xml:space="preserve">Benefit Obligations </w:t>
      </w:r>
      <w:r>
        <w:rPr>
          <w:rFonts w:ascii="Arial" w:cs="Arial" w:eastAsia="Arial" w:hAnsi="Arial"/>
          <w:sz w:val="18"/>
          <w:szCs w:val="18"/>
          <w:color w:val="000000"/>
        </w:rPr>
        <w:t>– Expected future payments relating to our defined benefit, postretirement, and deferred compensation plans</w:t>
      </w:r>
      <w:r>
        <w:rPr>
          <w:rFonts w:ascii="Arial" w:cs="Arial" w:eastAsia="Arial" w:hAnsi="Arial"/>
          <w:sz w:val="18"/>
          <w:szCs w:val="18"/>
          <w:i w:val="1"/>
          <w:iCs w:val="1"/>
          <w:color w:val="2F5496"/>
        </w:rPr>
        <w:t xml:space="preserve"> </w:t>
      </w:r>
      <w:r>
        <w:rPr>
          <w:rFonts w:ascii="Arial" w:cs="Arial" w:eastAsia="Arial" w:hAnsi="Arial"/>
          <w:sz w:val="18"/>
          <w:szCs w:val="18"/>
          <w:color w:val="000000"/>
        </w:rPr>
        <w:t>were $45.8 million, with $4.5 million payable in 12 months. These amounts are based on expected future service and were calculated using the same assumptions used to measure our benefit obligation at October 31, 2021.</w:t>
      </w:r>
    </w:p>
    <w:p>
      <w:pPr>
        <w:spacing w:after="0" w:line="131" w:lineRule="exact"/>
        <w:rPr>
          <w:rFonts w:ascii="Arial" w:cs="Arial" w:eastAsia="Arial" w:hAnsi="Arial"/>
          <w:sz w:val="16"/>
          <w:szCs w:val="16"/>
          <w:b w:val="1"/>
          <w:bCs w:val="1"/>
          <w:color w:val="auto"/>
        </w:rPr>
      </w:pPr>
    </w:p>
    <w:p>
      <w:pPr>
        <w:ind w:left="660" w:hanging="328"/>
        <w:spacing w:after="0" w:line="282"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2F5496"/>
        </w:rPr>
        <w:t xml:space="preserve">Litigation Settlements </w:t>
      </w:r>
      <w:r>
        <w:rPr>
          <w:rFonts w:ascii="Arial" w:cs="Arial" w:eastAsia="Arial" w:hAnsi="Arial"/>
          <w:sz w:val="18"/>
          <w:szCs w:val="18"/>
          <w:color w:val="000000"/>
        </w:rPr>
        <w:t>– A litigation settlement of $142.9 million related to the</w:t>
      </w:r>
      <w:r>
        <w:rPr>
          <w:rFonts w:ascii="Arial" w:cs="Arial" w:eastAsia="Arial" w:hAnsi="Arial"/>
          <w:sz w:val="18"/>
          <w:szCs w:val="18"/>
          <w:i w:val="1"/>
          <w:iCs w:val="1"/>
          <w:color w:val="2F5496"/>
        </w:rPr>
        <w:t xml:space="preserve"> </w:t>
      </w:r>
      <w:r>
        <w:rPr>
          <w:rFonts w:ascii="Arial" w:cs="Arial" w:eastAsia="Arial" w:hAnsi="Arial"/>
          <w:sz w:val="18"/>
          <w:szCs w:val="18"/>
          <w:i w:val="1"/>
          <w:iCs w:val="1"/>
          <w:color w:val="000000"/>
        </w:rPr>
        <w:t>Bucio</w:t>
      </w:r>
      <w:r>
        <w:rPr>
          <w:rFonts w:ascii="Arial" w:cs="Arial" w:eastAsia="Arial" w:hAnsi="Arial"/>
          <w:sz w:val="18"/>
          <w:szCs w:val="18"/>
          <w:i w:val="1"/>
          <w:iCs w:val="1"/>
          <w:color w:val="2F5496"/>
        </w:rPr>
        <w:t xml:space="preserve"> </w:t>
      </w:r>
      <w:r>
        <w:rPr>
          <w:rFonts w:ascii="Arial" w:cs="Arial" w:eastAsia="Arial" w:hAnsi="Arial"/>
          <w:sz w:val="18"/>
          <w:szCs w:val="18"/>
          <w:color w:val="000000"/>
        </w:rPr>
        <w:t>case is payable in 12 months. See Note 13,</w:t>
      </w:r>
      <w:r>
        <w:rPr>
          <w:rFonts w:ascii="Arial" w:cs="Arial" w:eastAsia="Arial" w:hAnsi="Arial"/>
          <w:sz w:val="18"/>
          <w:szCs w:val="18"/>
          <w:i w:val="1"/>
          <w:iCs w:val="1"/>
          <w:color w:val="2F5496"/>
        </w:rPr>
        <w:t xml:space="preserve"> </w:t>
      </w:r>
      <w:r>
        <w:rPr>
          <w:rFonts w:ascii="Arial" w:cs="Arial" w:eastAsia="Arial" w:hAnsi="Arial"/>
          <w:sz w:val="18"/>
          <w:szCs w:val="18"/>
          <w:color w:val="000000"/>
        </w:rPr>
        <w:t>“Commitments and Contingencies,” in the Financial Statements for further details.</w:t>
      </w:r>
    </w:p>
    <w:p>
      <w:pPr>
        <w:spacing w:after="0" w:line="175" w:lineRule="exact"/>
        <w:rPr>
          <w:rFonts w:ascii="Arial" w:cs="Arial" w:eastAsia="Arial" w:hAnsi="Arial"/>
          <w:sz w:val="18"/>
          <w:szCs w:val="18"/>
          <w:color w:val="auto"/>
        </w:rPr>
      </w:pPr>
    </w:p>
    <w:p>
      <w:pPr>
        <w:ind w:left="660" w:hanging="328"/>
        <w:spacing w:after="0" w:line="251" w:lineRule="auto"/>
        <w:tabs>
          <w:tab w:leader="none" w:pos="649" w:val="left"/>
        </w:tabs>
        <w:numPr>
          <w:ilvl w:val="0"/>
          <w:numId w:val="16"/>
        </w:numPr>
        <w:rPr>
          <w:rFonts w:ascii="Arial" w:cs="Arial" w:eastAsia="Arial" w:hAnsi="Arial"/>
          <w:sz w:val="16"/>
          <w:szCs w:val="16"/>
          <w:b w:val="1"/>
          <w:bCs w:val="1"/>
          <w:color w:val="0046AD"/>
        </w:rPr>
      </w:pPr>
      <w:r>
        <w:rPr>
          <w:rFonts w:ascii="Arial" w:cs="Arial" w:eastAsia="Arial" w:hAnsi="Arial"/>
          <w:sz w:val="18"/>
          <w:szCs w:val="18"/>
          <w:i w:val="1"/>
          <w:iCs w:val="1"/>
          <w:color w:val="2F5496"/>
        </w:rPr>
        <w:t xml:space="preserve">CARES Act Tax Obligations </w:t>
      </w:r>
      <w:r>
        <w:rPr>
          <w:rFonts w:ascii="Arial" w:cs="Arial" w:eastAsia="Arial" w:hAnsi="Arial"/>
          <w:sz w:val="18"/>
          <w:szCs w:val="18"/>
          <w:color w:val="000000"/>
        </w:rPr>
        <w:t>– We deferred approximately $132 million of payroll tax provisions under the CARES Act with $66 million</w:t>
      </w:r>
      <w:r>
        <w:rPr>
          <w:rFonts w:ascii="Arial" w:cs="Arial" w:eastAsia="Arial" w:hAnsi="Arial"/>
          <w:sz w:val="18"/>
          <w:szCs w:val="18"/>
          <w:i w:val="1"/>
          <w:iCs w:val="1"/>
          <w:color w:val="2F5496"/>
        </w:rPr>
        <w:t xml:space="preserve"> </w:t>
      </w:r>
      <w:r>
        <w:rPr>
          <w:rFonts w:ascii="Arial" w:cs="Arial" w:eastAsia="Arial" w:hAnsi="Arial"/>
          <w:sz w:val="18"/>
          <w:szCs w:val="18"/>
          <w:color w:val="000000"/>
        </w:rPr>
        <w:t>payable in 12 months. See Note 16, “Income Taxes,” in the Financial Statements for further details.</w:t>
      </w:r>
    </w:p>
    <w:p>
      <w:pPr>
        <w:spacing w:after="0" w:line="206"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In addition, our material cash requirements for other obligations, for which we cannot reasonably estimate future payments, include the following:</w:t>
      </w:r>
    </w:p>
    <w:p>
      <w:pPr>
        <w:spacing w:after="0" w:line="198" w:lineRule="exact"/>
        <w:rPr>
          <w:sz w:val="20"/>
          <w:szCs w:val="20"/>
          <w:color w:val="auto"/>
        </w:rPr>
      </w:pPr>
    </w:p>
    <w:p>
      <w:pPr>
        <w:jc w:val="both"/>
        <w:ind w:left="660" w:hanging="328"/>
        <w:spacing w:after="0" w:line="225" w:lineRule="auto"/>
        <w:tabs>
          <w:tab w:leader="none" w:pos="649" w:val="left"/>
        </w:tabs>
        <w:numPr>
          <w:ilvl w:val="0"/>
          <w:numId w:val="17"/>
        </w:numPr>
        <w:rPr>
          <w:rFonts w:ascii="Arial" w:cs="Arial" w:eastAsia="Arial" w:hAnsi="Arial"/>
          <w:sz w:val="16"/>
          <w:szCs w:val="16"/>
          <w:b w:val="1"/>
          <w:bCs w:val="1"/>
          <w:color w:val="auto"/>
        </w:rPr>
      </w:pPr>
      <w:r>
        <w:rPr>
          <w:rFonts w:ascii="Arial" w:cs="Arial" w:eastAsia="Arial" w:hAnsi="Arial"/>
          <w:sz w:val="18"/>
          <w:szCs w:val="18"/>
          <w:i w:val="1"/>
          <w:iCs w:val="1"/>
          <w:color w:val="0046AD"/>
        </w:rPr>
        <w:t xml:space="preserve">Multiemployer Benefit Plans </w:t>
      </w:r>
      <w:r>
        <w:rPr>
          <w:rFonts w:ascii="Arial" w:cs="Arial" w:eastAsia="Arial" w:hAnsi="Arial"/>
          <w:sz w:val="18"/>
          <w:szCs w:val="18"/>
          <w:color w:val="000000"/>
        </w:rPr>
        <w:t>– In addition to our company sponsored benefit plans, we participate in certain multiemployer pension</w:t>
      </w:r>
      <w:r>
        <w:rPr>
          <w:rFonts w:ascii="Arial" w:cs="Arial" w:eastAsia="Arial" w:hAnsi="Arial"/>
          <w:sz w:val="18"/>
          <w:szCs w:val="18"/>
          <w:i w:val="1"/>
          <w:iCs w:val="1"/>
          <w:color w:val="0046AD"/>
        </w:rPr>
        <w:t xml:space="preserve"> </w:t>
      </w:r>
      <w:r>
        <w:rPr>
          <w:rFonts w:ascii="Arial" w:cs="Arial" w:eastAsia="Arial" w:hAnsi="Arial"/>
          <w:sz w:val="18"/>
          <w:szCs w:val="18"/>
          <w:color w:val="000000"/>
        </w:rPr>
        <w:t>and other postretirement plans. The cost of these plans is equal to the annual required contributions determined in accordance with the provisions of negotiated collective bargaining arrangements. During 2021, 2020, and 2019, contributions made to these plans were $348.8 million, $335.8 million, and $345.4 million, respectively; however, our future contributions to the multiemployer plans are dependent upon a number of factors, including the funded status of the plans, the ability of other participating companies to meet ongoing funding obligations, and the level of our ongoing participation in these plans. Amounts of future contributions that we would be contractually obligated to make pursuant to these plans cannot be reasonably estimated. See Note 12, “Employee Benefit Plans,” in the Financial Statements for more information.</w:t>
      </w:r>
    </w:p>
    <w:p>
      <w:pPr>
        <w:spacing w:after="0" w:line="202" w:lineRule="exact"/>
        <w:rPr>
          <w:rFonts w:ascii="Arial" w:cs="Arial" w:eastAsia="Arial" w:hAnsi="Arial"/>
          <w:sz w:val="16"/>
          <w:szCs w:val="16"/>
          <w:b w:val="1"/>
          <w:bCs w:val="1"/>
          <w:color w:val="auto"/>
        </w:rPr>
      </w:pPr>
    </w:p>
    <w:p>
      <w:pPr>
        <w:jc w:val="both"/>
        <w:ind w:left="660" w:hanging="328"/>
        <w:spacing w:after="0" w:line="229" w:lineRule="auto"/>
        <w:tabs>
          <w:tab w:leader="none" w:pos="649" w:val="left"/>
        </w:tabs>
        <w:numPr>
          <w:ilvl w:val="0"/>
          <w:numId w:val="17"/>
        </w:numPr>
        <w:rPr>
          <w:rFonts w:ascii="Arial" w:cs="Arial" w:eastAsia="Arial" w:hAnsi="Arial"/>
          <w:sz w:val="16"/>
          <w:szCs w:val="16"/>
          <w:b w:val="1"/>
          <w:bCs w:val="1"/>
          <w:color w:val="auto"/>
        </w:rPr>
      </w:pPr>
      <w:r>
        <w:rPr>
          <w:rFonts w:ascii="Arial" w:cs="Arial" w:eastAsia="Arial" w:hAnsi="Arial"/>
          <w:sz w:val="18"/>
          <w:szCs w:val="18"/>
          <w:i w:val="1"/>
          <w:iCs w:val="1"/>
          <w:color w:val="0046AD"/>
        </w:rPr>
        <w:t xml:space="preserve">Self-Insurance Obligations </w:t>
      </w:r>
      <w:r>
        <w:rPr>
          <w:rFonts w:ascii="Arial" w:cs="Arial" w:eastAsia="Arial" w:hAnsi="Arial"/>
          <w:sz w:val="18"/>
          <w:szCs w:val="18"/>
          <w:color w:val="000000"/>
        </w:rPr>
        <w:t>– We may make payments for exposures for which we are self-insured, including workers’ compensation,</w:t>
      </w:r>
      <w:r>
        <w:rPr>
          <w:rFonts w:ascii="Arial" w:cs="Arial" w:eastAsia="Arial" w:hAnsi="Arial"/>
          <w:sz w:val="18"/>
          <w:szCs w:val="18"/>
          <w:i w:val="1"/>
          <w:iCs w:val="1"/>
          <w:color w:val="0046AD"/>
        </w:rPr>
        <w:t xml:space="preserve"> </w:t>
      </w:r>
      <w:r>
        <w:rPr>
          <w:rFonts w:ascii="Arial" w:cs="Arial" w:eastAsia="Arial" w:hAnsi="Arial"/>
          <w:sz w:val="18"/>
          <w:szCs w:val="18"/>
          <w:color w:val="000000"/>
        </w:rPr>
        <w:t>general liability, automobile liability, property damage, and other insurable risks. At October 31, 2021, our self-insurance reserves, net of recoverables, were $508.3 million. As these obligations do not have scheduled maturities, we are unable to make a reliable estimate of the amount or timing of cash that may be required to settle these matters. See Note 10, “Insurance,” in the Financial Statements for further detail.</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40" w:name="page41"/>
    <w:bookmarkEnd w:id="40"/>
    <w:p>
      <w:pPr>
        <w:jc w:val="both"/>
        <w:ind w:left="660" w:hanging="328"/>
        <w:spacing w:after="0" w:line="229" w:lineRule="auto"/>
        <w:tabs>
          <w:tab w:leader="none" w:pos="649" w:val="left"/>
        </w:tabs>
        <w:numPr>
          <w:ilvl w:val="0"/>
          <w:numId w:val="18"/>
        </w:numPr>
        <w:rPr>
          <w:rFonts w:ascii="Arial" w:cs="Arial" w:eastAsia="Arial" w:hAnsi="Arial"/>
          <w:sz w:val="16"/>
          <w:szCs w:val="16"/>
          <w:b w:val="1"/>
          <w:bCs w:val="1"/>
          <w:color w:val="auto"/>
        </w:rPr>
      </w:pPr>
      <w:r>
        <w:rPr>
          <w:rFonts w:ascii="Arial" w:cs="Arial" w:eastAsia="Arial" w:hAnsi="Arial"/>
          <w:sz w:val="18"/>
          <w:szCs w:val="18"/>
          <w:i w:val="1"/>
          <w:iCs w:val="1"/>
          <w:color w:val="0046AD"/>
        </w:rPr>
        <w:t xml:space="preserve">Unrecognized Tax Benefits </w:t>
      </w:r>
      <w:r>
        <w:rPr>
          <w:rFonts w:ascii="Arial" w:cs="Arial" w:eastAsia="Arial" w:hAnsi="Arial"/>
          <w:sz w:val="18"/>
          <w:szCs w:val="18"/>
          <w:color w:val="000000"/>
        </w:rPr>
        <w:t>– At October 31, 2021, our total liability for unrecognized tax benefits was $12.5 million. The resolution or</w:t>
      </w:r>
      <w:r>
        <w:rPr>
          <w:rFonts w:ascii="Arial" w:cs="Arial" w:eastAsia="Arial" w:hAnsi="Arial"/>
          <w:sz w:val="18"/>
          <w:szCs w:val="18"/>
          <w:i w:val="1"/>
          <w:iCs w:val="1"/>
          <w:color w:val="0046AD"/>
        </w:rPr>
        <w:t xml:space="preserve"> </w:t>
      </w:r>
      <w:r>
        <w:rPr>
          <w:rFonts w:ascii="Arial" w:cs="Arial" w:eastAsia="Arial" w:hAnsi="Arial"/>
          <w:sz w:val="18"/>
          <w:szCs w:val="18"/>
          <w:color w:val="000000"/>
        </w:rPr>
        <w:t>settlement of these tax positions with the taxing authorities is subject to significant uncertainty, and therefore we are unable to make a reliable estimate of the amount or timing of cash that may be required to settle these matters. In addition, certain of these matters may not require cash settlements due to the exercise of credits and net operating loss carryforwards as well as other offsets, including the indirect benefit from other taxing jurisdictions that may be available.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Off-Balance Sheet Arrangements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no off-balance sheet arrangements other than unrecorded standby letters of credit and surety bonds. We use letters of credit and surety bonds in the ordinary course of business to ensure the performance of contractual obligations and to collateralize self-insurance obligations in the event we are unable to meet our claim payment obligations. As we already have reserves on our books for the claims costs, these do not represent additional liabilities. The surety bonds typically remain in force for one to five years and may include optional renewal periods. As of October 31, 2021, these letters of credit and surety bonds totaled $167.7 million and $687.3 million, respectively. Neither of these arrangements has a material current effect, or is reasonably likely to have a material future effect, on our financial condition, revenues or expenses,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0046AD"/>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preparation of consolidated financial statements in accordance with United States generally accepted accounting principles requires our management to make certain estimates that affect the reported amounts. We base our estimates on historical experience, known or expected trends, independent valuations, and various other assumptions that we believe to be reasonable under the circumstances. As future events and their effects cannot be determined with precision, actual results could differ significantly from these estimates. There have been no significant changes to our critical accounting policies and estimates for the year ended October 31, 2021. We believe the following critical accounting policies govern the more significant judgments and estimates used in the preparation of our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tabs>
          <w:tab w:leader="none" w:pos="2600" w:val="left"/>
          <w:tab w:leader="none" w:pos="5900" w:val="left"/>
        </w:tabs>
        <w:rPr>
          <w:sz w:val="20"/>
          <w:szCs w:val="20"/>
          <w:color w:val="auto"/>
        </w:rPr>
      </w:pP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6"/>
          <w:szCs w:val="16"/>
          <w:b w:val="1"/>
          <w:bCs w:val="1"/>
          <w:color w:val="auto"/>
        </w:rPr>
        <w:t>Judgments and Uncertainties</w:t>
      </w:r>
      <w:r>
        <w:rPr>
          <w:sz w:val="20"/>
          <w:szCs w:val="20"/>
          <w:color w:val="auto"/>
        </w:rPr>
        <w:tab/>
      </w:r>
      <w:r>
        <w:rPr>
          <w:rFonts w:ascii="Arial" w:cs="Arial" w:eastAsia="Arial" w:hAnsi="Arial"/>
          <w:sz w:val="16"/>
          <w:szCs w:val="16"/>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Customer Relationships</w:t>
      </w:r>
    </w:p>
    <w:p>
      <w:pPr>
        <w:sectPr>
          <w:pgSz w:w="11900" w:h="16838" w:orient="portrait"/>
          <w:cols w:equalWidth="0" w:num="1">
            <w:col w:w="11240"/>
          </w:cols>
          <w:pgMar w:left="320" w:top="886" w:right="339" w:bottom="1440" w:gutter="0" w:footer="0" w:header="0"/>
        </w:sectPr>
      </w:pPr>
    </w:p>
    <w:p>
      <w:pPr>
        <w:spacing w:after="0" w:line="241" w:lineRule="exact"/>
        <w:rPr>
          <w:sz w:val="20"/>
          <w:szCs w:val="20"/>
          <w:color w:val="auto"/>
        </w:rPr>
      </w:pPr>
    </w:p>
    <w:p>
      <w:pPr>
        <w:ind w:left="20" w:right="60"/>
        <w:spacing w:after="0" w:line="221" w:lineRule="auto"/>
        <w:rPr>
          <w:sz w:val="20"/>
          <w:szCs w:val="20"/>
          <w:color w:val="auto"/>
        </w:rPr>
      </w:pPr>
      <w:r>
        <w:rPr>
          <w:rFonts w:ascii="Arial" w:cs="Arial" w:eastAsia="Arial" w:hAnsi="Arial"/>
          <w:sz w:val="16"/>
          <w:szCs w:val="16"/>
          <w:color w:val="auto"/>
        </w:rPr>
        <w:t>When we acquire a company, we determine the fair value on the acquisition date of assets acquired and liabilities assumed.</w:t>
      </w:r>
    </w:p>
    <w:p>
      <w:pPr>
        <w:spacing w:after="0" w:line="213" w:lineRule="exact"/>
        <w:rPr>
          <w:sz w:val="20"/>
          <w:szCs w:val="20"/>
          <w:color w:val="auto"/>
        </w:rPr>
      </w:pPr>
    </w:p>
    <w:p>
      <w:pPr>
        <w:ind w:left="20" w:right="20"/>
        <w:spacing w:after="0" w:line="221" w:lineRule="auto"/>
        <w:rPr>
          <w:sz w:val="20"/>
          <w:szCs w:val="20"/>
          <w:color w:val="auto"/>
        </w:rPr>
      </w:pPr>
      <w:r>
        <w:rPr>
          <w:rFonts w:ascii="Arial" w:cs="Arial" w:eastAsia="Arial" w:hAnsi="Arial"/>
          <w:sz w:val="16"/>
          <w:szCs w:val="16"/>
          <w:color w:val="auto"/>
        </w:rPr>
        <w:t>We anticipate that for most acquisitions, we will exercise significant judgment in estimating the fair value of intangible assets.</w:t>
      </w:r>
    </w:p>
    <w:p>
      <w:pPr>
        <w:spacing w:after="0" w:line="213" w:lineRule="exact"/>
        <w:rPr>
          <w:sz w:val="20"/>
          <w:szCs w:val="20"/>
          <w:color w:val="auto"/>
        </w:rPr>
      </w:pPr>
    </w:p>
    <w:p>
      <w:pPr>
        <w:ind w:left="20"/>
        <w:spacing w:after="0" w:line="216" w:lineRule="auto"/>
        <w:rPr>
          <w:sz w:val="20"/>
          <w:szCs w:val="20"/>
          <w:color w:val="auto"/>
        </w:rPr>
      </w:pPr>
      <w:r>
        <w:rPr>
          <w:rFonts w:ascii="Arial" w:cs="Arial" w:eastAsia="Arial" w:hAnsi="Arial"/>
          <w:sz w:val="16"/>
          <w:szCs w:val="16"/>
          <w:color w:val="auto"/>
        </w:rPr>
        <w:t>In a typical acquisition, customer relationships are our most significant definite-lived intangible asset. In valuing these relationships, we engage a third-party valuation expert to fair value these assets using a version of the income approach known as the “excess earnings method.”</w:t>
      </w:r>
    </w:p>
    <w:p>
      <w:pPr>
        <w:spacing w:after="0" w:line="211" w:lineRule="exact"/>
        <w:rPr>
          <w:sz w:val="20"/>
          <w:szCs w:val="20"/>
          <w:color w:val="auto"/>
        </w:rPr>
      </w:pPr>
    </w:p>
    <w:p>
      <w:pPr>
        <w:ind w:left="20" w:right="180"/>
        <w:spacing w:after="0" w:line="216" w:lineRule="auto"/>
        <w:rPr>
          <w:sz w:val="20"/>
          <w:szCs w:val="20"/>
          <w:color w:val="auto"/>
        </w:rPr>
      </w:pPr>
      <w:r>
        <w:rPr>
          <w:rFonts w:ascii="Arial" w:cs="Arial" w:eastAsia="Arial" w:hAnsi="Arial"/>
          <w:sz w:val="16"/>
          <w:szCs w:val="16"/>
          <w:color w:val="auto"/>
        </w:rPr>
        <w:t>This method uses a discounted cash flow approach that is derived from historical information, future revenue and operating profit margins, contributory asset charges, and the selection of an appropriate discount rate.</w:t>
      </w:r>
    </w:p>
    <w:p>
      <w:pPr>
        <w:spacing w:after="0" w:line="214" w:lineRule="exact"/>
        <w:rPr>
          <w:sz w:val="20"/>
          <w:szCs w:val="20"/>
          <w:color w:val="auto"/>
        </w:rPr>
      </w:pPr>
    </w:p>
    <w:p>
      <w:pPr>
        <w:ind w:left="20" w:right="180"/>
        <w:spacing w:after="0" w:line="218" w:lineRule="auto"/>
        <w:rPr>
          <w:sz w:val="20"/>
          <w:szCs w:val="20"/>
          <w:color w:val="auto"/>
        </w:rPr>
      </w:pPr>
      <w:r>
        <w:rPr>
          <w:rFonts w:ascii="Arial" w:cs="Arial" w:eastAsia="Arial" w:hAnsi="Arial"/>
          <w:sz w:val="16"/>
          <w:szCs w:val="16"/>
          <w:color w:val="auto"/>
        </w:rPr>
        <w:t>We consider this approach the most appropriate valuation technique because the inherent value of these assets is their ability to generate current and future income.</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right="100"/>
        <w:spacing w:after="0" w:line="214" w:lineRule="auto"/>
        <w:rPr>
          <w:sz w:val="20"/>
          <w:szCs w:val="20"/>
          <w:color w:val="auto"/>
        </w:rPr>
      </w:pPr>
      <w:r>
        <w:rPr>
          <w:rFonts w:ascii="Arial" w:cs="Arial" w:eastAsia="Arial" w:hAnsi="Arial"/>
          <w:sz w:val="16"/>
          <w:szCs w:val="16"/>
          <w:color w:val="auto"/>
        </w:rPr>
        <w:t>Future revenue growth, future operating performance margin as a percentage of revenues, customer attrition rate, and discount rate applied are the significant estimates used in the excess earnings method to determine the fair value of customer relationships. These estimates are influenced by many factors, including historical financial information, estimated retention rates, and management's expectations for future customer growth as a combined company.</w:t>
      </w:r>
    </w:p>
    <w:p>
      <w:pPr>
        <w:spacing w:after="0" w:line="218" w:lineRule="exact"/>
        <w:rPr>
          <w:sz w:val="20"/>
          <w:szCs w:val="20"/>
          <w:color w:val="auto"/>
        </w:rPr>
      </w:pPr>
    </w:p>
    <w:p>
      <w:pPr>
        <w:ind w:right="60"/>
        <w:spacing w:after="0" w:line="218" w:lineRule="auto"/>
        <w:rPr>
          <w:sz w:val="20"/>
          <w:szCs w:val="20"/>
          <w:color w:val="auto"/>
        </w:rPr>
      </w:pPr>
      <w:r>
        <w:rPr>
          <w:rFonts w:ascii="Arial" w:cs="Arial" w:eastAsia="Arial" w:hAnsi="Arial"/>
          <w:sz w:val="16"/>
          <w:szCs w:val="16"/>
          <w:color w:val="auto"/>
        </w:rPr>
        <w:t>Another estimate that impacts the valuation is the contributory charge for the acquired workforce, which involves management assumptions based on historical experience, including interview time and new hire productivity.</w:t>
      </w:r>
    </w:p>
    <w:p>
      <w:pPr>
        <w:spacing w:after="0" w:line="212" w:lineRule="exact"/>
        <w:rPr>
          <w:sz w:val="20"/>
          <w:szCs w:val="20"/>
          <w:color w:val="auto"/>
        </w:rPr>
      </w:pPr>
    </w:p>
    <w:p>
      <w:pPr>
        <w:spacing w:after="0" w:line="218" w:lineRule="auto"/>
        <w:rPr>
          <w:sz w:val="20"/>
          <w:szCs w:val="20"/>
          <w:color w:val="auto"/>
        </w:rPr>
      </w:pPr>
      <w:r>
        <w:rPr>
          <w:rFonts w:ascii="Arial" w:cs="Arial" w:eastAsia="Arial" w:hAnsi="Arial"/>
          <w:sz w:val="16"/>
          <w:szCs w:val="16"/>
          <w:color w:val="auto"/>
        </w:rPr>
        <w:t>The estimated life is determined by calculating the number of years necessary to obtain 90% of the value of the discounted cash flows of the relationships and is directly tied to the accuracy of the above assumptions.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right="180"/>
        <w:spacing w:after="0" w:line="225" w:lineRule="auto"/>
        <w:rPr>
          <w:sz w:val="20"/>
          <w:szCs w:val="20"/>
          <w:color w:val="auto"/>
        </w:rPr>
      </w:pPr>
      <w:r>
        <w:rPr>
          <w:rFonts w:ascii="Arial" w:cs="Arial" w:eastAsia="Arial" w:hAnsi="Arial"/>
          <w:sz w:val="16"/>
          <w:szCs w:val="16"/>
          <w:color w:val="auto"/>
        </w:rPr>
        <w:t>We have not made any changes in the accounting methodology used to determine the fair value of customer relationships during the last three years.</w:t>
      </w:r>
    </w:p>
    <w:p>
      <w:pPr>
        <w:spacing w:after="0" w:line="212" w:lineRule="exact"/>
        <w:rPr>
          <w:sz w:val="20"/>
          <w:szCs w:val="20"/>
          <w:color w:val="auto"/>
        </w:rPr>
      </w:pPr>
    </w:p>
    <w:p>
      <w:pPr>
        <w:ind w:right="60"/>
        <w:spacing w:after="0" w:line="221" w:lineRule="auto"/>
        <w:rPr>
          <w:sz w:val="20"/>
          <w:szCs w:val="20"/>
          <w:color w:val="auto"/>
        </w:rPr>
      </w:pPr>
      <w:r>
        <w:rPr>
          <w:rFonts w:ascii="Arial" w:cs="Arial" w:eastAsia="Arial" w:hAnsi="Arial"/>
          <w:sz w:val="16"/>
          <w:szCs w:val="16"/>
          <w:color w:val="auto"/>
        </w:rPr>
        <w:t>If the subsequent actual results and updated projections of the underlying business activity change compared with the assumptions and projections used to develop the values of the identifiable intangible assets, then we could record material impairment losses.</w:t>
      </w:r>
    </w:p>
    <w:p>
      <w:pPr>
        <w:spacing w:after="0" w:line="213" w:lineRule="exact"/>
        <w:rPr>
          <w:sz w:val="20"/>
          <w:szCs w:val="20"/>
          <w:color w:val="auto"/>
        </w:rPr>
      </w:pPr>
    </w:p>
    <w:p>
      <w:pPr>
        <w:jc w:val="both"/>
        <w:ind w:right="200"/>
        <w:spacing w:after="0" w:line="225" w:lineRule="auto"/>
        <w:rPr>
          <w:sz w:val="20"/>
          <w:szCs w:val="20"/>
          <w:color w:val="auto"/>
        </w:rPr>
      </w:pPr>
      <w:r>
        <w:rPr>
          <w:rFonts w:ascii="Arial" w:cs="Arial" w:eastAsia="Arial" w:hAnsi="Arial"/>
          <w:sz w:val="16"/>
          <w:szCs w:val="16"/>
          <w:color w:val="auto"/>
        </w:rPr>
        <w:t>With other assumptions held constant, a 10% increase in the calculated fair value of the Able customer relationships would increase the annual amortization expense by $2.8 million in 2022.</w:t>
      </w:r>
    </w:p>
    <w:p>
      <w:pPr>
        <w:spacing w:after="0" w:line="212" w:lineRule="exact"/>
        <w:rPr>
          <w:sz w:val="20"/>
          <w:szCs w:val="20"/>
          <w:color w:val="auto"/>
        </w:rPr>
      </w:pPr>
    </w:p>
    <w:p>
      <w:pPr>
        <w:ind w:right="360"/>
        <w:spacing w:after="0" w:line="232" w:lineRule="auto"/>
        <w:rPr>
          <w:sz w:val="20"/>
          <w:szCs w:val="20"/>
          <w:color w:val="auto"/>
        </w:rPr>
      </w:pPr>
      <w:r>
        <w:rPr>
          <w:rFonts w:ascii="Arial" w:cs="Arial" w:eastAsia="Arial" w:hAnsi="Arial"/>
          <w:sz w:val="16"/>
          <w:szCs w:val="16"/>
          <w:color w:val="auto"/>
        </w:rPr>
        <w:t>See the “Valuation of Long-Lived Assets” critical accounting policy for information about impairment evaluations.</w:t>
      </w:r>
    </w:p>
    <w:p>
      <w:pPr>
        <w:spacing w:after="0" w:line="3439" w:lineRule="exact"/>
        <w:rPr>
          <w:sz w:val="20"/>
          <w:szCs w:val="20"/>
          <w:color w:val="auto"/>
        </w:rPr>
      </w:pPr>
    </w:p>
    <w:p>
      <w:pPr>
        <w:sectPr>
          <w:pgSz w:w="11900" w:h="16838" w:orient="portrait"/>
          <w:cols w:equalWidth="0" w:num="3">
            <w:col w:w="2460" w:space="160"/>
            <w:col w:w="3160" w:space="140"/>
            <w:col w:w="5320"/>
          </w:cols>
          <w:pgMar w:left="320" w:top="88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42" w:name="page43"/>
    <w:bookmarkEnd w:id="42"/>
    <w:p>
      <w:pPr>
        <w:spacing w:after="0"/>
        <w:tabs>
          <w:tab w:leader="none" w:pos="2580" w:val="left"/>
          <w:tab w:leader="none" w:pos="5880" w:val="left"/>
        </w:tabs>
        <w:rPr>
          <w:sz w:val="20"/>
          <w:szCs w:val="20"/>
          <w:color w:val="auto"/>
        </w:rPr>
      </w:pP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6"/>
          <w:szCs w:val="16"/>
          <w:b w:val="1"/>
          <w:bCs w:val="1"/>
          <w:color w:val="auto"/>
        </w:rPr>
        <w:t>Judgments and Uncertainties</w:t>
      </w:r>
      <w:r>
        <w:rPr>
          <w:sz w:val="20"/>
          <w:szCs w:val="20"/>
          <w:color w:val="auto"/>
        </w:rPr>
        <w:tab/>
      </w:r>
      <w:r>
        <w:rPr>
          <w:rFonts w:ascii="Arial" w:cs="Arial" w:eastAsia="Arial" w:hAnsi="Arial"/>
          <w:sz w:val="16"/>
          <w:szCs w:val="16"/>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Valuation of Long-Lived Assets</w:t>
      </w:r>
    </w:p>
    <w:p>
      <w:pPr>
        <w:sectPr>
          <w:pgSz w:w="11900" w:h="16838" w:orient="portrait"/>
          <w:cols w:equalWidth="0" w:num="1">
            <w:col w:w="11180"/>
          </w:cols>
          <w:pgMar w:left="340" w:top="931" w:right="379" w:bottom="1440" w:gutter="0" w:footer="0" w:header="0"/>
        </w:sectPr>
      </w:pPr>
    </w:p>
    <w:p>
      <w:pPr>
        <w:spacing w:after="0" w:line="241" w:lineRule="exact"/>
        <w:rPr>
          <w:sz w:val="20"/>
          <w:szCs w:val="20"/>
          <w:color w:val="auto"/>
        </w:rPr>
      </w:pPr>
    </w:p>
    <w:p>
      <w:pPr>
        <w:ind w:right="20"/>
        <w:spacing w:after="0" w:line="223" w:lineRule="auto"/>
        <w:rPr>
          <w:sz w:val="20"/>
          <w:szCs w:val="20"/>
          <w:color w:val="auto"/>
        </w:rPr>
      </w:pPr>
      <w:r>
        <w:rPr>
          <w:rFonts w:ascii="Arial" w:cs="Arial" w:eastAsia="Arial" w:hAnsi="Arial"/>
          <w:sz w:val="16"/>
          <w:szCs w:val="16"/>
          <w:color w:val="auto"/>
        </w:rPr>
        <w:t>We evaluate our fixed assets and amortizable intangible assets for impairment whenever events or changes in circumstances indicate that the carrying amount of such assets may not be recoverable. These events and circumstances include, but are not limited to: higher than expected attrition for customer relationships; a current expectation that a long-lived asset will be disposed of significantly before the end of its previously estimated useful life, such as when we classify a business as held for sale; a significant adverse change in the extent or manner in which we use a long-lived asset; or a change in the physical condition of a long-lived asset.</w:t>
      </w:r>
    </w:p>
    <w:p>
      <w:pPr>
        <w:spacing w:after="0" w:line="217" w:lineRule="exact"/>
        <w:rPr>
          <w:sz w:val="20"/>
          <w:szCs w:val="20"/>
          <w:color w:val="auto"/>
        </w:rPr>
      </w:pPr>
    </w:p>
    <w:p>
      <w:pPr>
        <w:spacing w:after="0" w:line="218" w:lineRule="auto"/>
        <w:rPr>
          <w:sz w:val="20"/>
          <w:szCs w:val="20"/>
          <w:color w:val="auto"/>
        </w:rPr>
      </w:pPr>
      <w:r>
        <w:rPr>
          <w:rFonts w:ascii="Arial" w:cs="Arial" w:eastAsia="Arial" w:hAnsi="Arial"/>
          <w:sz w:val="16"/>
          <w:szCs w:val="16"/>
          <w:color w:val="auto"/>
        </w:rPr>
        <w:t>Undiscounted cash flow analyses are used to determine if impairment exists; if impairment is determined to exist, the loss is calculated based on estimated fair value.</w:t>
      </w:r>
    </w:p>
    <w:p>
      <w:pPr>
        <w:spacing w:after="0" w:line="212" w:lineRule="exact"/>
        <w:rPr>
          <w:sz w:val="20"/>
          <w:szCs w:val="20"/>
          <w:color w:val="auto"/>
        </w:rPr>
      </w:pPr>
    </w:p>
    <w:p>
      <w:pPr>
        <w:spacing w:after="0" w:line="221" w:lineRule="auto"/>
        <w:rPr>
          <w:sz w:val="20"/>
          <w:szCs w:val="20"/>
          <w:color w:val="auto"/>
        </w:rPr>
      </w:pPr>
      <w:r>
        <w:rPr>
          <w:rFonts w:ascii="Arial" w:cs="Arial" w:eastAsia="Arial" w:hAnsi="Arial"/>
          <w:sz w:val="16"/>
          <w:szCs w:val="16"/>
          <w:color w:val="auto"/>
        </w:rPr>
        <w:t>Goodwill is not amortized but rather tested at least annually for impairment or more often if events or changes in circumstances indicate it is more-likely-than-not that the carrying amount of the asset may not be recoverable. Goodwill is tested for impairment at the reporting unit level, which represents an operating segment or a component of an operating segment. Goodwill is tested for impairment by either performing a qualitative evaluation or a quantitative test. The qualitative evaluation is an assessment of factors to determine whether it is more-likely-than-not that the fair value of a reporting unit is less than its carrying amount, including goodwill. We may elect not to perform the qualitative assessment for some or all of our reporting units and instead perform a quantitative impairment test.</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right="40"/>
        <w:spacing w:after="0" w:line="215" w:lineRule="auto"/>
        <w:rPr>
          <w:sz w:val="20"/>
          <w:szCs w:val="20"/>
          <w:color w:val="auto"/>
        </w:rPr>
      </w:pPr>
      <w:r>
        <w:rPr>
          <w:rFonts w:ascii="Arial" w:cs="Arial" w:eastAsia="Arial" w:hAnsi="Arial"/>
          <w:sz w:val="16"/>
          <w:szCs w:val="16"/>
          <w:color w:val="auto"/>
        </w:rPr>
        <w:t>Our impairment evaluations require us to apply judgment in determining whether a triggering event has occurred, including the evaluation of whether it is more- likely-than-not that a long-lived asset will be disposed of significantly before the end of its previously estimated useful life. Incorrect estimation of useful lives may result in inaccurate depreciation and amortization charges over future periods leading, to future impairment.</w:t>
      </w:r>
    </w:p>
    <w:p>
      <w:pPr>
        <w:spacing w:after="0" w:line="212" w:lineRule="exact"/>
        <w:rPr>
          <w:sz w:val="20"/>
          <w:szCs w:val="20"/>
          <w:color w:val="auto"/>
        </w:rPr>
      </w:pPr>
    </w:p>
    <w:p>
      <w:pPr>
        <w:ind w:right="120"/>
        <w:spacing w:after="0" w:line="216" w:lineRule="auto"/>
        <w:rPr>
          <w:sz w:val="20"/>
          <w:szCs w:val="20"/>
          <w:color w:val="auto"/>
        </w:rPr>
      </w:pPr>
      <w:r>
        <w:rPr>
          <w:rFonts w:ascii="Arial" w:cs="Arial" w:eastAsia="Arial" w:hAnsi="Arial"/>
          <w:sz w:val="16"/>
          <w:szCs w:val="16"/>
          <w:color w:val="auto"/>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spacing w:after="0" w:line="214" w:lineRule="exact"/>
        <w:rPr>
          <w:sz w:val="20"/>
          <w:szCs w:val="20"/>
          <w:color w:val="auto"/>
        </w:rPr>
      </w:pPr>
    </w:p>
    <w:p>
      <w:pPr>
        <w:ind w:right="40"/>
        <w:spacing w:after="0" w:line="225" w:lineRule="auto"/>
        <w:rPr>
          <w:sz w:val="20"/>
          <w:szCs w:val="20"/>
          <w:color w:val="auto"/>
        </w:rPr>
      </w:pPr>
      <w:r>
        <w:rPr>
          <w:rFonts w:ascii="Arial" w:cs="Arial" w:eastAsia="Arial" w:hAnsi="Arial"/>
          <w:sz w:val="16"/>
          <w:szCs w:val="16"/>
          <w:color w:val="auto"/>
        </w:rPr>
        <w:t>We estimate the fair value of each reporting unit using a combination of the income approach and the market approach.</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16"/>
          <w:szCs w:val="16"/>
          <w:color w:val="auto"/>
        </w:rPr>
        <w:t>The income approach incorporates the use of a discounted cash flow method in which the estimated future cash flows and terminal value are calculated for each reporting unit and then discounted to present value using an appropriate discount rate.</w:t>
      </w:r>
    </w:p>
    <w:p>
      <w:pPr>
        <w:spacing w:after="0" w:line="273" w:lineRule="exact"/>
        <w:rPr>
          <w:sz w:val="20"/>
          <w:szCs w:val="20"/>
          <w:color w:val="auto"/>
        </w:rPr>
      </w:pPr>
    </w:p>
    <w:p>
      <w:pPr>
        <w:ind w:right="20"/>
        <w:spacing w:after="0" w:line="216" w:lineRule="auto"/>
        <w:rPr>
          <w:sz w:val="20"/>
          <w:szCs w:val="20"/>
          <w:color w:val="auto"/>
        </w:rPr>
      </w:pPr>
      <w:r>
        <w:rPr>
          <w:rFonts w:ascii="Arial" w:cs="Arial" w:eastAsia="Arial" w:hAnsi="Arial"/>
          <w:sz w:val="16"/>
          <w:szCs w:val="16"/>
          <w:color w:val="auto"/>
        </w:rPr>
        <w:t>The valuation of our reporting units requires significant judgment in evaluation of recent indicators of market activity and estimated future cash flows, discount rates, and other factors. Our impairment analyses contain inherent uncertainties due to uncontrollable events that could positively or negatively impact anticipated future economic and operating conditions.</w:t>
      </w:r>
    </w:p>
    <w:p>
      <w:pPr>
        <w:spacing w:after="0" w:line="211" w:lineRule="exact"/>
        <w:rPr>
          <w:sz w:val="20"/>
          <w:szCs w:val="20"/>
          <w:color w:val="auto"/>
        </w:rPr>
      </w:pPr>
    </w:p>
    <w:p>
      <w:pPr>
        <w:ind w:right="20"/>
        <w:spacing w:after="0" w:line="215" w:lineRule="auto"/>
        <w:rPr>
          <w:sz w:val="20"/>
          <w:szCs w:val="20"/>
          <w:color w:val="auto"/>
        </w:rPr>
      </w:pPr>
      <w:r>
        <w:rPr>
          <w:rFonts w:ascii="Arial" w:cs="Arial" w:eastAsia="Arial" w:hAnsi="Arial"/>
          <w:sz w:val="16"/>
          <w:szCs w:val="16"/>
          <w:color w:val="auto"/>
        </w:rPr>
        <w:t>In making these estimates, the weighted-average cost of capital is utilized to calculate the present value of future cash flows and terminal value. Many variables go into estimating future cash flows, including estimates of our future revenue growth and operating results. When estimating our projected revenue growth and future operating results, we consider industry trends, economic data, and our competitive advantage.</w:t>
      </w:r>
    </w:p>
    <w:p>
      <w:pPr>
        <w:spacing w:after="0" w:line="212" w:lineRule="exact"/>
        <w:rPr>
          <w:sz w:val="20"/>
          <w:szCs w:val="20"/>
          <w:color w:val="auto"/>
        </w:rPr>
      </w:pPr>
    </w:p>
    <w:p>
      <w:pPr>
        <w:spacing w:after="0" w:line="221" w:lineRule="auto"/>
        <w:rPr>
          <w:sz w:val="20"/>
          <w:szCs w:val="20"/>
          <w:color w:val="auto"/>
        </w:rPr>
      </w:pPr>
      <w:r>
        <w:rPr>
          <w:rFonts w:ascii="Arial" w:cs="Arial" w:eastAsia="Arial" w:hAnsi="Arial"/>
          <w:sz w:val="16"/>
          <w:szCs w:val="16"/>
          <w:color w:val="auto"/>
        </w:rPr>
        <w:t>The market approach estimates fair value of a reporting unit by using market comparables for reasonably similar public companies.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219" w:lineRule="auto"/>
        <w:rPr>
          <w:sz w:val="20"/>
          <w:szCs w:val="20"/>
          <w:color w:val="auto"/>
        </w:rPr>
      </w:pPr>
      <w:r>
        <w:rPr>
          <w:rFonts w:ascii="Arial" w:cs="Arial" w:eastAsia="Arial" w:hAnsi="Arial"/>
          <w:sz w:val="16"/>
          <w:szCs w:val="16"/>
          <w:color w:val="auto"/>
        </w:rPr>
        <w:t>During the last three years, we have not made any changes in the accounting methodology used to evaluate the impairment of long-lived assets or to estimate the useful lives of our long-lived assets. Additionally, we have not made any changes in the accounting methodology used to evaluate impairment of goodwill during the last three years.</w:t>
      </w:r>
    </w:p>
    <w:p>
      <w:pPr>
        <w:spacing w:after="0" w:line="214" w:lineRule="exact"/>
        <w:rPr>
          <w:sz w:val="20"/>
          <w:szCs w:val="20"/>
          <w:color w:val="auto"/>
        </w:rPr>
      </w:pPr>
    </w:p>
    <w:p>
      <w:pPr>
        <w:ind w:right="440"/>
        <w:spacing w:after="0" w:line="232" w:lineRule="auto"/>
        <w:rPr>
          <w:sz w:val="20"/>
          <w:szCs w:val="20"/>
          <w:color w:val="auto"/>
        </w:rPr>
      </w:pPr>
      <w:r>
        <w:rPr>
          <w:rFonts w:ascii="Arial" w:cs="Arial" w:eastAsia="Arial" w:hAnsi="Arial"/>
          <w:sz w:val="16"/>
          <w:szCs w:val="16"/>
          <w:color w:val="auto"/>
        </w:rPr>
        <w:t>At October 31, 2021, we had $2.2 billion of goodwill. Our goodwill is included in the following segments:</w:t>
      </w:r>
    </w:p>
    <w:p>
      <w:pPr>
        <w:spacing w:after="0" w:line="211" w:lineRule="exact"/>
        <w:rPr>
          <w:sz w:val="20"/>
          <w:szCs w:val="20"/>
          <w:color w:val="auto"/>
        </w:rPr>
      </w:pPr>
    </w:p>
    <w:p>
      <w:pPr>
        <w:ind w:right="60"/>
        <w:spacing w:after="0" w:line="232" w:lineRule="auto"/>
        <w:rPr>
          <w:sz w:val="20"/>
          <w:szCs w:val="20"/>
          <w:color w:val="auto"/>
        </w:rPr>
      </w:pPr>
      <w:r>
        <w:rPr>
          <w:rFonts w:ascii="Arial" w:cs="Arial" w:eastAsia="Arial" w:hAnsi="Arial"/>
          <w:sz w:val="16"/>
          <w:szCs w:val="16"/>
          <w:color w:val="auto"/>
        </w:rPr>
        <w:t>$1.1 billion — B&amp;I (includes $554.0 million related to the Able Acquisition on September 30, 2021)</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$407.2 million — T&amp;M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$459.3 million — Education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$69.9 million — Aviation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$162.7 million — Technical Solutions</w:t>
      </w:r>
    </w:p>
    <w:p>
      <w:pPr>
        <w:spacing w:after="0" w:line="221" w:lineRule="exact"/>
        <w:rPr>
          <w:sz w:val="20"/>
          <w:szCs w:val="20"/>
          <w:color w:val="auto"/>
        </w:rPr>
      </w:pPr>
    </w:p>
    <w:p>
      <w:pPr>
        <w:ind w:right="20"/>
        <w:spacing w:after="0" w:line="218" w:lineRule="auto"/>
        <w:rPr>
          <w:sz w:val="20"/>
          <w:szCs w:val="20"/>
          <w:color w:val="auto"/>
        </w:rPr>
      </w:pPr>
      <w:r>
        <w:rPr>
          <w:rFonts w:ascii="Arial" w:cs="Arial" w:eastAsia="Arial" w:hAnsi="Arial"/>
          <w:sz w:val="16"/>
          <w:szCs w:val="16"/>
          <w:color w:val="auto"/>
        </w:rPr>
        <w:t>A goodwill impairment analysis was performed for each of our reporting units on August 1, 2021. Based on these studies, the implied fair value of each of our reporting units was substantially in excess of its carrying value. Therefore, we concluded there were no indicators of impairment. A 10% decrease in the estimated fair value of any of our reporting units would not have resulted in a different conclusion.</w:t>
      </w:r>
    </w:p>
    <w:p>
      <w:pPr>
        <w:spacing w:after="0" w:line="212" w:lineRule="exact"/>
        <w:rPr>
          <w:sz w:val="20"/>
          <w:szCs w:val="20"/>
          <w:color w:val="auto"/>
        </w:rPr>
      </w:pPr>
    </w:p>
    <w:p>
      <w:pPr>
        <w:ind w:right="120"/>
        <w:spacing w:after="0" w:line="217" w:lineRule="auto"/>
        <w:rPr>
          <w:sz w:val="20"/>
          <w:szCs w:val="20"/>
          <w:color w:val="auto"/>
        </w:rPr>
      </w:pPr>
      <w:r>
        <w:rPr>
          <w:rFonts w:ascii="Arial" w:cs="Arial" w:eastAsia="Arial" w:hAnsi="Arial"/>
          <w:sz w:val="16"/>
          <w:szCs w:val="16"/>
          <w:color w:val="auto"/>
        </w:rPr>
        <w:t>During the third quarter of 2021, we recognized a non-cash impairment charge totaling $9.1 million in our Corporate segment for previously capitalized internal-use software related to our ERP system implementation. The Company determined that certain components that were previously developed would no longer be integrated into the new ERP system. The impairment charge reduced the carrying value to zero for those components.</w:t>
      </w:r>
    </w:p>
    <w:p>
      <w:pPr>
        <w:spacing w:after="0" w:line="213" w:lineRule="exact"/>
        <w:rPr>
          <w:sz w:val="20"/>
          <w:szCs w:val="20"/>
          <w:color w:val="auto"/>
        </w:rPr>
      </w:pPr>
    </w:p>
    <w:p>
      <w:pPr>
        <w:spacing w:after="0" w:line="213" w:lineRule="auto"/>
        <w:rPr>
          <w:sz w:val="20"/>
          <w:szCs w:val="20"/>
          <w:color w:val="auto"/>
        </w:rPr>
      </w:pPr>
      <w:r>
        <w:rPr>
          <w:rFonts w:ascii="Arial" w:cs="Arial" w:eastAsia="Arial" w:hAnsi="Arial"/>
          <w:sz w:val="16"/>
          <w:szCs w:val="16"/>
          <w:color w:val="auto"/>
        </w:rPr>
        <w:t>During the second quarter of 2020, given the general deterioration in economic and market conditions arising from the Pandemic, we identified a triggering event indicating possible impairment of goodwill and intangible assets. For the three goodwill reporting units tested quantitatively, we estimated the fair value using a weighting of fair values derived from an income approach and a market approach. Based on the evaluation performed, we determined that goodwill was impaired for each of the three goodwill reporting units evaluated and recognized a non-cash impairment charge totaling $163.8 million ($99.3 million related to Education, $55.5 million related to Aviation, and $9.0 million related to our U.K. Technical Solutions business). We also recognized intangible asset impairment charges of $5.6 million related to Aviation and $3.4 million related to our U.K. Technical Solutions business. We performed our annual goodwill impairment analysis on August 1, 2020, using a qualitative approach since there were no indicators of impairment subsequent to our quantitative analysis performed in the second quarter of 2020 as discussed above. As a result of the qualitative analysis, we concluded that there were no further impairments.</w:t>
      </w:r>
    </w:p>
    <w:p>
      <w:pPr>
        <w:spacing w:after="0" w:line="935" w:lineRule="exact"/>
        <w:rPr>
          <w:sz w:val="20"/>
          <w:szCs w:val="20"/>
          <w:color w:val="auto"/>
        </w:rPr>
      </w:pPr>
    </w:p>
    <w:p>
      <w:pPr>
        <w:sectPr>
          <w:pgSz w:w="11900" w:h="16838" w:orient="portrait"/>
          <w:cols w:equalWidth="0" w:num="3">
            <w:col w:w="2440" w:space="160"/>
            <w:col w:w="3160" w:space="140"/>
            <w:col w:w="5280"/>
          </w:cols>
          <w:pgMar w:left="340" w:top="931" w:right="379" w:bottom="1440" w:gutter="0" w:footer="0" w:header="0"/>
          <w:type w:val="continuous"/>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69215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931" w:right="379" w:bottom="1440" w:gutter="0" w:footer="0" w:header="0"/>
          <w:type w:val="continuous"/>
        </w:sectPr>
      </w:pPr>
    </w:p>
    <w:bookmarkStart w:id="43" w:name="page44"/>
    <w:bookmarkEnd w:id="43"/>
    <w:p>
      <w:pPr>
        <w:spacing w:after="0"/>
        <w:tabs>
          <w:tab w:leader="none" w:pos="3240" w:val="left"/>
          <w:tab w:leader="none" w:pos="6500" w:val="left"/>
        </w:tabs>
        <w:rPr>
          <w:sz w:val="20"/>
          <w:szCs w:val="20"/>
          <w:color w:val="auto"/>
        </w:rPr>
      </w:pP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6"/>
          <w:szCs w:val="16"/>
          <w:b w:val="1"/>
          <w:bCs w:val="1"/>
          <w:color w:val="auto"/>
        </w:rPr>
        <w:t>Judgments and Uncertainties</w:t>
      </w:r>
      <w:r>
        <w:rPr>
          <w:sz w:val="20"/>
          <w:szCs w:val="20"/>
          <w:color w:val="auto"/>
        </w:rPr>
        <w:tab/>
      </w:r>
      <w:r>
        <w:rPr>
          <w:rFonts w:ascii="Arial" w:cs="Arial" w:eastAsia="Arial" w:hAnsi="Arial"/>
          <w:sz w:val="16"/>
          <w:szCs w:val="16"/>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0980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 Reserves</w:t>
      </w:r>
    </w:p>
    <w:p>
      <w:pPr>
        <w:sectPr>
          <w:pgSz w:w="11900" w:h="16838" w:orient="portrait"/>
          <w:cols w:equalWidth="0" w:num="1">
            <w:col w:w="11140"/>
          </w:cols>
          <w:pgMar w:left="340" w:top="931" w:right="419" w:bottom="1440" w:gutter="0" w:footer="0" w:header="0"/>
        </w:sectPr>
      </w:pPr>
    </w:p>
    <w:p>
      <w:pPr>
        <w:spacing w:after="0" w:line="214" w:lineRule="exact"/>
        <w:rPr>
          <w:sz w:val="20"/>
          <w:szCs w:val="20"/>
          <w:color w:val="auto"/>
        </w:rPr>
      </w:pPr>
    </w:p>
    <w:p>
      <w:pPr>
        <w:ind w:right="80"/>
        <w:spacing w:after="0" w:line="219" w:lineRule="auto"/>
        <w:rPr>
          <w:sz w:val="20"/>
          <w:szCs w:val="20"/>
          <w:color w:val="auto"/>
        </w:rPr>
      </w:pPr>
      <w:r>
        <w:rPr>
          <w:rFonts w:ascii="Arial" w:cs="Arial" w:eastAsia="Arial" w:hAnsi="Arial"/>
          <w:sz w:val="16"/>
          <w:szCs w:val="16"/>
          <w:color w:val="auto"/>
        </w:rPr>
        <w:t>We use a combination of insured and self-insurance programs to cover workers’ compensation, general liability, automobile liability, property damage, and other insurable risks.</w:t>
      </w:r>
    </w:p>
    <w:p>
      <w:pPr>
        <w:spacing w:after="0" w:line="214" w:lineRule="exact"/>
        <w:rPr>
          <w:sz w:val="20"/>
          <w:szCs w:val="20"/>
          <w:color w:val="auto"/>
        </w:rPr>
      </w:pPr>
    </w:p>
    <w:p>
      <w:pPr>
        <w:spacing w:after="0" w:line="216" w:lineRule="auto"/>
        <w:rPr>
          <w:sz w:val="20"/>
          <w:szCs w:val="20"/>
          <w:color w:val="auto"/>
        </w:rPr>
      </w:pPr>
      <w:r>
        <w:rPr>
          <w:rFonts w:ascii="Arial" w:cs="Arial" w:eastAsia="Arial" w:hAnsi="Arial"/>
          <w:sz w:val="16"/>
          <w:szCs w:val="16"/>
          <w:color w:val="auto"/>
        </w:rPr>
        <w:t>Insurance claim liabilities represent our estimate of retained risks without regard to insurance coverage. We retain a substantial portion of the risk related to certain workers’ compensation and medical claims. Liabilities associated with these losses include estimates of both claims filed and IBNR Claims.</w:t>
      </w:r>
    </w:p>
    <w:p>
      <w:pPr>
        <w:spacing w:after="0" w:line="214" w:lineRule="exact"/>
        <w:rPr>
          <w:sz w:val="20"/>
          <w:szCs w:val="20"/>
          <w:color w:val="auto"/>
        </w:rPr>
      </w:pPr>
    </w:p>
    <w:p>
      <w:pPr>
        <w:spacing w:after="0" w:line="216" w:lineRule="auto"/>
        <w:rPr>
          <w:sz w:val="20"/>
          <w:szCs w:val="20"/>
          <w:color w:val="auto"/>
        </w:rPr>
      </w:pPr>
      <w:r>
        <w:rPr>
          <w:rFonts w:ascii="Arial" w:cs="Arial" w:eastAsia="Arial" w:hAnsi="Arial"/>
          <w:sz w:val="16"/>
          <w:szCs w:val="16"/>
          <w:color w:val="auto"/>
        </w:rPr>
        <w:t>With the assistance of third-party actuaries, we periodically review our estimate of ultimate losses for IBNR Claims and adjust our required self-insurance reserves as appropriate. As part of this evaluation, we review the status of existing and new claim reserves as established by our third-party claims administrators.</w:t>
      </w:r>
    </w:p>
    <w:p>
      <w:pPr>
        <w:spacing w:after="0" w:line="214" w:lineRule="exact"/>
        <w:rPr>
          <w:sz w:val="20"/>
          <w:szCs w:val="20"/>
          <w:color w:val="auto"/>
        </w:rPr>
      </w:pPr>
    </w:p>
    <w:p>
      <w:pPr>
        <w:ind w:right="160"/>
        <w:spacing w:after="0" w:line="218" w:lineRule="auto"/>
        <w:rPr>
          <w:sz w:val="20"/>
          <w:szCs w:val="20"/>
          <w:color w:val="auto"/>
        </w:rPr>
      </w:pPr>
      <w:r>
        <w:rPr>
          <w:rFonts w:ascii="Arial" w:cs="Arial" w:eastAsia="Arial" w:hAnsi="Arial"/>
          <w:sz w:val="16"/>
          <w:szCs w:val="16"/>
          <w:color w:val="auto"/>
        </w:rPr>
        <w:t>The third-party claims administrators establish the case reserves based upon known factors related to the type and severity of the claims, demographic data, legislative matters, and case law, as appropriate.</w:t>
      </w:r>
    </w:p>
    <w:p>
      <w:pPr>
        <w:spacing w:after="0" w:line="212" w:lineRule="exact"/>
        <w:rPr>
          <w:sz w:val="20"/>
          <w:szCs w:val="20"/>
          <w:color w:val="auto"/>
        </w:rPr>
      </w:pPr>
    </w:p>
    <w:p>
      <w:pPr>
        <w:ind w:right="240"/>
        <w:spacing w:after="0" w:line="232" w:lineRule="auto"/>
        <w:rPr>
          <w:sz w:val="20"/>
          <w:szCs w:val="20"/>
          <w:color w:val="auto"/>
        </w:rPr>
      </w:pPr>
      <w:r>
        <w:rPr>
          <w:rFonts w:ascii="Arial" w:cs="Arial" w:eastAsia="Arial" w:hAnsi="Arial"/>
          <w:sz w:val="16"/>
          <w:szCs w:val="16"/>
          <w:color w:val="auto"/>
        </w:rPr>
        <w:t>We compare actual trends to expected trends and monitor claims development.</w:t>
      </w:r>
    </w:p>
    <w:p>
      <w:pPr>
        <w:spacing w:after="0" w:line="211" w:lineRule="exact"/>
        <w:rPr>
          <w:sz w:val="20"/>
          <w:szCs w:val="20"/>
          <w:color w:val="auto"/>
        </w:rPr>
      </w:pPr>
    </w:p>
    <w:p>
      <w:pPr>
        <w:ind w:right="40"/>
        <w:spacing w:after="0" w:line="215" w:lineRule="auto"/>
        <w:rPr>
          <w:sz w:val="20"/>
          <w:szCs w:val="20"/>
          <w:color w:val="auto"/>
        </w:rPr>
      </w:pPr>
      <w:r>
        <w:rPr>
          <w:rFonts w:ascii="Arial" w:cs="Arial" w:eastAsia="Arial" w:hAnsi="Arial"/>
          <w:sz w:val="16"/>
          <w:szCs w:val="16"/>
          <w:color w:val="auto"/>
        </w:rPr>
        <w:t>The specific case reserves estimated by the third-party administrators are provided to an actuary who assists us in projecting an actuarial estimate of the overall ultimate losses for our self-insured or high deductible programs. The projection includes the case reserves plus an actuarial estimate of reserves required for additional developments, including IBNR Claims.</w:t>
      </w:r>
    </w:p>
    <w:p>
      <w:pPr>
        <w:spacing w:after="0" w:line="215" w:lineRule="exact"/>
        <w:rPr>
          <w:sz w:val="20"/>
          <w:szCs w:val="20"/>
          <w:color w:val="auto"/>
        </w:rPr>
      </w:pPr>
    </w:p>
    <w:p>
      <w:pPr>
        <w:spacing w:after="0" w:line="221" w:lineRule="auto"/>
        <w:rPr>
          <w:sz w:val="20"/>
          <w:szCs w:val="20"/>
          <w:color w:val="auto"/>
        </w:rPr>
      </w:pPr>
      <w:r>
        <w:rPr>
          <w:rFonts w:ascii="Arial" w:cs="Arial" w:eastAsia="Arial" w:hAnsi="Arial"/>
          <w:sz w:val="16"/>
          <w:szCs w:val="16"/>
          <w:color w:val="auto"/>
        </w:rPr>
        <w:t>We utilize the results of actuarial studies to estimate our insurance rates and insurance reserves for future periods and to adjust reserves, if appropriate, for prior years.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120"/>
        <w:spacing w:after="0" w:line="225" w:lineRule="auto"/>
        <w:rPr>
          <w:sz w:val="20"/>
          <w:szCs w:val="20"/>
          <w:color w:val="auto"/>
        </w:rPr>
      </w:pPr>
      <w:r>
        <w:rPr>
          <w:rFonts w:ascii="Arial" w:cs="Arial" w:eastAsia="Arial" w:hAnsi="Arial"/>
          <w:sz w:val="16"/>
          <w:szCs w:val="16"/>
          <w:color w:val="auto"/>
        </w:rPr>
        <w:t>Our self-insurance liabilities contain uncertainties due to assumptions required and judgment used.</w:t>
      </w:r>
    </w:p>
    <w:p>
      <w:pPr>
        <w:spacing w:after="0" w:line="131" w:lineRule="exact"/>
        <w:rPr>
          <w:sz w:val="20"/>
          <w:szCs w:val="20"/>
          <w:color w:val="auto"/>
        </w:rPr>
      </w:pPr>
    </w:p>
    <w:p>
      <w:pPr>
        <w:ind w:right="100"/>
        <w:spacing w:after="0" w:line="221" w:lineRule="auto"/>
        <w:rPr>
          <w:sz w:val="20"/>
          <w:szCs w:val="20"/>
          <w:color w:val="auto"/>
        </w:rPr>
      </w:pPr>
      <w:r>
        <w:rPr>
          <w:rFonts w:ascii="Arial" w:cs="Arial" w:eastAsia="Arial" w:hAnsi="Arial"/>
          <w:sz w:val="16"/>
          <w:szCs w:val="16"/>
          <w:color w:val="auto"/>
        </w:rPr>
        <w:t>Costs to settle our obligations, including legal and healthcare costs, could fluctuate and cause estimates of our self-insurance liabilities to change.</w:t>
      </w:r>
    </w:p>
    <w:p>
      <w:pPr>
        <w:spacing w:after="0" w:line="132" w:lineRule="exact"/>
        <w:rPr>
          <w:sz w:val="20"/>
          <w:szCs w:val="20"/>
          <w:color w:val="auto"/>
        </w:rPr>
      </w:pPr>
    </w:p>
    <w:p>
      <w:pPr>
        <w:ind w:right="80"/>
        <w:spacing w:after="0" w:line="221" w:lineRule="auto"/>
        <w:rPr>
          <w:sz w:val="20"/>
          <w:szCs w:val="20"/>
          <w:color w:val="auto"/>
        </w:rPr>
      </w:pPr>
      <w:r>
        <w:rPr>
          <w:rFonts w:ascii="Arial" w:cs="Arial" w:eastAsia="Arial" w:hAnsi="Arial"/>
          <w:sz w:val="16"/>
          <w:szCs w:val="16"/>
          <w:color w:val="auto"/>
        </w:rPr>
        <w:t>Incident rates, including frequency and severity, could fluctuate and cause the estimates in our self-insurance liabilities to change.</w:t>
      </w:r>
    </w:p>
    <w:p>
      <w:pPr>
        <w:spacing w:after="0" w:line="132" w:lineRule="exact"/>
        <w:rPr>
          <w:sz w:val="20"/>
          <w:szCs w:val="20"/>
          <w:color w:val="auto"/>
        </w:rPr>
      </w:pPr>
    </w:p>
    <w:p>
      <w:pPr>
        <w:ind w:right="40"/>
        <w:spacing w:after="0" w:line="211" w:lineRule="auto"/>
        <w:rPr>
          <w:sz w:val="20"/>
          <w:szCs w:val="20"/>
          <w:color w:val="auto"/>
        </w:rPr>
      </w:pPr>
      <w:r>
        <w:rPr>
          <w:rFonts w:ascii="Arial" w:cs="Arial" w:eastAsia="Arial" w:hAnsi="Arial"/>
          <w:sz w:val="16"/>
          <w:szCs w:val="16"/>
          <w:color w:val="auto"/>
        </w:rPr>
        <w:t>These estimates are subject to: changes in the regulatory environment; fluctuations in projected exposures, including payroll, revenues, and the number of vehicle units; and the frequency, lag, and severity of claims.</w:t>
      </w:r>
    </w:p>
    <w:p>
      <w:pPr>
        <w:spacing w:after="0" w:line="1" w:lineRule="exact"/>
        <w:rPr>
          <w:sz w:val="20"/>
          <w:szCs w:val="20"/>
          <w:color w:val="auto"/>
        </w:rPr>
      </w:pPr>
    </w:p>
    <w:p>
      <w:pPr>
        <w:ind w:right="40"/>
        <w:spacing w:after="0" w:line="221" w:lineRule="auto"/>
        <w:rPr>
          <w:sz w:val="20"/>
          <w:szCs w:val="20"/>
          <w:color w:val="auto"/>
        </w:rPr>
      </w:pPr>
      <w:r>
        <w:rPr>
          <w:rFonts w:ascii="Arial" w:cs="Arial" w:eastAsia="Arial" w:hAnsi="Arial"/>
          <w:sz w:val="16"/>
          <w:szCs w:val="16"/>
          <w:color w:val="auto"/>
        </w:rPr>
        <w:t>The full extent of certain claims, especially workers’ compensation and general liability claims, may not be fully determined for several years.</w:t>
      </w:r>
    </w:p>
    <w:p>
      <w:pPr>
        <w:spacing w:after="0" w:line="132" w:lineRule="exact"/>
        <w:rPr>
          <w:sz w:val="20"/>
          <w:szCs w:val="20"/>
          <w:color w:val="auto"/>
        </w:rPr>
      </w:pPr>
    </w:p>
    <w:p>
      <w:pPr>
        <w:spacing w:after="0" w:line="217" w:lineRule="auto"/>
        <w:rPr>
          <w:sz w:val="20"/>
          <w:szCs w:val="20"/>
          <w:color w:val="auto"/>
        </w:rPr>
      </w:pPr>
      <w:r>
        <w:rPr>
          <w:rFonts w:ascii="Arial" w:cs="Arial" w:eastAsia="Arial" w:hAnsi="Arial"/>
          <w:sz w:val="16"/>
          <w:szCs w:val="16"/>
          <w:color w:val="auto"/>
        </w:rPr>
        <w:t>In addition, if the reserves related to self-insurance or high deductible programs from acquired businesses are not adequate to cover damages resulting from future accidents or other incidents, we may be exposed to substantial losses arising from future claim developments.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60"/>
        <w:spacing w:after="0" w:line="225" w:lineRule="auto"/>
        <w:rPr>
          <w:sz w:val="20"/>
          <w:szCs w:val="20"/>
          <w:color w:val="auto"/>
        </w:rPr>
      </w:pPr>
      <w:r>
        <w:rPr>
          <w:rFonts w:ascii="Arial" w:cs="Arial" w:eastAsia="Arial" w:hAnsi="Arial"/>
          <w:sz w:val="16"/>
          <w:szCs w:val="16"/>
          <w:color w:val="auto"/>
        </w:rPr>
        <w:t>We have not made any changes in the accounting methodology used to establish our self-insurance liabilities during the past three years.</w:t>
      </w:r>
    </w:p>
    <w:p>
      <w:pPr>
        <w:spacing w:after="0" w:line="212" w:lineRule="exact"/>
        <w:rPr>
          <w:sz w:val="20"/>
          <w:szCs w:val="20"/>
          <w:color w:val="auto"/>
        </w:rPr>
      </w:pPr>
    </w:p>
    <w:p>
      <w:pPr>
        <w:spacing w:after="0" w:line="216" w:lineRule="auto"/>
        <w:rPr>
          <w:sz w:val="20"/>
          <w:szCs w:val="20"/>
          <w:color w:val="auto"/>
        </w:rPr>
      </w:pPr>
      <w:r>
        <w:rPr>
          <w:rFonts w:ascii="Arial" w:cs="Arial" w:eastAsia="Arial" w:hAnsi="Arial"/>
          <w:sz w:val="16"/>
          <w:szCs w:val="16"/>
          <w:color w:val="auto"/>
        </w:rPr>
        <w:t>After analyzing recent loss development patterns, comparing the loss development patterns against benchmarks, and applying actuarial projection methods to estimate the ultimate losses, we decreased our total reserves related to prior years known claims as well as our estimate of the loss amounts associated with IBNR claims during 2021 by $36.0 million. In 2020, we decreased our total reserves related to prior years claims by $30.2 million.</w:t>
      </w:r>
    </w:p>
    <w:p>
      <w:pPr>
        <w:spacing w:after="0" w:line="214" w:lineRule="exact"/>
        <w:rPr>
          <w:sz w:val="20"/>
          <w:szCs w:val="20"/>
          <w:color w:val="auto"/>
        </w:rPr>
      </w:pPr>
    </w:p>
    <w:p>
      <w:pPr>
        <w:ind w:right="120"/>
        <w:spacing w:after="0" w:line="221" w:lineRule="auto"/>
        <w:rPr>
          <w:sz w:val="20"/>
          <w:szCs w:val="20"/>
          <w:color w:val="auto"/>
        </w:rPr>
      </w:pPr>
      <w:r>
        <w:rPr>
          <w:rFonts w:ascii="Arial" w:cs="Arial" w:eastAsia="Arial" w:hAnsi="Arial"/>
          <w:sz w:val="16"/>
          <w:szCs w:val="16"/>
          <w:color w:val="auto"/>
        </w:rPr>
        <w:t>It is possible that actual results could differ from recorded self-insurance liabilities. A 10% change in our projected ultimate losses would have affected net income by approximately $37.3 million for 2021.</w:t>
      </w:r>
    </w:p>
    <w:p>
      <w:pPr>
        <w:spacing w:after="0" w:line="5708" w:lineRule="exact"/>
        <w:rPr>
          <w:sz w:val="20"/>
          <w:szCs w:val="20"/>
          <w:color w:val="auto"/>
        </w:rPr>
      </w:pPr>
    </w:p>
    <w:p>
      <w:pPr>
        <w:sectPr>
          <w:pgSz w:w="11900" w:h="16838" w:orient="portrait"/>
          <w:cols w:equalWidth="0" w:num="3">
            <w:col w:w="3120" w:space="140"/>
            <w:col w:w="3120" w:space="140"/>
            <w:col w:w="4620"/>
          </w:cols>
          <w:pgMar w:left="340" w:top="931"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69215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931" w:right="419" w:bottom="1440" w:gutter="0" w:footer="0" w:header="0"/>
          <w:type w:val="continuous"/>
        </w:sectPr>
      </w:pPr>
    </w:p>
    <w:bookmarkStart w:id="44" w:name="page45"/>
    <w:bookmarkEnd w:id="44"/>
    <w:p>
      <w:pPr>
        <w:spacing w:after="0"/>
        <w:tabs>
          <w:tab w:leader="none" w:pos="3240" w:val="left"/>
          <w:tab w:leader="none" w:pos="6500" w:val="left"/>
        </w:tabs>
        <w:rPr>
          <w:sz w:val="20"/>
          <w:szCs w:val="20"/>
          <w:color w:val="auto"/>
        </w:rPr>
      </w:pP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6"/>
          <w:szCs w:val="16"/>
          <w:b w:val="1"/>
          <w:bCs w:val="1"/>
          <w:color w:val="auto"/>
        </w:rPr>
        <w:t>Judgments and Uncertainties</w:t>
      </w:r>
      <w:r>
        <w:rPr>
          <w:sz w:val="20"/>
          <w:szCs w:val="20"/>
          <w:color w:val="auto"/>
        </w:rPr>
        <w:tab/>
      </w:r>
      <w:r>
        <w:rPr>
          <w:rFonts w:ascii="Arial" w:cs="Arial" w:eastAsia="Arial" w:hAnsi="Arial"/>
          <w:sz w:val="16"/>
          <w:szCs w:val="16"/>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0980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 and Litigation</w:t>
      </w:r>
    </w:p>
    <w:p>
      <w:pPr>
        <w:sectPr>
          <w:pgSz w:w="11900" w:h="16838" w:orient="portrait"/>
          <w:cols w:equalWidth="0" w:num="1">
            <w:col w:w="11140"/>
          </w:cols>
          <w:pgMar w:left="340" w:top="1093" w:right="419" w:bottom="1440" w:gutter="0" w:footer="0" w:header="0"/>
        </w:sectPr>
      </w:pPr>
    </w:p>
    <w:p>
      <w:pPr>
        <w:spacing w:after="0" w:line="214" w:lineRule="exact"/>
        <w:rPr>
          <w:sz w:val="20"/>
          <w:szCs w:val="20"/>
          <w:color w:val="auto"/>
        </w:rPr>
      </w:pPr>
    </w:p>
    <w:p>
      <w:pPr>
        <w:spacing w:after="0" w:line="216" w:lineRule="auto"/>
        <w:rPr>
          <w:sz w:val="20"/>
          <w:szCs w:val="20"/>
          <w:color w:val="auto"/>
        </w:rPr>
      </w:pPr>
      <w:r>
        <w:rPr>
          <w:rFonts w:ascii="Arial" w:cs="Arial" w:eastAsia="Arial" w:hAnsi="Arial"/>
          <w:sz w:val="16"/>
          <w:szCs w:val="16"/>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211" w:lineRule="exact"/>
        <w:rPr>
          <w:sz w:val="20"/>
          <w:szCs w:val="20"/>
          <w:color w:val="auto"/>
        </w:rPr>
      </w:pPr>
    </w:p>
    <w:p>
      <w:pPr>
        <w:ind w:right="240"/>
        <w:spacing w:after="0" w:line="217" w:lineRule="auto"/>
        <w:rPr>
          <w:sz w:val="20"/>
          <w:szCs w:val="20"/>
          <w:color w:val="auto"/>
        </w:rPr>
      </w:pPr>
      <w:r>
        <w:rPr>
          <w:rFonts w:ascii="Arial" w:cs="Arial" w:eastAsia="Arial" w:hAnsi="Arial"/>
          <w:sz w:val="16"/>
          <w:szCs w:val="16"/>
          <w:color w:val="auto"/>
        </w:rPr>
        <w:t>We accrue for loss contingencies when losses become probable and are reasonably estimable. If the reasonable estimate of the loss is a range and no amount within the range is a better estimate, the minimum amount of the range is recorded as a liability.</w:t>
      </w:r>
    </w:p>
    <w:p>
      <w:pPr>
        <w:spacing w:after="0" w:line="213" w:lineRule="exact"/>
        <w:rPr>
          <w:sz w:val="20"/>
          <w:szCs w:val="20"/>
          <w:color w:val="auto"/>
        </w:rPr>
      </w:pPr>
    </w:p>
    <w:p>
      <w:pPr>
        <w:ind w:right="40"/>
        <w:spacing w:after="0" w:line="225" w:lineRule="auto"/>
        <w:rPr>
          <w:sz w:val="20"/>
          <w:szCs w:val="20"/>
          <w:color w:val="auto"/>
        </w:rPr>
      </w:pPr>
      <w:r>
        <w:rPr>
          <w:rFonts w:ascii="Arial" w:cs="Arial" w:eastAsia="Arial" w:hAnsi="Arial"/>
          <w:sz w:val="16"/>
          <w:szCs w:val="16"/>
          <w:color w:val="auto"/>
        </w:rPr>
        <w:t>We do not accrue for contingent losses that, in our judgment, are considered to be reasonably possible but not probable.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40"/>
        <w:spacing w:after="0" w:line="225" w:lineRule="auto"/>
        <w:rPr>
          <w:sz w:val="20"/>
          <w:szCs w:val="20"/>
          <w:color w:val="auto"/>
        </w:rPr>
      </w:pPr>
      <w:r>
        <w:rPr>
          <w:rFonts w:ascii="Arial" w:cs="Arial" w:eastAsia="Arial" w:hAnsi="Arial"/>
          <w:sz w:val="16"/>
          <w:szCs w:val="16"/>
          <w:color w:val="auto"/>
        </w:rPr>
        <w:t>Litigation outcomes are difficult to predict and are often resolved over long periods of time.</w:t>
      </w:r>
    </w:p>
    <w:p>
      <w:pPr>
        <w:spacing w:after="0" w:line="131" w:lineRule="exact"/>
        <w:rPr>
          <w:sz w:val="20"/>
          <w:szCs w:val="20"/>
          <w:color w:val="auto"/>
        </w:rPr>
      </w:pPr>
    </w:p>
    <w:p>
      <w:pPr>
        <w:spacing w:after="0" w:line="214" w:lineRule="auto"/>
        <w:rPr>
          <w:sz w:val="20"/>
          <w:szCs w:val="20"/>
          <w:color w:val="auto"/>
        </w:rPr>
      </w:pPr>
      <w:r>
        <w:rPr>
          <w:rFonts w:ascii="Arial" w:cs="Arial" w:eastAsia="Arial" w:hAnsi="Arial"/>
          <w:sz w:val="16"/>
          <w:szCs w:val="16"/>
          <w:color w:val="auto"/>
        </w:rPr>
        <w:t>Estimating probable and reasonably possible losses requires the analysis of multiple possible outcomes that often depend on judgments about potential actions by third parties, such as future changes in facts and circumstances, differing interpretations of the law, assessments of the amount of damages, and other factors beyond our control. There is the potential for a material adverse effect on our Financial Statements if one or more matters are resolved in a particular period in an amount materially in excess of what we anticipated.</w:t>
      </w:r>
    </w:p>
    <w:p>
      <w:pPr>
        <w:spacing w:after="0" w:line="133" w:lineRule="exact"/>
        <w:rPr>
          <w:sz w:val="20"/>
          <w:szCs w:val="20"/>
          <w:color w:val="auto"/>
        </w:rPr>
      </w:pPr>
    </w:p>
    <w:p>
      <w:pPr>
        <w:spacing w:after="0" w:line="216" w:lineRule="auto"/>
        <w:rPr>
          <w:sz w:val="20"/>
          <w:szCs w:val="20"/>
          <w:color w:val="auto"/>
        </w:rPr>
      </w:pPr>
      <w:r>
        <w:rPr>
          <w:rFonts w:ascii="Arial" w:cs="Arial" w:eastAsia="Arial" w:hAnsi="Arial"/>
          <w:sz w:val="16"/>
          <w:szCs w:val="16"/>
          <w:color w:val="auto"/>
        </w:rPr>
        <w:t>In addition, 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3810</wp:posOffset>
            </wp:positionV>
            <wp:extent cx="70980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60"/>
        <w:spacing w:after="0" w:line="225" w:lineRule="auto"/>
        <w:rPr>
          <w:sz w:val="20"/>
          <w:szCs w:val="20"/>
          <w:color w:val="auto"/>
        </w:rPr>
      </w:pPr>
      <w:r>
        <w:rPr>
          <w:rFonts w:ascii="Arial" w:cs="Arial" w:eastAsia="Arial" w:hAnsi="Arial"/>
          <w:sz w:val="16"/>
          <w:szCs w:val="16"/>
          <w:color w:val="auto"/>
        </w:rPr>
        <w:t>We have not made any changes in the accounting methodology used to establish our loss contingencies during the past three years.</w:t>
      </w:r>
    </w:p>
    <w:p>
      <w:pPr>
        <w:spacing w:after="0" w:line="212" w:lineRule="exact"/>
        <w:rPr>
          <w:sz w:val="20"/>
          <w:szCs w:val="20"/>
          <w:color w:val="auto"/>
        </w:rPr>
      </w:pPr>
    </w:p>
    <w:p>
      <w:pPr>
        <w:spacing w:after="0" w:line="219" w:lineRule="auto"/>
        <w:rPr>
          <w:sz w:val="20"/>
          <w:szCs w:val="20"/>
          <w:color w:val="auto"/>
        </w:rPr>
      </w:pPr>
      <w:r>
        <w:rPr>
          <w:rFonts w:ascii="Arial" w:cs="Arial" w:eastAsia="Arial" w:hAnsi="Arial"/>
          <w:sz w:val="16"/>
          <w:szCs w:val="16"/>
          <w:color w:val="auto"/>
        </w:rPr>
        <w:t>Our management currently estimates the range of loss for all reasonably possible losses for which a reasonable estimate of the loss can be made is between zero and $6 million. Factors underlying this estimated range of loss may change from time to time, and actual results may vary significantly from this estimate.</w:t>
      </w:r>
    </w:p>
    <w:p>
      <w:pPr>
        <w:spacing w:after="0" w:line="3199" w:lineRule="exact"/>
        <w:rPr>
          <w:sz w:val="20"/>
          <w:szCs w:val="20"/>
          <w:color w:val="auto"/>
        </w:rPr>
      </w:pPr>
    </w:p>
    <w:p>
      <w:pPr>
        <w:sectPr>
          <w:pgSz w:w="11900" w:h="16838" w:orient="portrait"/>
          <w:cols w:equalWidth="0" w:num="3">
            <w:col w:w="3080" w:space="180"/>
            <w:col w:w="3120" w:space="140"/>
            <w:col w:w="4620"/>
          </w:cols>
          <w:pgMar w:left="340" w:top="1093"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69215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1093" w:right="41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0046AD"/>
        </w:rPr>
        <w:t>Recent Accounting Pronouncements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Accounting</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Standard</w:t>
            </w:r>
          </w:p>
        </w:tc>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Topic</w:t>
            </w:r>
          </w:p>
        </w:tc>
        <w:tc>
          <w:tcPr>
            <w:tcW w:w="80" w:type="dxa"/>
            <w:vAlign w:val="bottom"/>
            <w:vMerge w:val="restart"/>
          </w:tcPr>
          <w:p>
            <w:pPr>
              <w:spacing w:after="0"/>
              <w:rPr>
                <w:sz w:val="14"/>
                <w:szCs w:val="14"/>
                <w:color w:val="auto"/>
              </w:rPr>
            </w:pPr>
          </w:p>
        </w:tc>
        <w:tc>
          <w:tcPr>
            <w:tcW w:w="5260" w:type="dxa"/>
            <w:vAlign w:val="bottom"/>
            <w:vMerge w:val="restart"/>
          </w:tcPr>
          <w:p>
            <w:pPr>
              <w:ind w:left="2260"/>
              <w:spacing w:after="0"/>
              <w:rPr>
                <w:sz w:val="20"/>
                <w:szCs w:val="20"/>
                <w:color w:val="auto"/>
              </w:rPr>
            </w:pPr>
            <w:r>
              <w:rPr>
                <w:rFonts w:ascii="Arial" w:cs="Arial" w:eastAsia="Arial" w:hAnsi="Arial"/>
                <w:sz w:val="16"/>
                <w:szCs w:val="16"/>
                <w:b w:val="1"/>
                <w:bCs w:val="1"/>
                <w:color w:val="auto"/>
              </w:rPr>
              <w:t>Summary</w:t>
            </w:r>
          </w:p>
        </w:tc>
        <w:tc>
          <w:tcPr>
            <w:tcW w:w="0" w:type="dxa"/>
            <w:vAlign w:val="bottom"/>
          </w:tcPr>
          <w:p>
            <w:pPr>
              <w:spacing w:after="0"/>
              <w:rPr>
                <w:sz w:val="1"/>
                <w:szCs w:val="1"/>
                <w:color w:val="auto"/>
              </w:rPr>
            </w:pPr>
          </w:p>
        </w:tc>
      </w:tr>
      <w:tr>
        <w:trPr>
          <w:trHeight w:val="215"/>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Updates</w:t>
            </w:r>
          </w:p>
        </w:tc>
        <w:tc>
          <w:tcPr>
            <w:tcW w:w="100" w:type="dxa"/>
            <w:vAlign w:val="bottom"/>
          </w:tcPr>
          <w:p>
            <w:pPr>
              <w:spacing w:after="0"/>
              <w:rPr>
                <w:sz w:val="18"/>
                <w:szCs w:val="18"/>
                <w:color w:val="auto"/>
              </w:rPr>
            </w:pPr>
          </w:p>
        </w:tc>
        <w:tc>
          <w:tcPr>
            <w:tcW w:w="21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5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240" w:type="dxa"/>
            <w:vAlign w:val="bottom"/>
          </w:tcPr>
          <w:p>
            <w:pPr>
              <w:jc w:val="center"/>
              <w:spacing w:after="0" w:line="161" w:lineRule="exact"/>
              <w:rPr>
                <w:sz w:val="20"/>
                <w:szCs w:val="20"/>
                <w:color w:val="auto"/>
              </w:rPr>
            </w:pPr>
            <w:r>
              <w:rPr>
                <w:rFonts w:ascii="Arial" w:cs="Arial" w:eastAsia="Arial" w:hAnsi="Arial"/>
                <w:sz w:val="16"/>
                <w:szCs w:val="16"/>
                <w:color w:val="auto"/>
                <w:w w:val="98"/>
              </w:rPr>
              <w:t>2021-01</w:t>
            </w:r>
          </w:p>
        </w:tc>
        <w:tc>
          <w:tcPr>
            <w:tcW w:w="100" w:type="dxa"/>
            <w:vAlign w:val="bottom"/>
          </w:tcPr>
          <w:p>
            <w:pPr>
              <w:spacing w:after="0"/>
              <w:rPr>
                <w:sz w:val="14"/>
                <w:szCs w:val="14"/>
                <w:color w:val="auto"/>
              </w:rPr>
            </w:pPr>
          </w:p>
        </w:tc>
        <w:tc>
          <w:tcPr>
            <w:tcW w:w="2200" w:type="dxa"/>
            <w:vAlign w:val="bottom"/>
            <w:gridSpan w:val="2"/>
          </w:tcPr>
          <w:p>
            <w:pPr>
              <w:jc w:val="center"/>
              <w:ind w:right="80"/>
              <w:spacing w:after="0" w:line="161" w:lineRule="exact"/>
              <w:rPr>
                <w:sz w:val="20"/>
                <w:szCs w:val="20"/>
                <w:color w:val="auto"/>
              </w:rPr>
            </w:pPr>
            <w:r>
              <w:rPr>
                <w:rFonts w:ascii="Arial" w:cs="Arial" w:eastAsia="Arial" w:hAnsi="Arial"/>
                <w:sz w:val="16"/>
                <w:szCs w:val="16"/>
                <w:color w:val="auto"/>
                <w:w w:val="99"/>
              </w:rPr>
              <w:t>Reference Rate Reform</w:t>
            </w:r>
          </w:p>
        </w:tc>
        <w:tc>
          <w:tcPr>
            <w:tcW w:w="5260" w:type="dxa"/>
            <w:vAlign w:val="bottom"/>
          </w:tcPr>
          <w:p>
            <w:pPr>
              <w:ind w:left="20"/>
              <w:spacing w:after="0" w:line="161" w:lineRule="exact"/>
              <w:rPr>
                <w:sz w:val="20"/>
                <w:szCs w:val="20"/>
                <w:color w:val="auto"/>
              </w:rPr>
            </w:pPr>
            <w:r>
              <w:rPr>
                <w:rFonts w:ascii="Arial" w:cs="Arial" w:eastAsia="Arial" w:hAnsi="Arial"/>
                <w:sz w:val="16"/>
                <w:szCs w:val="16"/>
                <w:color w:val="auto"/>
              </w:rPr>
              <w:t>This Accounting Standard Update (“ASU”), issued in January 2021,</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80"/>
              <w:spacing w:after="0" w:line="148" w:lineRule="exact"/>
              <w:rPr>
                <w:sz w:val="20"/>
                <w:szCs w:val="20"/>
                <w:color w:val="auto"/>
              </w:rPr>
            </w:pPr>
            <w:r>
              <w:rPr>
                <w:rFonts w:ascii="Arial" w:cs="Arial" w:eastAsia="Arial" w:hAnsi="Arial"/>
                <w:sz w:val="16"/>
                <w:szCs w:val="16"/>
                <w:color w:val="auto"/>
                <w:w w:val="97"/>
              </w:rPr>
              <w:t>(Topic 848): Scope</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w w:val="99"/>
              </w:rPr>
              <w:t>clarifies that derivatives affected by the discounting transition are explicitly</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eligible for certain optional expedients and exceptions under Topic 848.</w:t>
            </w:r>
          </w:p>
        </w:tc>
        <w:tc>
          <w:tcPr>
            <w:tcW w:w="0" w:type="dxa"/>
            <w:vAlign w:val="bottom"/>
          </w:tcPr>
          <w:p>
            <w:pPr>
              <w:spacing w:after="0"/>
              <w:rPr>
                <w:sz w:val="1"/>
                <w:szCs w:val="1"/>
                <w:color w:val="auto"/>
              </w:rPr>
            </w:pPr>
          </w:p>
        </w:tc>
      </w:tr>
      <w:tr>
        <w:trPr>
          <w:trHeight w:val="256"/>
        </w:trPr>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While we are currently evaluating the impact of implementing this</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w w:val="99"/>
              </w:rPr>
              <w:t>guidance on our financial statements, we do not expect adoption to have a</w:t>
            </w:r>
          </w:p>
        </w:tc>
        <w:tc>
          <w:tcPr>
            <w:tcW w:w="0" w:type="dxa"/>
            <w:vAlign w:val="bottom"/>
          </w:tcPr>
          <w:p>
            <w:pPr>
              <w:spacing w:after="0"/>
              <w:rPr>
                <w:sz w:val="1"/>
                <w:szCs w:val="1"/>
                <w:color w:val="auto"/>
              </w:rPr>
            </w:pPr>
          </w:p>
        </w:tc>
      </w:tr>
      <w:tr>
        <w:trPr>
          <w:trHeight w:val="184"/>
        </w:trPr>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material impact.</w:t>
            </w:r>
          </w:p>
        </w:tc>
        <w:tc>
          <w:tcPr>
            <w:tcW w:w="0" w:type="dxa"/>
            <w:vAlign w:val="bottom"/>
          </w:tcPr>
          <w:p>
            <w:pPr>
              <w:spacing w:after="0"/>
              <w:rPr>
                <w:sz w:val="1"/>
                <w:szCs w:val="1"/>
                <w:color w:val="auto"/>
              </w:rPr>
            </w:pPr>
          </w:p>
        </w:tc>
      </w:tr>
      <w:tr>
        <w:trPr>
          <w:trHeight w:val="161"/>
        </w:trPr>
        <w:tc>
          <w:tcPr>
            <w:tcW w:w="1240" w:type="dxa"/>
            <w:vAlign w:val="bottom"/>
          </w:tcPr>
          <w:p>
            <w:pPr>
              <w:jc w:val="center"/>
              <w:spacing w:after="0" w:line="161" w:lineRule="exact"/>
              <w:rPr>
                <w:sz w:val="20"/>
                <w:szCs w:val="20"/>
                <w:color w:val="auto"/>
              </w:rPr>
            </w:pPr>
            <w:r>
              <w:rPr>
                <w:rFonts w:ascii="Arial" w:cs="Arial" w:eastAsia="Arial" w:hAnsi="Arial"/>
                <w:sz w:val="16"/>
                <w:szCs w:val="16"/>
                <w:color w:val="auto"/>
                <w:w w:val="98"/>
              </w:rPr>
              <w:t>2020-04</w:t>
            </w:r>
          </w:p>
        </w:tc>
        <w:tc>
          <w:tcPr>
            <w:tcW w:w="100" w:type="dxa"/>
            <w:vAlign w:val="bottom"/>
          </w:tcPr>
          <w:p>
            <w:pPr>
              <w:spacing w:after="0"/>
              <w:rPr>
                <w:sz w:val="13"/>
                <w:szCs w:val="13"/>
                <w:color w:val="auto"/>
              </w:rPr>
            </w:pPr>
          </w:p>
        </w:tc>
        <w:tc>
          <w:tcPr>
            <w:tcW w:w="2200" w:type="dxa"/>
            <w:vAlign w:val="bottom"/>
            <w:gridSpan w:val="2"/>
          </w:tcPr>
          <w:p>
            <w:pPr>
              <w:jc w:val="center"/>
              <w:ind w:right="80"/>
              <w:spacing w:after="0" w:line="161" w:lineRule="exact"/>
              <w:rPr>
                <w:sz w:val="20"/>
                <w:szCs w:val="20"/>
                <w:color w:val="auto"/>
              </w:rPr>
            </w:pPr>
            <w:r>
              <w:rPr>
                <w:rFonts w:ascii="Arial" w:cs="Arial" w:eastAsia="Arial" w:hAnsi="Arial"/>
                <w:sz w:val="16"/>
                <w:szCs w:val="16"/>
                <w:color w:val="auto"/>
                <w:w w:val="99"/>
              </w:rPr>
              <w:t>Reference Rate Reform</w:t>
            </w:r>
          </w:p>
        </w:tc>
        <w:tc>
          <w:tcPr>
            <w:tcW w:w="5260" w:type="dxa"/>
            <w:vAlign w:val="bottom"/>
          </w:tcPr>
          <w:p>
            <w:pPr>
              <w:ind w:left="20"/>
              <w:spacing w:after="0" w:line="161" w:lineRule="exact"/>
              <w:rPr>
                <w:sz w:val="20"/>
                <w:szCs w:val="20"/>
                <w:color w:val="auto"/>
              </w:rPr>
            </w:pPr>
            <w:r>
              <w:rPr>
                <w:rFonts w:ascii="Arial" w:cs="Arial" w:eastAsia="Arial" w:hAnsi="Arial"/>
                <w:sz w:val="16"/>
                <w:szCs w:val="16"/>
                <w:color w:val="auto"/>
              </w:rPr>
              <w:t>This ASU, issued in March 2020, provides optional expedients to assist</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80"/>
              <w:spacing w:after="0" w:line="148" w:lineRule="exact"/>
              <w:rPr>
                <w:sz w:val="20"/>
                <w:szCs w:val="20"/>
                <w:color w:val="auto"/>
              </w:rPr>
            </w:pPr>
            <w:r>
              <w:rPr>
                <w:rFonts w:ascii="Arial" w:cs="Arial" w:eastAsia="Arial" w:hAnsi="Arial"/>
                <w:sz w:val="16"/>
                <w:szCs w:val="16"/>
                <w:color w:val="auto"/>
                <w:w w:val="98"/>
              </w:rPr>
              <w:t>(Topic 848): Facilitation of the</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with the discontinuance of LIBOR. The expedients allow companies to</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80"/>
              <w:spacing w:after="0" w:line="148" w:lineRule="exact"/>
              <w:rPr>
                <w:sz w:val="20"/>
                <w:szCs w:val="20"/>
                <w:color w:val="auto"/>
              </w:rPr>
            </w:pPr>
            <w:r>
              <w:rPr>
                <w:rFonts w:ascii="Arial" w:cs="Arial" w:eastAsia="Arial" w:hAnsi="Arial"/>
                <w:sz w:val="16"/>
                <w:szCs w:val="16"/>
                <w:color w:val="auto"/>
                <w:w w:val="98"/>
              </w:rPr>
              <w:t>Effects of Reference Rate</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ease the potential accounting burden when modifying contracts and</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8" w:lineRule="exact"/>
              <w:rPr>
                <w:sz w:val="20"/>
                <w:szCs w:val="20"/>
                <w:color w:val="auto"/>
              </w:rPr>
            </w:pPr>
            <w:r>
              <w:rPr>
                <w:rFonts w:ascii="Arial" w:cs="Arial" w:eastAsia="Arial" w:hAnsi="Arial"/>
                <w:sz w:val="16"/>
                <w:szCs w:val="16"/>
                <w:color w:val="auto"/>
                <w:w w:val="99"/>
              </w:rPr>
              <w:t>Reform on Financial</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w w:val="99"/>
              </w:rPr>
              <w:t>hedging relationships that use LIBOR as a reference rate, if certain criteria</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Reporting</w:t>
            </w:r>
          </w:p>
        </w:tc>
        <w:tc>
          <w:tcPr>
            <w:tcW w:w="5260" w:type="dxa"/>
            <w:vAlign w:val="bottom"/>
          </w:tcPr>
          <w:p>
            <w:pPr>
              <w:ind w:left="20"/>
              <w:spacing w:after="0"/>
              <w:rPr>
                <w:sz w:val="20"/>
                <w:szCs w:val="20"/>
                <w:color w:val="auto"/>
              </w:rPr>
            </w:pPr>
            <w:r>
              <w:rPr>
                <w:rFonts w:ascii="Arial" w:cs="Arial" w:eastAsia="Arial" w:hAnsi="Arial"/>
                <w:sz w:val="16"/>
                <w:szCs w:val="16"/>
                <w:color w:val="auto"/>
              </w:rPr>
              <w:t>are met.</w:t>
            </w:r>
          </w:p>
        </w:tc>
        <w:tc>
          <w:tcPr>
            <w:tcW w:w="0" w:type="dxa"/>
            <w:vAlign w:val="bottom"/>
          </w:tcPr>
          <w:p>
            <w:pPr>
              <w:spacing w:after="0"/>
              <w:rPr>
                <w:sz w:val="1"/>
                <w:szCs w:val="1"/>
                <w:color w:val="auto"/>
              </w:rPr>
            </w:pPr>
          </w:p>
        </w:tc>
      </w:tr>
      <w:tr>
        <w:trPr>
          <w:trHeight w:val="256"/>
        </w:trPr>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While we are currently evaluating the impact of implementing this</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w w:val="99"/>
              </w:rPr>
              <w:t>guidance on our financial statements, we do not expect adoption to have a</w:t>
            </w:r>
          </w:p>
        </w:tc>
        <w:tc>
          <w:tcPr>
            <w:tcW w:w="0" w:type="dxa"/>
            <w:vAlign w:val="bottom"/>
          </w:tcPr>
          <w:p>
            <w:pPr>
              <w:spacing w:after="0"/>
              <w:rPr>
                <w:sz w:val="1"/>
                <w:szCs w:val="1"/>
                <w:color w:val="auto"/>
              </w:rPr>
            </w:pPr>
          </w:p>
        </w:tc>
      </w:tr>
      <w:tr>
        <w:trPr>
          <w:trHeight w:val="184"/>
        </w:trPr>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material impact.</w:t>
            </w:r>
          </w:p>
        </w:tc>
        <w:tc>
          <w:tcPr>
            <w:tcW w:w="0" w:type="dxa"/>
            <w:vAlign w:val="bottom"/>
          </w:tcPr>
          <w:p>
            <w:pPr>
              <w:spacing w:after="0"/>
              <w:rPr>
                <w:sz w:val="1"/>
                <w:szCs w:val="1"/>
                <w:color w:val="auto"/>
              </w:rPr>
            </w:pPr>
          </w:p>
        </w:tc>
      </w:tr>
      <w:tr>
        <w:trPr>
          <w:trHeight w:val="161"/>
        </w:trPr>
        <w:tc>
          <w:tcPr>
            <w:tcW w:w="1240" w:type="dxa"/>
            <w:vAlign w:val="bottom"/>
          </w:tcPr>
          <w:p>
            <w:pPr>
              <w:jc w:val="center"/>
              <w:spacing w:after="0" w:line="161" w:lineRule="exact"/>
              <w:rPr>
                <w:sz w:val="20"/>
                <w:szCs w:val="20"/>
                <w:color w:val="auto"/>
              </w:rPr>
            </w:pPr>
            <w:r>
              <w:rPr>
                <w:rFonts w:ascii="Arial" w:cs="Arial" w:eastAsia="Arial" w:hAnsi="Arial"/>
                <w:sz w:val="16"/>
                <w:szCs w:val="16"/>
                <w:color w:val="auto"/>
                <w:w w:val="98"/>
              </w:rPr>
              <w:t>2020-01</w:t>
            </w:r>
          </w:p>
        </w:tc>
        <w:tc>
          <w:tcPr>
            <w:tcW w:w="100" w:type="dxa"/>
            <w:vAlign w:val="bottom"/>
          </w:tcPr>
          <w:p>
            <w:pPr>
              <w:spacing w:after="0"/>
              <w:rPr>
                <w:sz w:val="13"/>
                <w:szCs w:val="13"/>
                <w:color w:val="auto"/>
              </w:rPr>
            </w:pPr>
          </w:p>
        </w:tc>
        <w:tc>
          <w:tcPr>
            <w:tcW w:w="2200" w:type="dxa"/>
            <w:vAlign w:val="bottom"/>
            <w:gridSpan w:val="2"/>
          </w:tcPr>
          <w:p>
            <w:pPr>
              <w:jc w:val="center"/>
              <w:ind w:right="80"/>
              <w:spacing w:after="0" w:line="161" w:lineRule="exact"/>
              <w:rPr>
                <w:sz w:val="20"/>
                <w:szCs w:val="20"/>
                <w:color w:val="auto"/>
              </w:rPr>
            </w:pPr>
            <w:r>
              <w:rPr>
                <w:rFonts w:ascii="Arial" w:cs="Arial" w:eastAsia="Arial" w:hAnsi="Arial"/>
                <w:sz w:val="16"/>
                <w:szCs w:val="16"/>
                <w:color w:val="auto"/>
                <w:w w:val="98"/>
              </w:rPr>
              <w:t>Investments—Equity</w:t>
            </w:r>
          </w:p>
        </w:tc>
        <w:tc>
          <w:tcPr>
            <w:tcW w:w="5260" w:type="dxa"/>
            <w:vAlign w:val="bottom"/>
          </w:tcPr>
          <w:p>
            <w:pPr>
              <w:ind w:left="20"/>
              <w:spacing w:after="0" w:line="161" w:lineRule="exact"/>
              <w:rPr>
                <w:sz w:val="20"/>
                <w:szCs w:val="20"/>
                <w:color w:val="auto"/>
              </w:rPr>
            </w:pPr>
            <w:r>
              <w:rPr>
                <w:rFonts w:ascii="Arial" w:cs="Arial" w:eastAsia="Arial" w:hAnsi="Arial"/>
                <w:sz w:val="16"/>
                <w:szCs w:val="16"/>
                <w:color w:val="auto"/>
              </w:rPr>
              <w:t>This ASU, issued in January 2020, clarifies the interaction between Topic</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80"/>
              <w:spacing w:after="0" w:line="148" w:lineRule="exact"/>
              <w:rPr>
                <w:sz w:val="20"/>
                <w:szCs w:val="20"/>
                <w:color w:val="auto"/>
              </w:rPr>
            </w:pPr>
            <w:r>
              <w:rPr>
                <w:rFonts w:ascii="Arial" w:cs="Arial" w:eastAsia="Arial" w:hAnsi="Arial"/>
                <w:sz w:val="16"/>
                <w:szCs w:val="16"/>
                <w:color w:val="auto"/>
                <w:w w:val="97"/>
              </w:rPr>
              <w:t>Securities (Topic 321),</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321, Topic 323, and Topic 815. The new guidance, among other things,</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8" w:lineRule="exact"/>
              <w:rPr>
                <w:sz w:val="20"/>
                <w:szCs w:val="20"/>
                <w:color w:val="auto"/>
              </w:rPr>
            </w:pPr>
            <w:r>
              <w:rPr>
                <w:rFonts w:ascii="Arial" w:cs="Arial" w:eastAsia="Arial" w:hAnsi="Arial"/>
                <w:sz w:val="16"/>
                <w:szCs w:val="16"/>
                <w:color w:val="auto"/>
                <w:w w:val="98"/>
              </w:rPr>
              <w:t>Investments—Equity Method</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states that a company should consider observable transactions that</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8" w:lineRule="exact"/>
              <w:rPr>
                <w:sz w:val="20"/>
                <w:szCs w:val="20"/>
                <w:color w:val="auto"/>
              </w:rPr>
            </w:pPr>
            <w:r>
              <w:rPr>
                <w:rFonts w:ascii="Arial" w:cs="Arial" w:eastAsia="Arial" w:hAnsi="Arial"/>
                <w:sz w:val="16"/>
                <w:szCs w:val="16"/>
                <w:color w:val="auto"/>
                <w:w w:val="97"/>
              </w:rPr>
              <w:t>and Joint Ventures (Topic</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w w:val="99"/>
              </w:rPr>
              <w:t>require it to either apply or discontinue the equity method of accounting for</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80"/>
              <w:spacing w:after="0" w:line="148" w:lineRule="exact"/>
              <w:rPr>
                <w:sz w:val="20"/>
                <w:szCs w:val="20"/>
                <w:color w:val="auto"/>
              </w:rPr>
            </w:pPr>
            <w:r>
              <w:rPr>
                <w:rFonts w:ascii="Arial" w:cs="Arial" w:eastAsia="Arial" w:hAnsi="Arial"/>
                <w:sz w:val="16"/>
                <w:szCs w:val="16"/>
                <w:color w:val="auto"/>
                <w:w w:val="98"/>
              </w:rPr>
              <w:t>323), and Derivatives and</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the purposes of applying the fair value measurement alternative</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8" w:lineRule="exact"/>
              <w:rPr>
                <w:sz w:val="20"/>
                <w:szCs w:val="20"/>
                <w:color w:val="auto"/>
              </w:rPr>
            </w:pPr>
            <w:r>
              <w:rPr>
                <w:rFonts w:ascii="Arial" w:cs="Arial" w:eastAsia="Arial" w:hAnsi="Arial"/>
                <w:sz w:val="16"/>
                <w:szCs w:val="16"/>
                <w:color w:val="auto"/>
                <w:w w:val="97"/>
              </w:rPr>
              <w:t>Hedging (Topic 815):</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immediately before applying or upon discontinuing the equity method.</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80"/>
              <w:spacing w:after="0" w:line="148" w:lineRule="exact"/>
              <w:rPr>
                <w:sz w:val="20"/>
                <w:szCs w:val="20"/>
                <w:color w:val="auto"/>
              </w:rPr>
            </w:pPr>
            <w:r>
              <w:rPr>
                <w:rFonts w:ascii="Arial" w:cs="Arial" w:eastAsia="Arial" w:hAnsi="Arial"/>
                <w:sz w:val="16"/>
                <w:szCs w:val="16"/>
                <w:color w:val="auto"/>
                <w:w w:val="99"/>
              </w:rPr>
              <w:t>Clarifying the Interactions</w:t>
            </w:r>
          </w:p>
        </w:tc>
        <w:tc>
          <w:tcPr>
            <w:tcW w:w="5260" w:type="dxa"/>
            <w:vAlign w:val="bottom"/>
            <w:vMerge w:val="restart"/>
          </w:tcPr>
          <w:p>
            <w:pPr>
              <w:ind w:left="20"/>
              <w:spacing w:after="0"/>
              <w:rPr>
                <w:sz w:val="20"/>
                <w:szCs w:val="20"/>
                <w:color w:val="auto"/>
              </w:rPr>
            </w:pPr>
            <w:r>
              <w:rPr>
                <w:rFonts w:ascii="Arial" w:cs="Arial" w:eastAsia="Arial" w:hAnsi="Arial"/>
                <w:sz w:val="16"/>
                <w:szCs w:val="16"/>
                <w:color w:val="auto"/>
              </w:rPr>
              <w:t>While we are currently evaluating the impact of implementing this</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8" w:lineRule="exact"/>
              <w:rPr>
                <w:sz w:val="20"/>
                <w:szCs w:val="20"/>
                <w:color w:val="auto"/>
              </w:rPr>
            </w:pPr>
            <w:r>
              <w:rPr>
                <w:rFonts w:ascii="Arial" w:cs="Arial" w:eastAsia="Arial" w:hAnsi="Arial"/>
                <w:sz w:val="16"/>
                <w:szCs w:val="16"/>
                <w:color w:val="auto"/>
                <w:w w:val="97"/>
              </w:rPr>
              <w:t>between Topic 321, Topic</w:t>
            </w:r>
          </w:p>
        </w:tc>
        <w:tc>
          <w:tcPr>
            <w:tcW w:w="5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8" w:lineRule="exact"/>
              <w:rPr>
                <w:sz w:val="20"/>
                <w:szCs w:val="20"/>
                <w:color w:val="auto"/>
              </w:rPr>
            </w:pPr>
            <w:r>
              <w:rPr>
                <w:rFonts w:ascii="Arial" w:cs="Arial" w:eastAsia="Arial" w:hAnsi="Arial"/>
                <w:sz w:val="16"/>
                <w:szCs w:val="16"/>
                <w:color w:val="auto"/>
                <w:w w:val="97"/>
              </w:rPr>
              <w:t>323, and Topic 815</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w w:val="99"/>
              </w:rPr>
              <w:t>guidance on our financial statements, we do not expect adoption to have a</w:t>
            </w:r>
          </w:p>
        </w:tc>
        <w:tc>
          <w:tcPr>
            <w:tcW w:w="0" w:type="dxa"/>
            <w:vAlign w:val="bottom"/>
          </w:tcPr>
          <w:p>
            <w:pPr>
              <w:spacing w:after="0"/>
              <w:rPr>
                <w:sz w:val="1"/>
                <w:szCs w:val="1"/>
                <w:color w:val="auto"/>
              </w:rPr>
            </w:pPr>
          </w:p>
        </w:tc>
      </w:tr>
      <w:tr>
        <w:trPr>
          <w:trHeight w:val="184"/>
        </w:trPr>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material impact.</w:t>
            </w:r>
          </w:p>
        </w:tc>
        <w:tc>
          <w:tcPr>
            <w:tcW w:w="0" w:type="dxa"/>
            <w:vAlign w:val="bottom"/>
          </w:tcPr>
          <w:p>
            <w:pPr>
              <w:spacing w:after="0"/>
              <w:rPr>
                <w:sz w:val="1"/>
                <w:szCs w:val="1"/>
                <w:color w:val="auto"/>
              </w:rPr>
            </w:pPr>
          </w:p>
        </w:tc>
      </w:tr>
      <w:tr>
        <w:trPr>
          <w:trHeight w:val="161"/>
        </w:trPr>
        <w:tc>
          <w:tcPr>
            <w:tcW w:w="1240" w:type="dxa"/>
            <w:vAlign w:val="bottom"/>
          </w:tcPr>
          <w:p>
            <w:pPr>
              <w:jc w:val="center"/>
              <w:spacing w:after="0" w:line="161" w:lineRule="exact"/>
              <w:rPr>
                <w:sz w:val="20"/>
                <w:szCs w:val="20"/>
                <w:color w:val="auto"/>
              </w:rPr>
            </w:pPr>
            <w:r>
              <w:rPr>
                <w:rFonts w:ascii="Arial" w:cs="Arial" w:eastAsia="Arial" w:hAnsi="Arial"/>
                <w:sz w:val="16"/>
                <w:szCs w:val="16"/>
                <w:color w:val="auto"/>
                <w:w w:val="98"/>
              </w:rPr>
              <w:t>2019-12</w:t>
            </w:r>
          </w:p>
        </w:tc>
        <w:tc>
          <w:tcPr>
            <w:tcW w:w="100" w:type="dxa"/>
            <w:vAlign w:val="bottom"/>
          </w:tcPr>
          <w:p>
            <w:pPr>
              <w:spacing w:after="0"/>
              <w:rPr>
                <w:sz w:val="13"/>
                <w:szCs w:val="13"/>
                <w:color w:val="auto"/>
              </w:rPr>
            </w:pPr>
          </w:p>
        </w:tc>
        <w:tc>
          <w:tcPr>
            <w:tcW w:w="2200" w:type="dxa"/>
            <w:vAlign w:val="bottom"/>
            <w:gridSpan w:val="2"/>
          </w:tcPr>
          <w:p>
            <w:pPr>
              <w:jc w:val="center"/>
              <w:ind w:right="80"/>
              <w:spacing w:after="0" w:line="161" w:lineRule="exact"/>
              <w:rPr>
                <w:sz w:val="20"/>
                <w:szCs w:val="20"/>
                <w:color w:val="auto"/>
              </w:rPr>
            </w:pPr>
            <w:r>
              <w:rPr>
                <w:rFonts w:ascii="Arial" w:cs="Arial" w:eastAsia="Arial" w:hAnsi="Arial"/>
                <w:sz w:val="16"/>
                <w:szCs w:val="16"/>
                <w:color w:val="auto"/>
                <w:w w:val="96"/>
              </w:rPr>
              <w:t>Income Taxes (Topic 740):</w:t>
            </w:r>
          </w:p>
        </w:tc>
        <w:tc>
          <w:tcPr>
            <w:tcW w:w="5260" w:type="dxa"/>
            <w:vAlign w:val="bottom"/>
          </w:tcPr>
          <w:p>
            <w:pPr>
              <w:ind w:left="20"/>
              <w:spacing w:after="0" w:line="161" w:lineRule="exact"/>
              <w:rPr>
                <w:sz w:val="20"/>
                <w:szCs w:val="20"/>
                <w:color w:val="auto"/>
              </w:rPr>
            </w:pPr>
            <w:r>
              <w:rPr>
                <w:rFonts w:ascii="Arial" w:cs="Arial" w:eastAsia="Arial" w:hAnsi="Arial"/>
                <w:sz w:val="16"/>
                <w:szCs w:val="16"/>
                <w:color w:val="auto"/>
              </w:rPr>
              <w:t>This ASU, issued in December 2019, removes certain exceptions related</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8" w:lineRule="exact"/>
              <w:rPr>
                <w:sz w:val="20"/>
                <w:szCs w:val="20"/>
                <w:color w:val="auto"/>
              </w:rPr>
            </w:pPr>
            <w:r>
              <w:rPr>
                <w:rFonts w:ascii="Arial" w:cs="Arial" w:eastAsia="Arial" w:hAnsi="Arial"/>
                <w:sz w:val="16"/>
                <w:szCs w:val="16"/>
                <w:color w:val="auto"/>
                <w:w w:val="99"/>
              </w:rPr>
              <w:t>Simplifying the Accounting</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to the approach for intraperiod tax allocation, the methodology for</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80"/>
              <w:spacing w:after="0" w:line="148" w:lineRule="exact"/>
              <w:rPr>
                <w:sz w:val="20"/>
                <w:szCs w:val="20"/>
                <w:color w:val="auto"/>
              </w:rPr>
            </w:pPr>
            <w:r>
              <w:rPr>
                <w:rFonts w:ascii="Arial" w:cs="Arial" w:eastAsia="Arial" w:hAnsi="Arial"/>
                <w:sz w:val="16"/>
                <w:szCs w:val="16"/>
                <w:color w:val="auto"/>
                <w:w w:val="97"/>
              </w:rPr>
              <w:t>for Income Taxes</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calculating income taxes in an interim period, and the recognition of</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w w:val="99"/>
              </w:rPr>
              <w:t>deferred tax liabilities for outside basis differences. This ASU also amends</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other aspects of the guidance to help simplify and promote consistent</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application of Topic 740.</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560" w:right="180"/>
        <w:spacing w:after="0" w:line="220" w:lineRule="auto"/>
        <w:rPr>
          <w:sz w:val="20"/>
          <w:szCs w:val="20"/>
          <w:color w:val="auto"/>
        </w:rPr>
      </w:pPr>
      <w:r>
        <w:rPr>
          <w:rFonts w:ascii="Arial" w:cs="Arial" w:eastAsia="Arial" w:hAnsi="Arial"/>
          <w:sz w:val="16"/>
          <w:szCs w:val="16"/>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55803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803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Effective Date/</w:t>
      </w:r>
    </w:p>
    <w:p>
      <w:pPr>
        <w:jc w:val="center"/>
        <w:spacing w:after="0"/>
        <w:rPr>
          <w:sz w:val="20"/>
          <w:szCs w:val="20"/>
          <w:color w:val="auto"/>
        </w:rPr>
      </w:pPr>
      <w:r>
        <w:rPr>
          <w:rFonts w:ascii="Arial" w:cs="Arial" w:eastAsia="Arial" w:hAnsi="Arial"/>
          <w:sz w:val="16"/>
          <w:szCs w:val="16"/>
          <w:b w:val="1"/>
          <w:bCs w:val="1"/>
          <w:color w:val="auto"/>
        </w:rPr>
        <w:t>Method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10795</wp:posOffset>
            </wp:positionV>
            <wp:extent cx="1482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9" w:lineRule="exact"/>
        <w:rPr>
          <w:sz w:val="20"/>
          <w:szCs w:val="20"/>
          <w:color w:val="auto"/>
        </w:rPr>
      </w:pPr>
    </w:p>
    <w:p>
      <w:pPr>
        <w:jc w:val="center"/>
        <w:ind w:left="40" w:right="20"/>
        <w:spacing w:after="0" w:line="217" w:lineRule="auto"/>
        <w:rPr>
          <w:sz w:val="20"/>
          <w:szCs w:val="20"/>
          <w:color w:val="auto"/>
        </w:rPr>
      </w:pPr>
      <w:r>
        <w:rPr>
          <w:rFonts w:ascii="Arial" w:cs="Arial" w:eastAsia="Arial" w:hAnsi="Arial"/>
          <w:sz w:val="15"/>
          <w:szCs w:val="15"/>
          <w:color w:val="auto"/>
        </w:rPr>
        <w:t>This update was effective upon issuance and can be applied to hedging relationships retrospectively or prospectively through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187325</wp:posOffset>
            </wp:positionV>
            <wp:extent cx="1482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307" w:lineRule="exact"/>
        <w:rPr>
          <w:sz w:val="20"/>
          <w:szCs w:val="20"/>
          <w:color w:val="auto"/>
        </w:rPr>
      </w:pPr>
    </w:p>
    <w:p>
      <w:pPr>
        <w:jc w:val="center"/>
        <w:spacing w:after="0" w:line="201" w:lineRule="auto"/>
        <w:rPr>
          <w:sz w:val="20"/>
          <w:szCs w:val="20"/>
          <w:color w:val="auto"/>
        </w:rPr>
      </w:pPr>
      <w:r>
        <w:rPr>
          <w:rFonts w:ascii="Arial" w:cs="Arial" w:eastAsia="Arial" w:hAnsi="Arial"/>
          <w:sz w:val="16"/>
          <w:szCs w:val="16"/>
          <w:color w:val="auto"/>
        </w:rPr>
        <w:t>This update was effective upon issuance and can be applied prospectively to contract modifications made and hedging relationships entered into or evaluated through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186055</wp:posOffset>
            </wp:positionV>
            <wp:extent cx="1482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3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November 1, 2021</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This update will be applied</w:t>
      </w:r>
    </w:p>
    <w:p>
      <w:pPr>
        <w:ind w:left="660"/>
        <w:spacing w:after="0"/>
        <w:rPr>
          <w:sz w:val="20"/>
          <w:szCs w:val="20"/>
          <w:color w:val="auto"/>
        </w:rPr>
      </w:pPr>
      <w:r>
        <w:rPr>
          <w:rFonts w:ascii="Arial" w:cs="Arial" w:eastAsia="Arial" w:hAnsi="Arial"/>
          <w:sz w:val="16"/>
          <w:szCs w:val="16"/>
          <w:color w:val="auto"/>
        </w:rPr>
        <w:t>prospectively.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565785</wp:posOffset>
            </wp:positionV>
            <wp:extent cx="1482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November 1, 2021</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amendments have differing</w:t>
      </w:r>
    </w:p>
    <w:p>
      <w:pPr>
        <w:jc w:val="center"/>
        <w:ind w:left="100" w:right="20"/>
        <w:spacing w:after="0" w:line="207" w:lineRule="auto"/>
        <w:rPr>
          <w:sz w:val="20"/>
          <w:szCs w:val="20"/>
          <w:color w:val="auto"/>
        </w:rPr>
      </w:pPr>
      <w:r>
        <w:rPr>
          <w:rFonts w:ascii="Arial" w:cs="Arial" w:eastAsia="Arial" w:hAnsi="Arial"/>
          <w:sz w:val="16"/>
          <w:szCs w:val="16"/>
          <w:color w:val="auto"/>
        </w:rPr>
        <w:t>adoption methods, including retrospectively, prospectively, and/or on a modified retrospective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185420</wp:posOffset>
            </wp:positionV>
            <wp:extent cx="1482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496" w:lineRule="exact"/>
        <w:rPr>
          <w:sz w:val="20"/>
          <w:szCs w:val="20"/>
          <w:color w:val="auto"/>
        </w:rPr>
      </w:pPr>
    </w:p>
    <w:p>
      <w:pPr>
        <w:sectPr>
          <w:pgSz w:w="11900" w:h="16838" w:orient="portrait"/>
          <w:cols w:equalWidth="0" w:num="2">
            <w:col w:w="8800" w:space="140"/>
            <w:col w:w="2280"/>
          </w:cols>
          <w:pgMar w:left="320" w:top="104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8" w:right="35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0046AD"/>
        </w:rPr>
        <w:t>ITEM 7A. QUANTITATIVE AND QUALITATIVE DISCLOSURES ABOUT MARKET RISK.</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market risk exposure related to interest rates and foreign currency exchange rates. Market risk is measured as the potential negative impact on earnings, cash flows, or fair values resulting from a hypothetical change in interest rates or foreign currency exchange rates.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Interest Rate Risk</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are primarily exposed to interest rate risk through our variable rate borrowings under our Amended Credit Facility, as further described in Note 11, “Credit Facility,” in the Financial Statements. Under the Amended Credit Facility, the term loan and U.S.-dollar-denominated borrowings under the revolver bear interest at a rate equal to one-month LIBOR plus a spread. Euro- and sterling-denominated borrowings under the revolver bear at rate equal to the EURIBOR and SONIA reference rates, respectively, plus a spread. At October 31, 2021, we had total outstanding borrowings of $888.8 million. To limit exposure to upward movements in interest rates associated with our floating-rate, LIBOR-based borrowings, we entered into interest rate swap agreements to fix the interest rates on a portion of our outstanding borrowings. At October 31, 2021, we had interest rate swaps with an underlying notional amount of $ 260.0 million and fixed interest rates of 2.84% and 2.86%. Based on our average borrowings, interest rates, and interest rate swaps in effect at October 31, 2021, a 100 basis point increase in LIBOR, EURIBOR, and SONIA would decrease our future earnings and cash flows by $7.1 million. For 2020, our market risk exposure related to interest rate fluctuations was $2.5 million. As actual interest rate movements over time are uncertain, our interest rate swaps pose potential interest rate risks if interest rates decrease. As of October 31, 2021, the fair value of our interest rate swap agreements was a liability of $4.6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Foreign Currency Exchange Rate Risk</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primarily exposed to the impact of foreign exchange rate risk through our U.K. operations where the functional currency is the GBP. As we intend to remain permanently invested in these foreign operations, we do not utilize hedging instruments to mitigate foreign currency exchange risks. If we change our intent with respect to such international investment, we would expect to implement strategies designed to manage those risks in an effort to mitigate the effect of foreign currency fluctuations on our earnings and cash flows.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0046AD"/>
        </w:rPr>
        <w:t>ITEM 8. FINANCIAL STATEMENTS AND SUPPLEMENTARY DATA.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8" w:lineRule="exact"/>
        <w:rPr>
          <w:sz w:val="20"/>
          <w:szCs w:val="20"/>
          <w:color w:val="auto"/>
        </w:rPr>
      </w:pPr>
    </w:p>
    <w:p>
      <w:pPr>
        <w:spacing w:after="0" w:line="216" w:lineRule="exact"/>
        <w:rPr>
          <w:sz w:val="20"/>
          <w:szCs w:val="20"/>
          <w:color w:val="auto"/>
        </w:rPr>
      </w:pPr>
      <w:r>
        <w:rPr>
          <w:rFonts w:ascii="Arial" w:cs="Arial" w:eastAsia="Arial" w:hAnsi="Arial"/>
          <w:sz w:val="18"/>
          <w:szCs w:val="18"/>
          <w:color w:val="auto"/>
        </w:rPr>
        <w:t>We have audited the accompanying consolidated balance sheets of ABM Industries Incorporated and subsidiaries (the Company) as of October 31, 2021 and 2020, the related consolidated statements of comprehensive income (loss), stockholders’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October 31, 2021, and the related notes and financial statement schedule II (collectively, the consolidated financial statements). In our opinion, the consolidated financial statements present fairly, in all material respects, the financial position of the Company as of October 31, 2021 and 2020,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October 31, 2021, in conformity with U.S. generally accepted accounting principles.</w:t>
      </w:r>
    </w:p>
    <w:p>
      <w:pPr>
        <w:spacing w:after="0" w:line="19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October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December 22,</w:t>
      </w:r>
      <w:r>
        <w:rPr>
          <w:rFonts w:ascii="Arial" w:cs="Arial" w:eastAsia="Arial" w:hAnsi="Arial"/>
          <w:sz w:val="18"/>
          <w:szCs w:val="18"/>
          <w:i w:val="1"/>
          <w:iCs w:val="1"/>
          <w:color w:val="auto"/>
        </w:rPr>
        <w:t xml:space="preserve"> </w:t>
      </w:r>
      <w:r>
        <w:rPr>
          <w:rFonts w:ascii="Arial" w:cs="Arial" w:eastAsia="Arial" w:hAnsi="Arial"/>
          <w:sz w:val="18"/>
          <w:szCs w:val="18"/>
          <w:color w:val="auto"/>
        </w:rPr>
        <w:t>2021 expressed an unqualified opinion on the effectiveness of the Company’s internal control over financial reporting.</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16"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20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customer relationship intangible asset from the acquisition of Able</w:t>
      </w:r>
    </w:p>
    <w:p>
      <w:pPr>
        <w:spacing w:after="0" w:line="203" w:lineRule="exact"/>
        <w:rPr>
          <w:sz w:val="20"/>
          <w:szCs w:val="20"/>
          <w:color w:val="auto"/>
        </w:rPr>
      </w:pPr>
    </w:p>
    <w:p>
      <w:pPr>
        <w:ind w:left="660" w:right="180"/>
        <w:spacing w:after="0" w:line="261" w:lineRule="auto"/>
        <w:rPr>
          <w:sz w:val="20"/>
          <w:szCs w:val="20"/>
          <w:color w:val="auto"/>
        </w:rPr>
      </w:pPr>
      <w:r>
        <w:rPr>
          <w:rFonts w:ascii="Arial" w:cs="Arial" w:eastAsia="Arial" w:hAnsi="Arial"/>
          <w:sz w:val="18"/>
          <w:szCs w:val="18"/>
          <w:color w:val="auto"/>
        </w:rPr>
        <w:t>As discussed in Note 4 to the consolidated financial statements, on September 30, 2021, the Company completed its acquisition of Crown Building Maintenance Co. and Crown Energy Services, Inc. (collectively,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4" w:right="359" w:bottom="1440" w:gutter="0" w:footer="0" w:header="0"/>
        </w:sectPr>
      </w:pPr>
    </w:p>
    <w:bookmarkStart w:id="48" w:name="page49"/>
    <w:bookmarkEnd w:id="48"/>
    <w:p>
      <w:pPr>
        <w:ind w:left="4" w:right="200"/>
        <w:spacing w:after="0" w:line="256" w:lineRule="auto"/>
        <w:rPr>
          <w:sz w:val="20"/>
          <w:szCs w:val="20"/>
          <w:color w:val="auto"/>
        </w:rPr>
      </w:pPr>
      <w:r>
        <w:rPr>
          <w:rFonts w:ascii="Arial" w:cs="Arial" w:eastAsia="Arial" w:hAnsi="Arial"/>
          <w:sz w:val="18"/>
          <w:szCs w:val="18"/>
          <w:color w:val="auto"/>
        </w:rPr>
        <w:t>Able) for $741.7 million. As a result of the transaction, the Company acquired a customer relationship intangible asset representing future estimated income from Able’s existing customers. The acquisition-date preliminary fair value determined for the customer relationship intangible asset was $220.0 million.</w:t>
      </w:r>
    </w:p>
    <w:p>
      <w:pPr>
        <w:spacing w:after="0" w:line="161" w:lineRule="exact"/>
        <w:rPr>
          <w:sz w:val="20"/>
          <w:szCs w:val="20"/>
          <w:color w:val="auto"/>
        </w:rPr>
      </w:pPr>
    </w:p>
    <w:p>
      <w:pPr>
        <w:ind w:left="4" w:right="220"/>
        <w:spacing w:after="0" w:line="253" w:lineRule="auto"/>
        <w:rPr>
          <w:sz w:val="20"/>
          <w:szCs w:val="20"/>
          <w:color w:val="auto"/>
        </w:rPr>
      </w:pPr>
      <w:r>
        <w:rPr>
          <w:rFonts w:ascii="Arial" w:cs="Arial" w:eastAsia="Arial" w:hAnsi="Arial"/>
          <w:sz w:val="18"/>
          <w:szCs w:val="18"/>
          <w:color w:val="auto"/>
        </w:rPr>
        <w:t>We identified the evaluation of the fair value of the customer relationship intangible asset from the acquisition of Able as a critical audit matter as a high degree of subjectivity was required to evaluate certain inputs in the discounted cash flow model used to determine the fair value of the asset. Such inputs included expected future revenue growth, future operating performance margins, customer attrition rate, and discount rate applied. Changes in these inputs could have a significant impact on the fair value of the customer relationship intangible asset.</w:t>
      </w:r>
    </w:p>
    <w:p>
      <w:pPr>
        <w:spacing w:after="0" w:line="178" w:lineRule="exact"/>
        <w:rPr>
          <w:sz w:val="20"/>
          <w:szCs w:val="20"/>
          <w:color w:val="auto"/>
        </w:rPr>
      </w:pPr>
    </w:p>
    <w:p>
      <w:pPr>
        <w:ind w:left="4" w:right="20"/>
        <w:spacing w:after="0" w:line="252"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acquisition-date valuation process, including controls over the development of the above listed inputs used to value the customer relationship intangible asset. We evaluated the future revenue growth and future operating performance margins by comparing these inputs to the historical performance of peer companies and to the pre-acquisition historical performance of both the Company and Able. We involved valuation professionals with specialized skills and knowledge who assisted in:</w:t>
      </w:r>
    </w:p>
    <w:p>
      <w:pPr>
        <w:spacing w:after="0" w:line="168" w:lineRule="exact"/>
        <w:rPr>
          <w:sz w:val="20"/>
          <w:szCs w:val="20"/>
          <w:color w:val="auto"/>
        </w:rPr>
      </w:pPr>
    </w:p>
    <w:p>
      <w:pPr>
        <w:ind w:left="644" w:right="220" w:hanging="320"/>
        <w:spacing w:after="0" w:line="250" w:lineRule="auto"/>
        <w:tabs>
          <w:tab w:leader="none" w:pos="639"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evaluating the estimated annual attrition rate by comparing the selected attrition rate against historical customer attrition of Able</w:t>
      </w:r>
    </w:p>
    <w:p>
      <w:pPr>
        <w:ind w:left="644" w:right="740" w:hanging="320"/>
        <w:spacing w:after="0" w:line="250" w:lineRule="auto"/>
        <w:tabs>
          <w:tab w:leader="none" w:pos="639"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evaluating the Company’s discount rate by comparing the rate against a discount rate range that was independently developed</w:t>
      </w:r>
    </w:p>
    <w:p>
      <w:pPr>
        <w:ind w:left="644" w:right="60" w:hanging="320"/>
        <w:spacing w:after="0" w:line="261" w:lineRule="auto"/>
        <w:tabs>
          <w:tab w:leader="none" w:pos="639"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a fair value estimate of the customer relationship intangible asset using the Company’s cash flow projections and independently developed range of discount rates and comparing it to the Company’s estimate.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Valuation of self-insurance liabilities</w:t>
      </w:r>
    </w:p>
    <w:p>
      <w:pPr>
        <w:spacing w:after="0" w:line="203"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As discussed in Notes 2 and 10 to the consolidated financial statements, the Company uses a combination of insured and self-insurance programs to cover workers’ compensation, general liability, automobile liability, property damage, and other insurable risks. The balance of casualty program insurance reserves, net of recoverables, as of October 31, 2021 amounted to $508.3 million. The Company engages actuaries to estimate its self-insurance liabilities at least annually.</w:t>
      </w:r>
    </w:p>
    <w:p>
      <w:pPr>
        <w:spacing w:after="0" w:line="163" w:lineRule="exact"/>
        <w:rPr>
          <w:sz w:val="20"/>
          <w:szCs w:val="20"/>
          <w:color w:val="auto"/>
        </w:rPr>
      </w:pPr>
    </w:p>
    <w:p>
      <w:pPr>
        <w:ind w:left="4" w:right="80"/>
        <w:spacing w:after="0" w:line="256" w:lineRule="auto"/>
        <w:rPr>
          <w:sz w:val="20"/>
          <w:szCs w:val="20"/>
          <w:color w:val="auto"/>
        </w:rPr>
      </w:pPr>
      <w:r>
        <w:rPr>
          <w:rFonts w:ascii="Arial" w:cs="Arial" w:eastAsia="Arial" w:hAnsi="Arial"/>
          <w:sz w:val="18"/>
          <w:szCs w:val="18"/>
          <w:color w:val="auto"/>
        </w:rPr>
        <w:t>We identified the assessment of the valuation of self-insurance liabilities, other than those assumed in the acquisition of Able, as a critical audit matter. A high degree of judgment and actuarial expertise was required to assess: (1) the actuarial models used and (2) the estimated incurred but not reported claims based on application of loss development factors to historical claims experience.</w:t>
      </w:r>
    </w:p>
    <w:p>
      <w:pPr>
        <w:spacing w:after="0" w:line="175" w:lineRule="exact"/>
        <w:rPr>
          <w:sz w:val="20"/>
          <w:szCs w:val="20"/>
          <w:color w:val="auto"/>
        </w:rPr>
      </w:pPr>
    </w:p>
    <w:p>
      <w:pPr>
        <w:ind w:left="4" w:right="120"/>
        <w:spacing w:after="0" w:line="265"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Company’s self-insurance liability process, including controls related to</w:t>
      </w:r>
    </w:p>
    <w:p>
      <w:pPr>
        <w:ind w:left="4" w:right="100" w:hanging="4"/>
        <w:spacing w:after="0" w:line="252" w:lineRule="auto"/>
        <w:tabs>
          <w:tab w:leader="none" w:pos="274"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evaluation of claims information sent to the actuary, (2) estimation of incurred but not reported claims based on the application of loss development factors to historical claims experience, and (3) evaluation of the actuarial report and the external actuarial specialist’s qualifications and competency. We evaluated the Company’s historical ability to estimate self-insurance liabilities by comparing the prior year recorded amounts to the subsequent claim development. We tested a sample of the claims data utilized by the Company’s actuaries by comparing it to underlying claims details; and involved an actuarial professional with specialized skills and knowledge who assisted in the:</w:t>
      </w:r>
    </w:p>
    <w:p>
      <w:pPr>
        <w:spacing w:after="0" w:line="136" w:lineRule="exact"/>
        <w:rPr>
          <w:rFonts w:ascii="Arial" w:cs="Arial" w:eastAsia="Arial" w:hAnsi="Arial"/>
          <w:sz w:val="18"/>
          <w:szCs w:val="18"/>
          <w:color w:val="auto"/>
        </w:rPr>
      </w:pPr>
    </w:p>
    <w:p>
      <w:pPr>
        <w:ind w:left="644" w:hanging="320"/>
        <w:spacing w:after="0"/>
        <w:tabs>
          <w:tab w:leader="none" w:pos="64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assessment of the actuarial models used by the Company for consistency with generally accepted actuarial standards and</w:t>
      </w:r>
    </w:p>
    <w:p>
      <w:pPr>
        <w:ind w:left="644" w:right="480" w:hanging="320"/>
        <w:spacing w:after="0" w:line="235" w:lineRule="auto"/>
        <w:tabs>
          <w:tab w:leader="none" w:pos="63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development of an actuarial estimate of self-insurance liabilities based on the Company’s underlying historical paid and incurred loss data for comparison with the liabilities recorded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0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We have audited ABM Industries Incorporated and subsidiaries’ (the Company) internal control over financial reporting as of October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October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65" w:lineRule="exact"/>
        <w:rPr>
          <w:sz w:val="20"/>
          <w:szCs w:val="20"/>
          <w:color w:val="auto"/>
        </w:rPr>
      </w:pPr>
    </w:p>
    <w:p>
      <w:pPr>
        <w:ind w:right="200"/>
        <w:spacing w:after="0" w:line="216" w:lineRule="exact"/>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October 31, 2021 and 2020, the related consolidated statements of comprehensive income, (loss), stockholders’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October 31, 2021, and the related notes and financial statement schedule II (collectively, the consolidated financial statements), and our report dated December 22, 2021 expressed an unqualified opinion on those consolidated financial statements.</w:t>
      </w:r>
    </w:p>
    <w:p>
      <w:pPr>
        <w:spacing w:after="0" w:line="19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acquired Crown Building Maintenance Co. and Crown Energy Services, Inc. (collectively, “Able”) on September 30, 2021, and management excluded from its assessment of the effectiveness of the Company’s internal control over financial reporting as of October 31, 2021, Able’s internal control over financial reporting. Able represented approximately 4.4% of the Company’s total consolidated assets (excluding goodwill and intangibles, which are included in the scope of the assessment) and 1.6% of total consolidated revenues as of and for the year ended October 31, 2021. Our audit of internal control over financial reporting of the Company also excluded an evaluation of the internal control over financial reporting of Able.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0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51" w:name="page52"/>
    <w:bookmarkEnd w:id="51"/>
    <w:p>
      <w:pPr>
        <w:spacing w:after="0" w:line="256" w:lineRule="auto"/>
        <w:rPr>
          <w:sz w:val="20"/>
          <w:szCs w:val="20"/>
          <w:color w:val="auto"/>
        </w:rPr>
      </w:pPr>
      <w:r>
        <w:rPr>
          <w:rFonts w:ascii="Arial" w:cs="Arial" w:eastAsia="Arial" w:hAnsi="Arial"/>
          <w:sz w:val="18"/>
          <w:szCs w:val="18"/>
          <w:color w:val="auto"/>
        </w:rPr>
        <w:t>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22, 2021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CONSOLIDATED BALANCE SHEETS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October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86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share and per share amounts)</w:t>
            </w:r>
          </w:p>
        </w:tc>
        <w:tc>
          <w:tcPr>
            <w:tcW w:w="360" w:type="dxa"/>
            <w:vAlign w:val="bottom"/>
          </w:tcPr>
          <w:p>
            <w:pPr>
              <w:spacing w:after="0"/>
              <w:rPr>
                <w:sz w:val="15"/>
                <w:szCs w:val="15"/>
                <w:color w:val="auto"/>
              </w:rPr>
            </w:pPr>
          </w:p>
        </w:tc>
        <w:tc>
          <w:tcPr>
            <w:tcW w:w="1260" w:type="dxa"/>
            <w:vAlign w:val="bottom"/>
          </w:tcPr>
          <w:p>
            <w:pPr>
              <w:jc w:val="right"/>
              <w:ind w:right="53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jc w:val="right"/>
              <w:ind w:right="510"/>
              <w:spacing w:after="0" w:line="182"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
        </w:trPr>
        <w:tc>
          <w:tcPr>
            <w:tcW w:w="2860" w:type="dxa"/>
            <w:vAlign w:val="bottom"/>
            <w:tcBorders>
              <w:top w:val="single" w:sz="8" w:color="auto"/>
              <w:bottom w:val="single" w:sz="8" w:color="DCE2EF"/>
            </w:tcBorders>
          </w:tcPr>
          <w:p>
            <w:pPr>
              <w:spacing w:after="0" w:line="20" w:lineRule="exact"/>
              <w:rPr>
                <w:sz w:val="1"/>
                <w:szCs w:val="1"/>
                <w:color w:val="auto"/>
              </w:rPr>
            </w:pPr>
          </w:p>
        </w:tc>
        <w:tc>
          <w:tcPr>
            <w:tcW w:w="500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86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DCE2EF"/>
          </w:tcPr>
          <w:p>
            <w:pPr>
              <w:spacing w:after="0"/>
              <w:rPr>
                <w:sz w:val="18"/>
                <w:szCs w:val="18"/>
                <w:color w:val="auto"/>
              </w:rPr>
            </w:pPr>
          </w:p>
        </w:tc>
        <w:tc>
          <w:tcPr>
            <w:tcW w:w="12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520" w:type="dxa"/>
            <w:vAlign w:val="bottom"/>
            <w:shd w:val="clear" w:color="auto" w:fill="DCE2EF"/>
          </w:tcPr>
          <w:p>
            <w:pPr>
              <w:spacing w:after="0"/>
              <w:rPr>
                <w:sz w:val="18"/>
                <w:szCs w:val="18"/>
                <w:color w:val="auto"/>
              </w:rPr>
            </w:pPr>
          </w:p>
        </w:tc>
        <w:tc>
          <w:tcPr>
            <w:tcW w:w="108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394.2</w:t>
            </w:r>
          </w:p>
        </w:tc>
        <w:tc>
          <w:tcPr>
            <w:tcW w:w="0" w:type="dxa"/>
            <w:vAlign w:val="bottom"/>
          </w:tcPr>
          <w:p>
            <w:pPr>
              <w:spacing w:after="0"/>
              <w:rPr>
                <w:sz w:val="1"/>
                <w:szCs w:val="1"/>
                <w:color w:val="auto"/>
              </w:rPr>
            </w:pPr>
          </w:p>
        </w:tc>
      </w:tr>
      <w:tr>
        <w:trPr>
          <w:trHeight w:val="188"/>
        </w:trPr>
        <w:tc>
          <w:tcPr>
            <w:tcW w:w="786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Trade accounts receivable, net of allowances of $32.7 and $35.5</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860" w:type="dxa"/>
            <w:vAlign w:val="bottom"/>
            <w:gridSpan w:val="2"/>
          </w:tcPr>
          <w:p>
            <w:pPr>
              <w:ind w:left="540"/>
              <w:spacing w:after="0"/>
              <w:rPr>
                <w:sz w:val="20"/>
                <w:szCs w:val="20"/>
                <w:color w:val="auto"/>
              </w:rPr>
            </w:pPr>
            <w:r>
              <w:rPr>
                <w:rFonts w:ascii="Arial" w:cs="Arial" w:eastAsia="Arial" w:hAnsi="Arial"/>
                <w:sz w:val="18"/>
                <w:szCs w:val="18"/>
                <w:color w:val="auto"/>
              </w:rPr>
              <w:t>at October 31, 2021 and 2020, respectively</w:t>
            </w:r>
          </w:p>
        </w:tc>
        <w:tc>
          <w:tcPr>
            <w:tcW w:w="3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1,137.1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854.2</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Costs incurred in excess of amounts billed</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29"/>
        </w:trPr>
        <w:tc>
          <w:tcPr>
            <w:tcW w:w="7860" w:type="dxa"/>
            <w:vAlign w:val="bottom"/>
            <w:gridSpan w:val="2"/>
          </w:tcPr>
          <w:p>
            <w:pPr>
              <w:ind w:left="34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shd w:val="clear" w:color="auto" w:fill="DCE2EF"/>
          </w:tcPr>
          <w:p>
            <w:pPr>
              <w:spacing w:after="0"/>
              <w:rPr>
                <w:sz w:val="19"/>
                <w:szCs w:val="19"/>
                <w:color w:val="auto"/>
              </w:rPr>
            </w:pPr>
          </w:p>
        </w:tc>
        <w:tc>
          <w:tcPr>
            <w:tcW w:w="126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DCE2EF"/>
          </w:tcPr>
          <w:p>
            <w:pPr>
              <w:spacing w:after="0"/>
              <w:rPr>
                <w:sz w:val="19"/>
                <w:szCs w:val="19"/>
                <w:color w:val="auto"/>
              </w:rPr>
            </w:pPr>
          </w:p>
        </w:tc>
        <w:tc>
          <w:tcPr>
            <w:tcW w:w="520" w:type="dxa"/>
            <w:vAlign w:val="bottom"/>
            <w:tcBorders>
              <w:bottom w:val="single" w:sz="8" w:color="auto"/>
            </w:tcBorders>
            <w:shd w:val="clear" w:color="auto" w:fill="DCE2EF"/>
          </w:tcPr>
          <w:p>
            <w:pPr>
              <w:spacing w:after="0"/>
              <w:rPr>
                <w:sz w:val="19"/>
                <w:szCs w:val="19"/>
                <w:color w:val="auto"/>
              </w:rPr>
            </w:pPr>
          </w:p>
        </w:tc>
        <w:tc>
          <w:tcPr>
            <w:tcW w:w="10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DCE2EF"/>
            </w:tcBorders>
            <w:gridSpan w:val="2"/>
          </w:tcPr>
          <w:p>
            <w:pPr>
              <w:ind w:left="66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1,401.2</w:t>
            </w:r>
          </w:p>
        </w:tc>
        <w:tc>
          <w:tcPr>
            <w:tcW w:w="100" w:type="dxa"/>
            <w:vAlign w:val="bottom"/>
            <w:tcBorders>
              <w:bottom w:val="single" w:sz="8" w:color="DCE2E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1,441.9</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Other investments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88"/>
        </w:trPr>
        <w:tc>
          <w:tcPr>
            <w:tcW w:w="7860" w:type="dxa"/>
            <w:vAlign w:val="bottom"/>
            <w:gridSpan w:val="2"/>
          </w:tcPr>
          <w:p>
            <w:pPr>
              <w:spacing w:after="0" w:line="189" w:lineRule="exact"/>
              <w:rPr>
                <w:sz w:val="20"/>
                <w:szCs w:val="20"/>
                <w:color w:val="auto"/>
              </w:rPr>
            </w:pPr>
            <w:r>
              <w:rPr>
                <w:rFonts w:ascii="Arial" w:cs="Arial" w:eastAsia="Arial" w:hAnsi="Arial"/>
                <w:sz w:val="18"/>
                <w:szCs w:val="18"/>
                <w:color w:val="auto"/>
              </w:rPr>
              <w:t>Property, plant and equipment, net of accumulated depreciation of $274.7 and</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860" w:type="dxa"/>
            <w:vAlign w:val="bottom"/>
            <w:gridSpan w:val="2"/>
          </w:tcPr>
          <w:p>
            <w:pPr>
              <w:ind w:left="200"/>
              <w:spacing w:after="0"/>
              <w:rPr>
                <w:sz w:val="20"/>
                <w:szCs w:val="20"/>
                <w:color w:val="auto"/>
              </w:rPr>
            </w:pPr>
            <w:r>
              <w:rPr>
                <w:rFonts w:ascii="Arial" w:cs="Arial" w:eastAsia="Arial" w:hAnsi="Arial"/>
                <w:sz w:val="18"/>
                <w:szCs w:val="18"/>
                <w:color w:val="auto"/>
              </w:rPr>
              <w:t>$241.3 at October 31, 2021 and 2020, respectively</w:t>
            </w:r>
          </w:p>
        </w:tc>
        <w:tc>
          <w:tcPr>
            <w:tcW w:w="3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Right-of-use assets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126.5</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188"/>
        </w:trPr>
        <w:tc>
          <w:tcPr>
            <w:tcW w:w="7860" w:type="dxa"/>
            <w:vAlign w:val="bottom"/>
            <w:gridSpan w:val="2"/>
          </w:tcPr>
          <w:p>
            <w:pPr>
              <w:spacing w:after="0" w:line="189" w:lineRule="exact"/>
              <w:rPr>
                <w:sz w:val="20"/>
                <w:szCs w:val="20"/>
                <w:color w:val="auto"/>
              </w:rPr>
            </w:pPr>
            <w:r>
              <w:rPr>
                <w:rFonts w:ascii="Arial" w:cs="Arial" w:eastAsia="Arial" w:hAnsi="Arial"/>
                <w:sz w:val="18"/>
                <w:szCs w:val="18"/>
                <w:color w:val="auto"/>
              </w:rPr>
              <w:t>Other intangible assets, net of accumulated amortization of $389.3 and $343.8 at October 31,</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860" w:type="dxa"/>
            <w:vAlign w:val="bottom"/>
            <w:gridSpan w:val="2"/>
          </w:tcPr>
          <w:p>
            <w:pPr>
              <w:ind w:left="160"/>
              <w:spacing w:after="0"/>
              <w:rPr>
                <w:sz w:val="20"/>
                <w:szCs w:val="20"/>
                <w:color w:val="auto"/>
              </w:rPr>
            </w:pPr>
            <w:r>
              <w:rPr>
                <w:rFonts w:ascii="Arial" w:cs="Arial" w:eastAsia="Arial" w:hAnsi="Arial"/>
                <w:sz w:val="18"/>
                <w:szCs w:val="18"/>
                <w:color w:val="auto"/>
              </w:rPr>
              <w:t>2021 and 2020, respectively</w:t>
            </w:r>
          </w:p>
        </w:tc>
        <w:tc>
          <w:tcPr>
            <w:tcW w:w="3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424.8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2,228.9</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1,671.4</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DCE2EF"/>
            </w:tcBorders>
            <w:gridSpan w:val="2"/>
          </w:tcPr>
          <w:p>
            <w:pPr>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4,436.2</w:t>
            </w:r>
          </w:p>
        </w:tc>
        <w:tc>
          <w:tcPr>
            <w:tcW w:w="100" w:type="dxa"/>
            <w:vAlign w:val="bottom"/>
            <w:tcBorders>
              <w:bottom w:val="single" w:sz="8" w:color="DCE2EF"/>
            </w:tcBorders>
            <w:shd w:val="clear" w:color="auto" w:fill="DCE2EF"/>
          </w:tcPr>
          <w:p>
            <w:pPr>
              <w:spacing w:after="0"/>
              <w:rPr>
                <w:sz w:val="21"/>
                <w:szCs w:val="21"/>
                <w:color w:val="auto"/>
              </w:rPr>
            </w:pPr>
          </w:p>
        </w:tc>
        <w:tc>
          <w:tcPr>
            <w:tcW w:w="520" w:type="dxa"/>
            <w:vAlign w:val="bottom"/>
            <w:tcBorders>
              <w:bottom w:val="single" w:sz="8" w:color="auto"/>
            </w:tcBorders>
            <w:shd w:val="clear" w:color="auto" w:fill="DCE2E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3,776.9</w:t>
            </w:r>
          </w:p>
        </w:tc>
        <w:tc>
          <w:tcPr>
            <w:tcW w:w="0" w:type="dxa"/>
            <w:vAlign w:val="bottom"/>
          </w:tcPr>
          <w:p>
            <w:pPr>
              <w:spacing w:after="0"/>
              <w:rPr>
                <w:sz w:val="1"/>
                <w:szCs w:val="1"/>
                <w:color w:val="auto"/>
              </w:rPr>
            </w:pPr>
          </w:p>
        </w:tc>
      </w:tr>
      <w:tr>
        <w:trPr>
          <w:trHeight w:val="20"/>
        </w:trPr>
        <w:tc>
          <w:tcPr>
            <w:tcW w:w="7860" w:type="dxa"/>
            <w:vAlign w:val="bottom"/>
            <w:tcBorders>
              <w:top w:val="single" w:sz="8" w:color="DCE2EF"/>
              <w:bottom w:val="single" w:sz="8" w:color="DCE2EF"/>
            </w:tcBorders>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2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520" w:type="dxa"/>
            <w:vAlign w:val="bottom"/>
            <w:tcBorders>
              <w:top w:val="single" w:sz="8" w:color="DCE2EF"/>
              <w:bottom w:val="single" w:sz="8" w:color="auto"/>
            </w:tcBorders>
          </w:tcPr>
          <w:p>
            <w:pPr>
              <w:spacing w:after="0" w:line="20" w:lineRule="exact"/>
              <w:rPr>
                <w:sz w:val="1"/>
                <w:szCs w:val="1"/>
                <w:color w:val="auto"/>
              </w:rPr>
            </w:pPr>
          </w:p>
        </w:tc>
        <w:tc>
          <w:tcPr>
            <w:tcW w:w="10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340"/>
              <w:spacing w:after="0"/>
              <w:rPr>
                <w:sz w:val="20"/>
                <w:szCs w:val="20"/>
                <w:color w:val="auto"/>
              </w:rPr>
            </w:pPr>
            <w:r>
              <w:rPr>
                <w:rFonts w:ascii="Arial" w:cs="Arial" w:eastAsia="Arial" w:hAnsi="Arial"/>
                <w:sz w:val="18"/>
                <w:szCs w:val="18"/>
                <w:color w:val="auto"/>
              </w:rPr>
              <w:t>Current portion of long-term debt,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Trade accounts payable</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289.4</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30"/>
        </w:trPr>
        <w:tc>
          <w:tcPr>
            <w:tcW w:w="7860" w:type="dxa"/>
            <w:vAlign w:val="bottom"/>
            <w:gridSpan w:val="2"/>
          </w:tcPr>
          <w:p>
            <w:pPr>
              <w:ind w:left="34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Accrued taxes—other than income</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9"/>
        </w:trPr>
        <w:tc>
          <w:tcPr>
            <w:tcW w:w="7860" w:type="dxa"/>
            <w:vAlign w:val="bottom"/>
            <w:gridSpan w:val="2"/>
          </w:tcPr>
          <w:p>
            <w:pPr>
              <w:ind w:left="340"/>
              <w:spacing w:after="0"/>
              <w:rPr>
                <w:sz w:val="20"/>
                <w:szCs w:val="20"/>
                <w:color w:val="auto"/>
              </w:rPr>
            </w:pPr>
            <w:r>
              <w:rPr>
                <w:rFonts w:ascii="Arial" w:cs="Arial" w:eastAsia="Arial" w:hAnsi="Arial"/>
                <w:sz w:val="18"/>
                <w:szCs w:val="18"/>
                <w:color w:val="auto"/>
              </w:rPr>
              <w:t>Insurance claims</w:t>
            </w:r>
          </w:p>
        </w:tc>
        <w:tc>
          <w:tcPr>
            <w:tcW w:w="3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Income taxes payable</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7860" w:type="dxa"/>
            <w:vAlign w:val="bottom"/>
            <w:gridSpan w:val="2"/>
          </w:tcPr>
          <w:p>
            <w:pPr>
              <w:ind w:left="340"/>
              <w:spacing w:after="0"/>
              <w:rPr>
                <w:sz w:val="20"/>
                <w:szCs w:val="20"/>
                <w:color w:val="auto"/>
              </w:rPr>
            </w:pPr>
            <w:r>
              <w:rPr>
                <w:rFonts w:ascii="Arial" w:cs="Arial" w:eastAsia="Arial" w:hAnsi="Arial"/>
                <w:sz w:val="18"/>
                <w:szCs w:val="18"/>
                <w:color w:val="auto"/>
              </w:rPr>
              <w:t>Current portion of lease liabilities</w:t>
            </w:r>
          </w:p>
        </w:tc>
        <w:tc>
          <w:tcPr>
            <w:tcW w:w="3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Other accrued liabilities</w:t>
            </w:r>
          </w:p>
        </w:tc>
        <w:tc>
          <w:tcPr>
            <w:tcW w:w="360" w:type="dxa"/>
            <w:vAlign w:val="bottom"/>
            <w:tcBorders>
              <w:bottom w:val="single" w:sz="8" w:color="auto"/>
            </w:tcBorders>
            <w:shd w:val="clear" w:color="auto" w:fill="DCE2EF"/>
          </w:tcPr>
          <w:p>
            <w:pPr>
              <w:spacing w:after="0"/>
              <w:rPr>
                <w:sz w:val="19"/>
                <w:szCs w:val="19"/>
                <w:color w:val="auto"/>
              </w:rPr>
            </w:pPr>
          </w:p>
        </w:tc>
        <w:tc>
          <w:tcPr>
            <w:tcW w:w="126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387.4</w:t>
            </w:r>
          </w:p>
        </w:tc>
        <w:tc>
          <w:tcPr>
            <w:tcW w:w="100" w:type="dxa"/>
            <w:vAlign w:val="bottom"/>
            <w:shd w:val="clear" w:color="auto" w:fill="DCE2EF"/>
          </w:tcPr>
          <w:p>
            <w:pPr>
              <w:spacing w:after="0"/>
              <w:rPr>
                <w:sz w:val="19"/>
                <w:szCs w:val="19"/>
                <w:color w:val="auto"/>
              </w:rPr>
            </w:pPr>
          </w:p>
        </w:tc>
        <w:tc>
          <w:tcPr>
            <w:tcW w:w="520" w:type="dxa"/>
            <w:vAlign w:val="bottom"/>
            <w:tcBorders>
              <w:bottom w:val="single" w:sz="8" w:color="auto"/>
            </w:tcBorders>
            <w:shd w:val="clear" w:color="auto" w:fill="DCE2EF"/>
          </w:tcPr>
          <w:p>
            <w:pPr>
              <w:spacing w:after="0"/>
              <w:rPr>
                <w:sz w:val="19"/>
                <w:szCs w:val="19"/>
                <w:color w:val="auto"/>
              </w:rPr>
            </w:pPr>
          </w:p>
        </w:tc>
        <w:tc>
          <w:tcPr>
            <w:tcW w:w="10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DCE2EF"/>
            </w:tcBorders>
            <w:gridSpan w:val="2"/>
          </w:tcPr>
          <w:p>
            <w:pPr>
              <w:ind w:left="66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1,285.8</w:t>
            </w:r>
          </w:p>
        </w:tc>
        <w:tc>
          <w:tcPr>
            <w:tcW w:w="100" w:type="dxa"/>
            <w:vAlign w:val="bottom"/>
            <w:tcBorders>
              <w:bottom w:val="single" w:sz="8" w:color="DCE2E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986.9</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Long-term debt, net</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852.8</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603.0</w:t>
            </w: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Long-term lease liabilities</w:t>
            </w:r>
          </w:p>
        </w:tc>
        <w:tc>
          <w:tcPr>
            <w:tcW w:w="3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Deferred income tax liability, net</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Noncurrent insurance claims</w:t>
            </w:r>
          </w:p>
        </w:tc>
        <w:tc>
          <w:tcPr>
            <w:tcW w:w="3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413.3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Other noncurrent liabilities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DCE2EF"/>
            </w:tcBorders>
            <w:gridSpan w:val="2"/>
          </w:tcPr>
          <w:p>
            <w:pPr>
              <w:spacing w:after="0"/>
              <w:rPr>
                <w:sz w:val="20"/>
                <w:szCs w:val="20"/>
                <w:color w:val="auto"/>
              </w:rPr>
            </w:pPr>
            <w:r>
              <w:rPr>
                <w:rFonts w:ascii="Arial" w:cs="Arial" w:eastAsia="Arial" w:hAnsi="Arial"/>
                <w:sz w:val="18"/>
                <w:szCs w:val="18"/>
                <w:color w:val="auto"/>
              </w:rPr>
              <w:t>Noncurrent income taxes payable</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DCE2E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DCE2EF"/>
          </w:tcPr>
          <w:p>
            <w:pPr>
              <w:spacing w:after="0"/>
              <w:rPr>
                <w:sz w:val="19"/>
                <w:szCs w:val="19"/>
                <w:color w:val="auto"/>
              </w:rPr>
            </w:pPr>
          </w:p>
        </w:tc>
        <w:tc>
          <w:tcPr>
            <w:tcW w:w="126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2,827.0</w:t>
            </w:r>
          </w:p>
        </w:tc>
        <w:tc>
          <w:tcPr>
            <w:tcW w:w="100" w:type="dxa"/>
            <w:vAlign w:val="bottom"/>
            <w:shd w:val="clear" w:color="auto" w:fill="DCE2EF"/>
          </w:tcPr>
          <w:p>
            <w:pPr>
              <w:spacing w:after="0"/>
              <w:rPr>
                <w:sz w:val="19"/>
                <w:szCs w:val="19"/>
                <w:color w:val="auto"/>
              </w:rPr>
            </w:pPr>
          </w:p>
        </w:tc>
        <w:tc>
          <w:tcPr>
            <w:tcW w:w="520" w:type="dxa"/>
            <w:vAlign w:val="bottom"/>
            <w:tcBorders>
              <w:bottom w:val="single" w:sz="8" w:color="auto"/>
            </w:tcBorders>
            <w:shd w:val="clear" w:color="auto" w:fill="DCE2EF"/>
          </w:tcPr>
          <w:p>
            <w:pPr>
              <w:spacing w:after="0"/>
              <w:rPr>
                <w:sz w:val="19"/>
                <w:szCs w:val="19"/>
                <w:color w:val="auto"/>
              </w:rPr>
            </w:pPr>
          </w:p>
        </w:tc>
        <w:tc>
          <w:tcPr>
            <w:tcW w:w="10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2,276.6</w:t>
            </w:r>
          </w:p>
        </w:tc>
        <w:tc>
          <w:tcPr>
            <w:tcW w:w="0" w:type="dxa"/>
            <w:vAlign w:val="bottom"/>
          </w:tcPr>
          <w:p>
            <w:pPr>
              <w:spacing w:after="0"/>
              <w:rPr>
                <w:sz w:val="1"/>
                <w:szCs w:val="1"/>
                <w:color w:val="auto"/>
              </w:rPr>
            </w:pPr>
          </w:p>
        </w:tc>
      </w:tr>
      <w:tr>
        <w:trPr>
          <w:trHeight w:val="210"/>
        </w:trPr>
        <w:tc>
          <w:tcPr>
            <w:tcW w:w="78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ind w:left="340"/>
              <w:spacing w:after="0"/>
              <w:rPr>
                <w:sz w:val="20"/>
                <w:szCs w:val="20"/>
                <w:color w:val="auto"/>
              </w:rPr>
            </w:pPr>
            <w:r>
              <w:rPr>
                <w:rFonts w:ascii="Arial" w:cs="Arial" w:eastAsia="Arial" w:hAnsi="Arial"/>
                <w:sz w:val="18"/>
                <w:szCs w:val="18"/>
                <w:color w:val="auto"/>
              </w:rPr>
              <w:t>Preferred stock, $0.01 par value; 500,000 shares authorized; none issued</w:t>
            </w:r>
          </w:p>
        </w:tc>
        <w:tc>
          <w:tcPr>
            <w:tcW w:w="3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7860" w:type="dxa"/>
            <w:vAlign w:val="bottom"/>
            <w:gridSpan w:val="2"/>
            <w:shd w:val="clear" w:color="auto" w:fill="DCE2EF"/>
          </w:tcPr>
          <w:p>
            <w:pPr>
              <w:ind w:left="340"/>
              <w:spacing w:after="0" w:line="189" w:lineRule="exact"/>
              <w:rPr>
                <w:sz w:val="20"/>
                <w:szCs w:val="20"/>
                <w:color w:val="auto"/>
              </w:rPr>
            </w:pPr>
            <w:r>
              <w:rPr>
                <w:rFonts w:ascii="Arial" w:cs="Arial" w:eastAsia="Arial" w:hAnsi="Arial"/>
                <w:sz w:val="18"/>
                <w:szCs w:val="18"/>
                <w:color w:val="auto"/>
              </w:rPr>
              <w:t>Common stock, $0.01 par value; 100,000,000 shares authorized;</w:t>
            </w:r>
          </w:p>
        </w:tc>
        <w:tc>
          <w:tcPr>
            <w:tcW w:w="360" w:type="dxa"/>
            <w:vAlign w:val="bottom"/>
            <w:shd w:val="clear" w:color="auto" w:fill="DCE2EF"/>
          </w:tcPr>
          <w:p>
            <w:pPr>
              <w:spacing w:after="0"/>
              <w:rPr>
                <w:sz w:val="16"/>
                <w:szCs w:val="16"/>
                <w:color w:val="auto"/>
              </w:rPr>
            </w:pPr>
          </w:p>
        </w:tc>
        <w:tc>
          <w:tcPr>
            <w:tcW w:w="12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520" w:type="dxa"/>
            <w:vAlign w:val="bottom"/>
            <w:shd w:val="clear" w:color="auto" w:fill="DCE2EF"/>
          </w:tcPr>
          <w:p>
            <w:pPr>
              <w:spacing w:after="0"/>
              <w:rPr>
                <w:sz w:val="16"/>
                <w:szCs w:val="16"/>
                <w:color w:val="auto"/>
              </w:rPr>
            </w:pPr>
          </w:p>
        </w:tc>
        <w:tc>
          <w:tcPr>
            <w:tcW w:w="10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860" w:type="dxa"/>
            <w:vAlign w:val="bottom"/>
            <w:gridSpan w:val="2"/>
            <w:shd w:val="clear" w:color="auto" w:fill="DCE2EF"/>
          </w:tcPr>
          <w:p>
            <w:pPr>
              <w:ind w:left="540"/>
              <w:spacing w:after="0" w:line="176" w:lineRule="exact"/>
              <w:rPr>
                <w:sz w:val="20"/>
                <w:szCs w:val="20"/>
                <w:color w:val="auto"/>
              </w:rPr>
            </w:pPr>
            <w:r>
              <w:rPr>
                <w:rFonts w:ascii="Arial" w:cs="Arial" w:eastAsia="Arial" w:hAnsi="Arial"/>
                <w:sz w:val="18"/>
                <w:szCs w:val="18"/>
                <w:color w:val="auto"/>
              </w:rPr>
              <w:t>67,302,449 and 66,748,157 shares issued and outstanding at</w:t>
            </w:r>
          </w:p>
        </w:tc>
        <w:tc>
          <w:tcPr>
            <w:tcW w:w="360" w:type="dxa"/>
            <w:vAlign w:val="bottom"/>
            <w:shd w:val="clear" w:color="auto" w:fill="DCE2EF"/>
          </w:tcPr>
          <w:p>
            <w:pPr>
              <w:spacing w:after="0"/>
              <w:rPr>
                <w:sz w:val="15"/>
                <w:szCs w:val="15"/>
                <w:color w:val="auto"/>
              </w:rPr>
            </w:pPr>
          </w:p>
        </w:tc>
        <w:tc>
          <w:tcPr>
            <w:tcW w:w="12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520" w:type="dxa"/>
            <w:vAlign w:val="bottom"/>
            <w:shd w:val="clear" w:color="auto" w:fill="DCE2EF"/>
          </w:tcPr>
          <w:p>
            <w:pPr>
              <w:spacing w:after="0"/>
              <w:rPr>
                <w:sz w:val="15"/>
                <w:szCs w:val="15"/>
                <w:color w:val="auto"/>
              </w:rPr>
            </w:pPr>
          </w:p>
        </w:tc>
        <w:tc>
          <w:tcPr>
            <w:tcW w:w="1080" w:type="dxa"/>
            <w:vAlign w:val="bottom"/>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860" w:type="dxa"/>
            <w:vAlign w:val="bottom"/>
            <w:gridSpan w:val="2"/>
            <w:shd w:val="clear" w:color="auto" w:fill="DCE2EF"/>
          </w:tcPr>
          <w:p>
            <w:pPr>
              <w:ind w:left="540"/>
              <w:spacing w:after="0"/>
              <w:rPr>
                <w:sz w:val="20"/>
                <w:szCs w:val="20"/>
                <w:color w:val="auto"/>
              </w:rPr>
            </w:pPr>
            <w:r>
              <w:rPr>
                <w:rFonts w:ascii="Arial" w:cs="Arial" w:eastAsia="Arial" w:hAnsi="Arial"/>
                <w:sz w:val="18"/>
                <w:szCs w:val="18"/>
                <w:color w:val="auto"/>
              </w:rPr>
              <w:t>October 31, 2021 and 2020, respectively</w:t>
            </w:r>
          </w:p>
        </w:tc>
        <w:tc>
          <w:tcPr>
            <w:tcW w:w="360" w:type="dxa"/>
            <w:vAlign w:val="bottom"/>
            <w:shd w:val="clear" w:color="auto" w:fill="DCE2EF"/>
          </w:tcPr>
          <w:p>
            <w:pPr>
              <w:spacing w:after="0"/>
              <w:rPr>
                <w:sz w:val="18"/>
                <w:szCs w:val="18"/>
                <w:color w:val="auto"/>
              </w:rPr>
            </w:pPr>
          </w:p>
        </w:tc>
        <w:tc>
          <w:tcPr>
            <w:tcW w:w="12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DCE2EF"/>
          </w:tcPr>
          <w:p>
            <w:pPr>
              <w:spacing w:after="0"/>
              <w:rPr>
                <w:sz w:val="18"/>
                <w:szCs w:val="18"/>
                <w:color w:val="auto"/>
              </w:rPr>
            </w:pPr>
          </w:p>
        </w:tc>
        <w:tc>
          <w:tcPr>
            <w:tcW w:w="520" w:type="dxa"/>
            <w:vAlign w:val="bottom"/>
            <w:shd w:val="clear" w:color="auto" w:fill="DCE2EF"/>
          </w:tcPr>
          <w:p>
            <w:pPr>
              <w:spacing w:after="0"/>
              <w:rPr>
                <w:sz w:val="18"/>
                <w:szCs w:val="18"/>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786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750.9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724.1</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Accumulated other comprehensive loss, net of taxes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DCE2EF"/>
            </w:tcBorders>
            <w:gridSpan w:val="2"/>
          </w:tcPr>
          <w:p>
            <w:pPr>
              <w:ind w:left="34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880.2</w:t>
            </w:r>
          </w:p>
        </w:tc>
        <w:tc>
          <w:tcPr>
            <w:tcW w:w="100" w:type="dxa"/>
            <w:vAlign w:val="bottom"/>
            <w:tcBorders>
              <w:bottom w:val="single" w:sz="8" w:color="DCE2E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806.4</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shd w:val="clear" w:color="auto" w:fill="DCE2EF"/>
          </w:tcPr>
          <w:p>
            <w:pPr>
              <w:spacing w:after="0"/>
              <w:rPr>
                <w:sz w:val="19"/>
                <w:szCs w:val="19"/>
                <w:color w:val="auto"/>
              </w:rPr>
            </w:pPr>
          </w:p>
        </w:tc>
        <w:tc>
          <w:tcPr>
            <w:tcW w:w="126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1,609.2</w:t>
            </w:r>
          </w:p>
        </w:tc>
        <w:tc>
          <w:tcPr>
            <w:tcW w:w="100" w:type="dxa"/>
            <w:vAlign w:val="bottom"/>
            <w:shd w:val="clear" w:color="auto" w:fill="DCE2EF"/>
          </w:tcPr>
          <w:p>
            <w:pPr>
              <w:spacing w:after="0"/>
              <w:rPr>
                <w:sz w:val="19"/>
                <w:szCs w:val="19"/>
                <w:color w:val="auto"/>
              </w:rPr>
            </w:pPr>
          </w:p>
        </w:tc>
        <w:tc>
          <w:tcPr>
            <w:tcW w:w="520" w:type="dxa"/>
            <w:vAlign w:val="bottom"/>
            <w:tcBorders>
              <w:bottom w:val="single" w:sz="8" w:color="auto"/>
            </w:tcBorders>
            <w:shd w:val="clear" w:color="auto" w:fill="DCE2EF"/>
          </w:tcPr>
          <w:p>
            <w:pPr>
              <w:spacing w:after="0"/>
              <w:rPr>
                <w:sz w:val="19"/>
                <w:szCs w:val="19"/>
                <w:color w:val="auto"/>
              </w:rPr>
            </w:pPr>
          </w:p>
        </w:tc>
        <w:tc>
          <w:tcPr>
            <w:tcW w:w="10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1,500.3</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4,436.2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3,776.9</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180"/>
          </w:cols>
          <w:pgMar w:left="360" w:top="103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69215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35" w:right="359" w:bottom="1440" w:gutter="0" w:footer="0" w:header="0"/>
          <w:type w:val="continuous"/>
        </w:sectPr>
      </w:pPr>
    </w:p>
    <w:bookmarkStart w:id="53" w:name="page54"/>
    <w:bookmarkEnd w:id="53"/>
    <w:p>
      <w:pPr>
        <w:jc w:val="center"/>
        <w:ind w:right="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CONSOLIDATED STATEMENTS OF COMPREHENSIVE INCOME (LOSS)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2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Years Ended October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40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320" w:type="dxa"/>
            <w:vAlign w:val="bottom"/>
          </w:tcPr>
          <w:p>
            <w:pPr>
              <w:spacing w:after="0"/>
              <w:rPr>
                <w:sz w:val="15"/>
                <w:szCs w:val="15"/>
                <w:color w:val="auto"/>
              </w:rPr>
            </w:pPr>
          </w:p>
        </w:tc>
        <w:tc>
          <w:tcPr>
            <w:tcW w:w="1200" w:type="dxa"/>
            <w:vAlign w:val="bottom"/>
          </w:tcPr>
          <w:p>
            <w:pPr>
              <w:jc w:val="right"/>
              <w:ind w:right="47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470"/>
              <w:spacing w:after="0" w:line="182" w:lineRule="exact"/>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
        </w:trPr>
        <w:tc>
          <w:tcPr>
            <w:tcW w:w="2260" w:type="dxa"/>
            <w:vAlign w:val="bottom"/>
            <w:tcBorders>
              <w:top w:val="single" w:sz="8" w:color="auto"/>
              <w:bottom w:val="single" w:sz="8" w:color="DCE2EF"/>
            </w:tcBorders>
          </w:tcPr>
          <w:p>
            <w:pPr>
              <w:spacing w:after="0" w:line="20" w:lineRule="exact"/>
              <w:rPr>
                <w:sz w:val="1"/>
                <w:szCs w:val="1"/>
                <w:color w:val="auto"/>
              </w:rPr>
            </w:pPr>
          </w:p>
        </w:tc>
        <w:tc>
          <w:tcPr>
            <w:tcW w:w="414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40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6,228.6</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5,987.6</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6,498.6</w:t>
            </w: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5,258.2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5,157.0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5,767.5</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719.2</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506.1</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452.9</w:t>
            </w:r>
          </w:p>
        </w:tc>
        <w:tc>
          <w:tcPr>
            <w:tcW w:w="0" w:type="dxa"/>
            <w:vAlign w:val="bottom"/>
          </w:tcPr>
          <w:p>
            <w:pPr>
              <w:spacing w:after="0"/>
              <w:rPr>
                <w:sz w:val="1"/>
                <w:szCs w:val="1"/>
                <w:color w:val="auto"/>
              </w:rPr>
            </w:pPr>
          </w:p>
        </w:tc>
      </w:tr>
      <w:tr>
        <w:trPr>
          <w:trHeight w:val="229"/>
        </w:trPr>
        <w:tc>
          <w:tcPr>
            <w:tcW w:w="6400" w:type="dxa"/>
            <w:vAlign w:val="bottom"/>
            <w:gridSpan w:val="2"/>
          </w:tcPr>
          <w:p>
            <w:pPr>
              <w:spacing w:after="0"/>
              <w:rPr>
                <w:sz w:val="20"/>
                <w:szCs w:val="20"/>
                <w:color w:val="auto"/>
              </w:rPr>
            </w:pPr>
            <w:r>
              <w:rPr>
                <w:rFonts w:ascii="Arial" w:cs="Arial" w:eastAsia="Arial" w:hAnsi="Arial"/>
                <w:sz w:val="18"/>
                <w:szCs w:val="18"/>
                <w:color w:val="auto"/>
              </w:rPr>
              <w:t>Restructuring and related expenses</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9"/>
        </w:trPr>
        <w:tc>
          <w:tcPr>
            <w:tcW w:w="6400" w:type="dxa"/>
            <w:vAlign w:val="bottom"/>
            <w:gridSpan w:val="2"/>
          </w:tcPr>
          <w:p>
            <w:pPr>
              <w:spacing w:after="0"/>
              <w:rPr>
                <w:sz w:val="20"/>
                <w:szCs w:val="20"/>
                <w:color w:val="auto"/>
              </w:rPr>
            </w:pPr>
            <w:r>
              <w:rPr>
                <w:rFonts w:ascii="Arial" w:cs="Arial" w:eastAsia="Arial" w:hAnsi="Arial"/>
                <w:sz w:val="18"/>
                <w:szCs w:val="18"/>
                <w:color w:val="auto"/>
              </w:rPr>
              <w:t>Impairment loss of goodwill and other intangibles</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00" w:type="dxa"/>
            <w:vAlign w:val="bottom"/>
            <w:tcBorders>
              <w:top w:val="single" w:sz="8" w:color="DCE2EF"/>
            </w:tcBorders>
            <w:gridSpan w:val="2"/>
            <w:shd w:val="clear" w:color="auto" w:fill="DCE2EF"/>
          </w:tcPr>
          <w:p>
            <w:pPr>
              <w:spacing w:after="0"/>
              <w:rPr>
                <w:sz w:val="20"/>
                <w:szCs w:val="20"/>
                <w:color w:val="auto"/>
              </w:rPr>
            </w:pPr>
            <w:r>
              <w:rPr>
                <w:rFonts w:ascii="Arial" w:cs="Arial" w:eastAsia="Arial" w:hAnsi="Arial"/>
                <w:sz w:val="18"/>
                <w:szCs w:val="18"/>
                <w:b w:val="1"/>
                <w:bCs w:val="1"/>
                <w:color w:val="auto"/>
              </w:rPr>
              <w:t>Operating profit</w:t>
            </w:r>
          </w:p>
        </w:tc>
        <w:tc>
          <w:tcPr>
            <w:tcW w:w="320" w:type="dxa"/>
            <w:vAlign w:val="bottom"/>
            <w:tcBorders>
              <w:top w:val="single" w:sz="8" w:color="auto"/>
            </w:tcBorders>
            <w:shd w:val="clear" w:color="auto" w:fill="DCE2EF"/>
          </w:tcPr>
          <w:p>
            <w:pPr>
              <w:spacing w:after="0"/>
              <w:rPr>
                <w:sz w:val="19"/>
                <w:szCs w:val="19"/>
                <w:color w:val="auto"/>
              </w:rPr>
            </w:pPr>
          </w:p>
        </w:tc>
        <w:tc>
          <w:tcPr>
            <w:tcW w:w="12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Borders>
              <w:top w:val="single" w:sz="8" w:color="DCE2EF"/>
            </w:tcBorders>
            <w:shd w:val="clear" w:color="auto" w:fill="DCE2EF"/>
          </w:tcPr>
          <w:p>
            <w:pPr>
              <w:spacing w:after="0"/>
              <w:rPr>
                <w:sz w:val="19"/>
                <w:szCs w:val="19"/>
                <w:color w:val="auto"/>
              </w:rPr>
            </w:pPr>
          </w:p>
        </w:tc>
        <w:tc>
          <w:tcPr>
            <w:tcW w:w="340" w:type="dxa"/>
            <w:vAlign w:val="bottom"/>
            <w:tcBorders>
              <w:top w:val="single" w:sz="8" w:color="auto"/>
            </w:tcBorders>
            <w:shd w:val="clear" w:color="auto" w:fill="DCE2EF"/>
          </w:tcPr>
          <w:p>
            <w:pPr>
              <w:spacing w:after="0"/>
              <w:rPr>
                <w:sz w:val="19"/>
                <w:szCs w:val="19"/>
                <w:color w:val="auto"/>
              </w:rPr>
            </w:pPr>
          </w:p>
        </w:tc>
        <w:tc>
          <w:tcPr>
            <w:tcW w:w="1200" w:type="dxa"/>
            <w:vAlign w:val="bottom"/>
            <w:tcBorders>
              <w:top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95.7</w:t>
            </w:r>
          </w:p>
        </w:tc>
        <w:tc>
          <w:tcPr>
            <w:tcW w:w="100" w:type="dxa"/>
            <w:vAlign w:val="bottom"/>
            <w:tcBorders>
              <w:top w:val="single" w:sz="8" w:color="DCE2EF"/>
            </w:tcBorders>
            <w:shd w:val="clear" w:color="auto" w:fill="DCE2EF"/>
          </w:tcPr>
          <w:p>
            <w:pPr>
              <w:spacing w:after="0"/>
              <w:rPr>
                <w:sz w:val="19"/>
                <w:szCs w:val="19"/>
                <w:color w:val="auto"/>
              </w:rPr>
            </w:pPr>
          </w:p>
        </w:tc>
        <w:tc>
          <w:tcPr>
            <w:tcW w:w="380" w:type="dxa"/>
            <w:vAlign w:val="bottom"/>
            <w:tcBorders>
              <w:top w:val="single" w:sz="8" w:color="auto"/>
            </w:tcBorders>
            <w:shd w:val="clear" w:color="auto" w:fill="DCE2EF"/>
          </w:tcPr>
          <w:p>
            <w:pPr>
              <w:spacing w:after="0"/>
              <w:rPr>
                <w:sz w:val="19"/>
                <w:szCs w:val="19"/>
                <w:color w:val="auto"/>
              </w:rPr>
            </w:pPr>
          </w:p>
        </w:tc>
        <w:tc>
          <w:tcPr>
            <w:tcW w:w="114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29"/>
        </w:trPr>
        <w:tc>
          <w:tcPr>
            <w:tcW w:w="6400" w:type="dxa"/>
            <w:vAlign w:val="bottom"/>
            <w:gridSpan w:val="2"/>
          </w:tcPr>
          <w:p>
            <w:pPr>
              <w:spacing w:after="0"/>
              <w:rPr>
                <w:sz w:val="20"/>
                <w:szCs w:val="20"/>
                <w:color w:val="auto"/>
              </w:rPr>
            </w:pPr>
            <w:r>
              <w:rPr>
                <w:rFonts w:ascii="Arial" w:cs="Arial" w:eastAsia="Arial" w:hAnsi="Arial"/>
                <w:sz w:val="18"/>
                <w:szCs w:val="18"/>
                <w:color w:val="auto"/>
              </w:rPr>
              <w:t>Income from unconsolidated affiliates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DCE2EF"/>
          </w:tcPr>
          <w:p>
            <w:pPr>
              <w:spacing w:after="0"/>
              <w:rPr>
                <w:sz w:val="19"/>
                <w:szCs w:val="19"/>
                <w:color w:val="auto"/>
              </w:rPr>
            </w:pPr>
          </w:p>
        </w:tc>
        <w:tc>
          <w:tcPr>
            <w:tcW w:w="380" w:type="dxa"/>
            <w:vAlign w:val="bottom"/>
            <w:tcBorders>
              <w:bottom w:val="single" w:sz="8" w:color="auto"/>
            </w:tcBorders>
            <w:shd w:val="clear" w:color="auto" w:fill="DCE2EF"/>
          </w:tcPr>
          <w:p>
            <w:pPr>
              <w:spacing w:after="0"/>
              <w:rPr>
                <w:sz w:val="19"/>
                <w:szCs w:val="19"/>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DCE2EF"/>
          </w:tcPr>
          <w:p>
            <w:pPr>
              <w:spacing w:after="0"/>
              <w:rPr>
                <w:sz w:val="19"/>
                <w:szCs w:val="19"/>
                <w:color w:val="auto"/>
              </w:rPr>
            </w:pPr>
          </w:p>
        </w:tc>
        <w:tc>
          <w:tcPr>
            <w:tcW w:w="380" w:type="dxa"/>
            <w:vAlign w:val="bottom"/>
            <w:tcBorders>
              <w:bottom w:val="single" w:sz="8" w:color="auto"/>
            </w:tcBorders>
            <w:shd w:val="clear" w:color="auto" w:fill="DCE2EF"/>
          </w:tcPr>
          <w:p>
            <w:pPr>
              <w:spacing w:after="0"/>
              <w:rPr>
                <w:sz w:val="19"/>
                <w:szCs w:val="19"/>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Income (loss) from discontinued operations, net of taxes</w:t>
            </w:r>
          </w:p>
        </w:tc>
        <w:tc>
          <w:tcPr>
            <w:tcW w:w="320" w:type="dxa"/>
            <w:vAlign w:val="bottom"/>
            <w:shd w:val="clear" w:color="auto" w:fill="DCE2EF"/>
          </w:tcPr>
          <w:p>
            <w:pPr>
              <w:spacing w:after="0"/>
              <w:rPr>
                <w:sz w:val="19"/>
                <w:szCs w:val="19"/>
                <w:color w:val="auto"/>
              </w:rPr>
            </w:pPr>
          </w:p>
        </w:tc>
        <w:tc>
          <w:tcPr>
            <w:tcW w:w="1300" w:type="dxa"/>
            <w:vAlign w:val="bottom"/>
            <w:gridSpan w:val="2"/>
            <w:shd w:val="clear" w:color="auto" w:fill="DCE2E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DCE2EF"/>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DCE2E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DCE2E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09"/>
        </w:trPr>
        <w:tc>
          <w:tcPr>
            <w:tcW w:w="64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Other comprehensive income (loss)</w:t>
            </w:r>
          </w:p>
        </w:tc>
        <w:tc>
          <w:tcPr>
            <w:tcW w:w="320" w:type="dxa"/>
            <w:vAlign w:val="bottom"/>
            <w:shd w:val="clear" w:color="auto" w:fill="DCE2EF"/>
          </w:tcPr>
          <w:p>
            <w:pPr>
              <w:spacing w:after="0"/>
              <w:rPr>
                <w:sz w:val="18"/>
                <w:szCs w:val="18"/>
                <w:color w:val="auto"/>
              </w:rPr>
            </w:pPr>
          </w:p>
        </w:tc>
        <w:tc>
          <w:tcPr>
            <w:tcW w:w="12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2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14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ind w:left="34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Foreign currency translation and other</w:t>
            </w:r>
          </w:p>
        </w:tc>
        <w:tc>
          <w:tcPr>
            <w:tcW w:w="32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DCE2EF"/>
            </w:tcBorders>
            <w:gridSpan w:val="2"/>
          </w:tcPr>
          <w:p>
            <w:pPr>
              <w:ind w:left="340"/>
              <w:spacing w:after="0"/>
              <w:rPr>
                <w:sz w:val="20"/>
                <w:szCs w:val="20"/>
                <w:color w:val="auto"/>
              </w:rPr>
            </w:pPr>
            <w:r>
              <w:rPr>
                <w:rFonts w:ascii="Arial" w:cs="Arial" w:eastAsia="Arial" w:hAnsi="Arial"/>
                <w:sz w:val="18"/>
                <w:szCs w:val="18"/>
                <w:color w:val="auto"/>
              </w:rPr>
              <w:t>Income tax (provision) benefit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DCE2E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b w:val="1"/>
                <w:bCs w:val="1"/>
                <w:color w:val="auto"/>
              </w:rPr>
              <w:t>Comprehensive income (loss)</w:t>
            </w:r>
          </w:p>
        </w:tc>
        <w:tc>
          <w:tcPr>
            <w:tcW w:w="320" w:type="dxa"/>
            <w:vAlign w:val="bottom"/>
            <w:tcBorders>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DCE2EF"/>
            </w:tcBorders>
            <w:shd w:val="clear" w:color="auto" w:fill="DCE2EF"/>
          </w:tcPr>
          <w:p>
            <w:pPr>
              <w:spacing w:after="0"/>
              <w:rPr>
                <w:sz w:val="21"/>
                <w:szCs w:val="21"/>
                <w:color w:val="auto"/>
              </w:rPr>
            </w:pPr>
          </w:p>
        </w:tc>
        <w:tc>
          <w:tcPr>
            <w:tcW w:w="340" w:type="dxa"/>
            <w:vAlign w:val="bottom"/>
            <w:tcBorders>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DCE2EF"/>
            </w:tcBorders>
            <w:shd w:val="clear" w:color="auto" w:fill="DCE2EF"/>
          </w:tcPr>
          <w:p>
            <w:pPr>
              <w:spacing w:after="0"/>
              <w:rPr>
                <w:sz w:val="21"/>
                <w:szCs w:val="21"/>
                <w:color w:val="auto"/>
              </w:rPr>
            </w:pPr>
          </w:p>
        </w:tc>
        <w:tc>
          <w:tcPr>
            <w:tcW w:w="380" w:type="dxa"/>
            <w:vAlign w:val="bottom"/>
            <w:tcBorders>
              <w:bottom w:val="single" w:sz="8" w:color="auto"/>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0"/>
        </w:trPr>
        <w:tc>
          <w:tcPr>
            <w:tcW w:w="6400" w:type="dxa"/>
            <w:vAlign w:val="bottom"/>
            <w:tcBorders>
              <w:top w:val="single" w:sz="8" w:color="DCE2EF"/>
              <w:bottom w:val="single" w:sz="8" w:color="DCE2EF"/>
            </w:tcBorders>
            <w:gridSpan w:val="2"/>
            <w:vMerge w:val="restart"/>
          </w:tcPr>
          <w:p>
            <w:pPr>
              <w:spacing w:after="0"/>
              <w:rPr>
                <w:sz w:val="20"/>
                <w:szCs w:val="20"/>
                <w:color w:val="auto"/>
              </w:rPr>
            </w:pPr>
            <w:r>
              <w:rPr>
                <w:rFonts w:ascii="Arial" w:cs="Arial" w:eastAsia="Arial" w:hAnsi="Arial"/>
                <w:sz w:val="18"/>
                <w:szCs w:val="18"/>
                <w:b w:val="1"/>
                <w:bCs w:val="1"/>
                <w:color w:val="auto"/>
              </w:rPr>
              <w:t xml:space="preserve">Net income per common share </w:t>
            </w:r>
            <w:r>
              <w:rPr>
                <w:rFonts w:ascii="Arial" w:cs="Arial" w:eastAsia="Arial" w:hAnsi="Arial"/>
                <w:sz w:val="18"/>
                <w:szCs w:val="18"/>
                <w:color w:val="auto"/>
              </w:rPr>
              <w:t>—</w:t>
            </w:r>
            <w:r>
              <w:rPr>
                <w:rFonts w:ascii="Arial" w:cs="Arial" w:eastAsia="Arial" w:hAnsi="Arial"/>
                <w:sz w:val="18"/>
                <w:szCs w:val="18"/>
                <w:b w:val="1"/>
                <w:bCs w:val="1"/>
                <w:color w:val="auto"/>
              </w:rPr>
              <w:t xml:space="preserve"> Basic</w:t>
            </w: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114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6400" w:type="dxa"/>
            <w:vAlign w:val="bottom"/>
            <w:gridSpan w:val="2"/>
          </w:tcPr>
          <w:p>
            <w:pPr>
              <w:ind w:left="34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400" w:type="dxa"/>
            <w:vAlign w:val="bottom"/>
            <w:tcBorders>
              <w:top w:val="single" w:sz="8" w:color="DCE2EF"/>
              <w:bottom w:val="single" w:sz="8" w:color="DCE2EF"/>
            </w:tcBorders>
            <w:gridSpan w:val="2"/>
            <w:shd w:val="clear" w:color="auto" w:fill="DCE2EF"/>
          </w:tcPr>
          <w:p>
            <w:pPr>
              <w:ind w:left="3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DCE2EF"/>
              <w:bottom w:val="single" w:sz="8" w:color="DCE2EF"/>
            </w:tcBorders>
            <w:shd w:val="clear" w:color="auto" w:fill="DCE2EF"/>
          </w:tcPr>
          <w:p>
            <w:pPr>
              <w:spacing w:after="0"/>
              <w:rPr>
                <w:sz w:val="21"/>
                <w:szCs w:val="21"/>
                <w:color w:val="auto"/>
              </w:rPr>
            </w:pPr>
          </w:p>
        </w:tc>
        <w:tc>
          <w:tcPr>
            <w:tcW w:w="340" w:type="dxa"/>
            <w:vAlign w:val="bottom"/>
            <w:tcBorders>
              <w:top w:val="single" w:sz="8" w:color="auto"/>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tcBorders>
              <w:top w:val="single" w:sz="8" w:color="DCE2EF"/>
              <w:bottom w:val="single" w:sz="8" w:color="DCE2EF"/>
            </w:tcBorders>
            <w:shd w:val="clear" w:color="auto" w:fill="DCE2EF"/>
          </w:tcPr>
          <w:p>
            <w:pPr>
              <w:spacing w:after="0"/>
              <w:rPr>
                <w:sz w:val="21"/>
                <w:szCs w:val="21"/>
                <w:color w:val="auto"/>
              </w:rPr>
            </w:pPr>
          </w:p>
        </w:tc>
        <w:tc>
          <w:tcPr>
            <w:tcW w:w="380" w:type="dxa"/>
            <w:vAlign w:val="bottom"/>
            <w:tcBorders>
              <w:top w:val="single" w:sz="8" w:color="auto"/>
              <w:bottom w:val="single" w:sz="8" w:color="auto"/>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6400" w:type="dxa"/>
            <w:vAlign w:val="bottom"/>
            <w:tcBorders>
              <w:top w:val="single" w:sz="8" w:color="DCE2EF"/>
              <w:bottom w:val="single" w:sz="8" w:color="DCE2EF"/>
            </w:tcBorders>
            <w:gridSpan w:val="2"/>
            <w:vMerge w:val="restart"/>
          </w:tcPr>
          <w:p>
            <w:pPr>
              <w:spacing w:after="0"/>
              <w:rPr>
                <w:sz w:val="20"/>
                <w:szCs w:val="20"/>
                <w:color w:val="auto"/>
              </w:rPr>
            </w:pPr>
            <w:r>
              <w:rPr>
                <w:rFonts w:ascii="Arial" w:cs="Arial" w:eastAsia="Arial" w:hAnsi="Arial"/>
                <w:sz w:val="18"/>
                <w:szCs w:val="18"/>
                <w:b w:val="1"/>
                <w:bCs w:val="1"/>
                <w:color w:val="auto"/>
              </w:rPr>
              <w:t xml:space="preserve">Net income per common share </w:t>
            </w:r>
            <w:r>
              <w:rPr>
                <w:rFonts w:ascii="Arial" w:cs="Arial" w:eastAsia="Arial" w:hAnsi="Arial"/>
                <w:sz w:val="18"/>
                <w:szCs w:val="18"/>
                <w:color w:val="auto"/>
              </w:rPr>
              <w:t>—</w:t>
            </w:r>
            <w:r>
              <w:rPr>
                <w:rFonts w:ascii="Arial" w:cs="Arial" w:eastAsia="Arial" w:hAnsi="Arial"/>
                <w:sz w:val="18"/>
                <w:szCs w:val="18"/>
                <w:b w:val="1"/>
                <w:bCs w:val="1"/>
                <w:color w:val="auto"/>
              </w:rPr>
              <w:t xml:space="preserve"> Diluted</w:t>
            </w: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114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6400" w:type="dxa"/>
            <w:vAlign w:val="bottom"/>
            <w:gridSpan w:val="2"/>
          </w:tcPr>
          <w:p>
            <w:pPr>
              <w:ind w:left="34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400" w:type="dxa"/>
            <w:vAlign w:val="bottom"/>
            <w:tcBorders>
              <w:top w:val="single" w:sz="8" w:color="DCE2EF"/>
              <w:bottom w:val="single" w:sz="8" w:color="DCE2EF"/>
            </w:tcBorders>
            <w:gridSpan w:val="2"/>
            <w:shd w:val="clear" w:color="auto" w:fill="DCE2EF"/>
          </w:tcPr>
          <w:p>
            <w:pPr>
              <w:ind w:left="3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DCE2EF"/>
              <w:bottom w:val="single" w:sz="8" w:color="DCE2EF"/>
            </w:tcBorders>
            <w:shd w:val="clear" w:color="auto" w:fill="DCE2EF"/>
          </w:tcPr>
          <w:p>
            <w:pPr>
              <w:spacing w:after="0"/>
              <w:rPr>
                <w:sz w:val="21"/>
                <w:szCs w:val="21"/>
                <w:color w:val="auto"/>
              </w:rPr>
            </w:pPr>
          </w:p>
        </w:tc>
        <w:tc>
          <w:tcPr>
            <w:tcW w:w="340" w:type="dxa"/>
            <w:vAlign w:val="bottom"/>
            <w:tcBorders>
              <w:top w:val="single" w:sz="8" w:color="auto"/>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tcBorders>
              <w:top w:val="single" w:sz="8" w:color="DCE2EF"/>
              <w:bottom w:val="single" w:sz="8" w:color="DCE2EF"/>
            </w:tcBorders>
            <w:shd w:val="clear" w:color="auto" w:fill="DCE2EF"/>
          </w:tcPr>
          <w:p>
            <w:pPr>
              <w:spacing w:after="0"/>
              <w:rPr>
                <w:sz w:val="21"/>
                <w:szCs w:val="21"/>
                <w:color w:val="auto"/>
              </w:rPr>
            </w:pPr>
          </w:p>
        </w:tc>
        <w:tc>
          <w:tcPr>
            <w:tcW w:w="380" w:type="dxa"/>
            <w:vAlign w:val="bottom"/>
            <w:tcBorders>
              <w:top w:val="single" w:sz="8" w:color="auto"/>
              <w:bottom w:val="single" w:sz="8" w:color="auto"/>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6400" w:type="dxa"/>
            <w:vAlign w:val="bottom"/>
            <w:tcBorders>
              <w:top w:val="single" w:sz="8" w:color="DCE2EF"/>
              <w:bottom w:val="single" w:sz="8" w:color="DCE2EF"/>
            </w:tcBorders>
            <w:gridSpan w:val="2"/>
            <w:vMerge w:val="restart"/>
          </w:tcPr>
          <w:p>
            <w:pPr>
              <w:spacing w:after="0" w:line="163" w:lineRule="exact"/>
              <w:rPr>
                <w:sz w:val="20"/>
                <w:szCs w:val="20"/>
                <w:color w:val="auto"/>
              </w:rPr>
            </w:pPr>
            <w:r>
              <w:rPr>
                <w:rFonts w:ascii="Arial" w:cs="Arial" w:eastAsia="Arial" w:hAnsi="Arial"/>
                <w:sz w:val="18"/>
                <w:szCs w:val="18"/>
                <w:b w:val="1"/>
                <w:bCs w:val="1"/>
                <w:color w:val="auto"/>
              </w:rPr>
              <w:t>Weighted-average common and common</w:t>
            </w: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114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4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equivalent shares outstanding</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640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35" w:right="35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CONSOLIDATED STATEMENTS OF STOCKHOLDERS’ EQUITY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Years Ended October 31,</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800" w:type="dxa"/>
            <w:vAlign w:val="bottom"/>
          </w:tcPr>
          <w:p>
            <w:pPr>
              <w:spacing w:after="0"/>
              <w:rPr>
                <w:sz w:val="15"/>
                <w:szCs w:val="15"/>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820" w:type="dxa"/>
            <w:vAlign w:val="bottom"/>
          </w:tcPr>
          <w:p>
            <w:pPr>
              <w:spacing w:after="0"/>
              <w:rPr>
                <w:sz w:val="15"/>
                <w:szCs w:val="15"/>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40" w:type="dxa"/>
            <w:vAlign w:val="bottom"/>
            <w:gridSpan w:val="3"/>
          </w:tcPr>
          <w:p>
            <w:pPr>
              <w:ind w:left="20"/>
              <w:spacing w:after="0" w:line="129" w:lineRule="exact"/>
              <w:rPr>
                <w:sz w:val="20"/>
                <w:szCs w:val="20"/>
                <w:color w:val="auto"/>
              </w:rPr>
            </w:pPr>
            <w:r>
              <w:rPr>
                <w:rFonts w:ascii="Arial" w:cs="Arial" w:eastAsia="Arial" w:hAnsi="Arial"/>
                <w:sz w:val="13"/>
                <w:szCs w:val="13"/>
                <w:i w:val="1"/>
                <w:iCs w:val="1"/>
                <w:color w:val="auto"/>
              </w:rPr>
              <w:t>(in millions, except per share amounts)</w:t>
            </w:r>
          </w:p>
        </w:tc>
        <w:tc>
          <w:tcPr>
            <w:tcW w:w="1080" w:type="dxa"/>
            <w:vAlign w:val="bottom"/>
            <w:tcBorders>
              <w:top w:val="single" w:sz="8" w:color="auto"/>
            </w:tcBorders>
            <w:gridSpan w:val="2"/>
          </w:tcPr>
          <w:p>
            <w:pPr>
              <w:ind w:left="260"/>
              <w:spacing w:after="0" w:line="129"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28"/>
              <w:spacing w:after="0" w:line="129"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080" w:type="dxa"/>
            <w:vAlign w:val="bottom"/>
            <w:tcBorders>
              <w:top w:val="single" w:sz="8" w:color="auto"/>
            </w:tcBorders>
            <w:gridSpan w:val="2"/>
          </w:tcPr>
          <w:p>
            <w:pPr>
              <w:ind w:left="240"/>
              <w:spacing w:after="0" w:line="129"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48"/>
              <w:spacing w:after="0" w:line="129"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080" w:type="dxa"/>
            <w:vAlign w:val="bottom"/>
            <w:tcBorders>
              <w:top w:val="single" w:sz="8" w:color="auto"/>
            </w:tcBorders>
            <w:gridSpan w:val="2"/>
          </w:tcPr>
          <w:p>
            <w:pPr>
              <w:ind w:left="240"/>
              <w:spacing w:after="0" w:line="129"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48"/>
              <w:spacing w:after="0" w:line="12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1960" w:type="dxa"/>
            <w:vAlign w:val="bottom"/>
            <w:tcBorders>
              <w:top w:val="single" w:sz="8" w:color="auto"/>
              <w:bottom w:val="single" w:sz="8" w:color="DCE2EF"/>
            </w:tcBorders>
          </w:tcPr>
          <w:p>
            <w:pPr>
              <w:spacing w:after="0" w:line="20" w:lineRule="exact"/>
              <w:rPr>
                <w:sz w:val="1"/>
                <w:szCs w:val="1"/>
                <w:color w:val="auto"/>
              </w:rPr>
            </w:pPr>
          </w:p>
        </w:tc>
        <w:tc>
          <w:tcPr>
            <w:tcW w:w="2860" w:type="dxa"/>
            <w:vAlign w:val="bottom"/>
            <w:tcBorders>
              <w:bottom w:val="single" w:sz="8" w:color="DCE2E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840" w:type="dxa"/>
            <w:vAlign w:val="bottom"/>
            <w:gridSpan w:val="3"/>
            <w:shd w:val="clear" w:color="auto" w:fill="DCE2EF"/>
          </w:tcPr>
          <w:p>
            <w:pPr>
              <w:ind w:left="20"/>
              <w:spacing w:after="0"/>
              <w:rPr>
                <w:sz w:val="20"/>
                <w:szCs w:val="20"/>
                <w:color w:val="auto"/>
              </w:rPr>
            </w:pPr>
            <w:r>
              <w:rPr>
                <w:rFonts w:ascii="Arial" w:cs="Arial" w:eastAsia="Arial" w:hAnsi="Arial"/>
                <w:sz w:val="14"/>
                <w:szCs w:val="14"/>
                <w:b w:val="1"/>
                <w:bCs w:val="1"/>
                <w:color w:val="auto"/>
              </w:rPr>
              <w:t>Common Stock</w:t>
            </w:r>
          </w:p>
        </w:tc>
        <w:tc>
          <w:tcPr>
            <w:tcW w:w="98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60" w:type="dxa"/>
            <w:vAlign w:val="bottom"/>
            <w:shd w:val="clear" w:color="auto" w:fill="DCE2EF"/>
          </w:tcPr>
          <w:p>
            <w:pPr>
              <w:spacing w:after="0"/>
              <w:rPr>
                <w:sz w:val="14"/>
                <w:szCs w:val="14"/>
                <w:color w:val="auto"/>
              </w:rPr>
            </w:pPr>
          </w:p>
        </w:tc>
        <w:tc>
          <w:tcPr>
            <w:tcW w:w="80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96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8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98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60" w:type="dxa"/>
            <w:vAlign w:val="bottom"/>
            <w:shd w:val="clear" w:color="auto" w:fill="DCE2EF"/>
          </w:tcPr>
          <w:p>
            <w:pPr>
              <w:spacing w:after="0"/>
              <w:rPr>
                <w:sz w:val="14"/>
                <w:szCs w:val="14"/>
                <w:color w:val="auto"/>
              </w:rPr>
            </w:pPr>
          </w:p>
        </w:tc>
        <w:tc>
          <w:tcPr>
            <w:tcW w:w="82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gridSpan w:val="2"/>
          </w:tcPr>
          <w:p>
            <w:pPr>
              <w:ind w:left="120"/>
              <w:spacing w:after="0"/>
              <w:rPr>
                <w:sz w:val="20"/>
                <w:szCs w:val="20"/>
                <w:color w:val="auto"/>
              </w:rPr>
            </w:pPr>
            <w:r>
              <w:rPr>
                <w:rFonts w:ascii="Arial" w:cs="Arial" w:eastAsia="Arial" w:hAnsi="Arial"/>
                <w:sz w:val="14"/>
                <w:szCs w:val="14"/>
                <w:color w:val="auto"/>
              </w:rPr>
              <w:t>Balance, beginning of year</w:t>
            </w:r>
          </w:p>
        </w:tc>
        <w:tc>
          <w:tcPr>
            <w:tcW w:w="980" w:type="dxa"/>
            <w:vAlign w:val="bottom"/>
          </w:tcPr>
          <w:p>
            <w:pPr>
              <w:jc w:val="right"/>
              <w:spacing w:after="0"/>
              <w:rPr>
                <w:sz w:val="20"/>
                <w:szCs w:val="20"/>
                <w:color w:val="auto"/>
              </w:rPr>
            </w:pPr>
            <w:r>
              <w:rPr>
                <w:rFonts w:ascii="Arial" w:cs="Arial" w:eastAsia="Arial" w:hAnsi="Arial"/>
                <w:sz w:val="14"/>
                <w:szCs w:val="14"/>
                <w:color w:val="auto"/>
              </w:rPr>
              <w:t>66.7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0.7</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66.6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66.0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53"/>
        </w:trPr>
        <w:tc>
          <w:tcPr>
            <w:tcW w:w="20" w:type="dxa"/>
            <w:vAlign w:val="bottom"/>
            <w:shd w:val="clear" w:color="auto" w:fill="DCE2EF"/>
          </w:tcPr>
          <w:p>
            <w:pPr>
              <w:spacing w:after="0"/>
              <w:rPr>
                <w:sz w:val="13"/>
                <w:szCs w:val="13"/>
                <w:color w:val="auto"/>
              </w:rPr>
            </w:pPr>
          </w:p>
        </w:tc>
        <w:tc>
          <w:tcPr>
            <w:tcW w:w="4820" w:type="dxa"/>
            <w:vAlign w:val="bottom"/>
            <w:gridSpan w:val="2"/>
            <w:shd w:val="clear" w:color="auto" w:fill="DCE2EF"/>
          </w:tcPr>
          <w:p>
            <w:pPr>
              <w:ind w:left="120"/>
              <w:spacing w:after="0" w:line="153" w:lineRule="exact"/>
              <w:rPr>
                <w:sz w:val="20"/>
                <w:szCs w:val="20"/>
                <w:color w:val="auto"/>
              </w:rPr>
            </w:pPr>
            <w:r>
              <w:rPr>
                <w:rFonts w:ascii="Arial" w:cs="Arial" w:eastAsia="Arial" w:hAnsi="Arial"/>
                <w:sz w:val="14"/>
                <w:szCs w:val="14"/>
                <w:color w:val="auto"/>
              </w:rPr>
              <w:t>Stock issued under employee stock purchase and share-based</w:t>
            </w:r>
          </w:p>
        </w:tc>
        <w:tc>
          <w:tcPr>
            <w:tcW w:w="98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DCE2EF"/>
          </w:tcPr>
          <w:p>
            <w:pPr>
              <w:spacing w:after="0"/>
              <w:rPr>
                <w:sz w:val="13"/>
                <w:szCs w:val="13"/>
                <w:color w:val="auto"/>
              </w:rPr>
            </w:pPr>
          </w:p>
        </w:tc>
        <w:tc>
          <w:tcPr>
            <w:tcW w:w="160" w:type="dxa"/>
            <w:vAlign w:val="bottom"/>
            <w:shd w:val="clear" w:color="auto" w:fill="DCE2EF"/>
          </w:tcPr>
          <w:p>
            <w:pPr>
              <w:spacing w:after="0"/>
              <w:rPr>
                <w:sz w:val="13"/>
                <w:szCs w:val="13"/>
                <w:color w:val="auto"/>
              </w:rPr>
            </w:pPr>
          </w:p>
        </w:tc>
        <w:tc>
          <w:tcPr>
            <w:tcW w:w="80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DCE2E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DCE2EF"/>
          </w:tcPr>
          <w:p>
            <w:pPr>
              <w:spacing w:after="0"/>
              <w:rPr>
                <w:sz w:val="13"/>
                <w:szCs w:val="13"/>
                <w:color w:val="auto"/>
              </w:rPr>
            </w:pPr>
          </w:p>
        </w:tc>
        <w:tc>
          <w:tcPr>
            <w:tcW w:w="140" w:type="dxa"/>
            <w:vAlign w:val="bottom"/>
            <w:shd w:val="clear" w:color="auto" w:fill="DCE2EF"/>
          </w:tcPr>
          <w:p>
            <w:pPr>
              <w:spacing w:after="0"/>
              <w:rPr>
                <w:sz w:val="13"/>
                <w:szCs w:val="13"/>
                <w:color w:val="auto"/>
              </w:rPr>
            </w:pPr>
          </w:p>
        </w:tc>
        <w:tc>
          <w:tcPr>
            <w:tcW w:w="820" w:type="dxa"/>
            <w:vAlign w:val="bottom"/>
            <w:vMerge w:val="restart"/>
            <w:shd w:val="clear" w:color="auto" w:fill="DCE2E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DCE2EF"/>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DCE2EF"/>
          </w:tcPr>
          <w:p>
            <w:pPr>
              <w:spacing w:after="0"/>
              <w:rPr>
                <w:sz w:val="13"/>
                <w:szCs w:val="13"/>
                <w:color w:val="auto"/>
              </w:rPr>
            </w:pPr>
          </w:p>
        </w:tc>
        <w:tc>
          <w:tcPr>
            <w:tcW w:w="160" w:type="dxa"/>
            <w:vAlign w:val="bottom"/>
            <w:shd w:val="clear" w:color="auto" w:fill="DCE2EF"/>
          </w:tcPr>
          <w:p>
            <w:pPr>
              <w:spacing w:after="0"/>
              <w:rPr>
                <w:sz w:val="13"/>
                <w:szCs w:val="13"/>
                <w:color w:val="auto"/>
              </w:rPr>
            </w:pPr>
          </w:p>
        </w:tc>
        <w:tc>
          <w:tcPr>
            <w:tcW w:w="82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DCE2EF"/>
          </w:tcPr>
          <w:p>
            <w:pPr>
              <w:spacing w:after="0"/>
              <w:rPr>
                <w:sz w:val="14"/>
                <w:szCs w:val="14"/>
                <w:color w:val="auto"/>
              </w:rPr>
            </w:pPr>
          </w:p>
        </w:tc>
        <w:tc>
          <w:tcPr>
            <w:tcW w:w="48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compensation plans</w:t>
            </w:r>
          </w:p>
        </w:tc>
        <w:tc>
          <w:tcPr>
            <w:tcW w:w="980" w:type="dxa"/>
            <w:vAlign w:val="bottom"/>
            <w:vMerge w:val="continue"/>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60" w:type="dxa"/>
            <w:vAlign w:val="bottom"/>
            <w:shd w:val="clear" w:color="auto" w:fill="DCE2EF"/>
          </w:tcPr>
          <w:p>
            <w:pPr>
              <w:spacing w:after="0"/>
              <w:rPr>
                <w:sz w:val="14"/>
                <w:szCs w:val="14"/>
                <w:color w:val="auto"/>
              </w:rPr>
            </w:pPr>
          </w:p>
        </w:tc>
        <w:tc>
          <w:tcPr>
            <w:tcW w:w="800" w:type="dxa"/>
            <w:vAlign w:val="bottom"/>
            <w:vMerge w:val="continue"/>
            <w:shd w:val="clear" w:color="auto" w:fill="DCE2EF"/>
          </w:tcPr>
          <w:p>
            <w:pPr>
              <w:spacing w:after="0"/>
              <w:rPr>
                <w:sz w:val="14"/>
                <w:szCs w:val="14"/>
                <w:color w:val="auto"/>
              </w:rPr>
            </w:pPr>
          </w:p>
        </w:tc>
        <w:tc>
          <w:tcPr>
            <w:tcW w:w="1080" w:type="dxa"/>
            <w:vAlign w:val="bottom"/>
            <w:gridSpan w:val="2"/>
            <w:vMerge w:val="continue"/>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820" w:type="dxa"/>
            <w:vAlign w:val="bottom"/>
            <w:vMerge w:val="continue"/>
            <w:shd w:val="clear" w:color="auto" w:fill="DCE2EF"/>
          </w:tcPr>
          <w:p>
            <w:pPr>
              <w:spacing w:after="0"/>
              <w:rPr>
                <w:sz w:val="14"/>
                <w:szCs w:val="14"/>
                <w:color w:val="auto"/>
              </w:rPr>
            </w:pPr>
          </w:p>
        </w:tc>
        <w:tc>
          <w:tcPr>
            <w:tcW w:w="1080" w:type="dxa"/>
            <w:vAlign w:val="bottom"/>
            <w:gridSpan w:val="2"/>
            <w:vMerge w:val="continue"/>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60" w:type="dxa"/>
            <w:vAlign w:val="bottom"/>
            <w:shd w:val="clear" w:color="auto" w:fill="DCE2EF"/>
          </w:tcPr>
          <w:p>
            <w:pPr>
              <w:spacing w:after="0"/>
              <w:rPr>
                <w:sz w:val="14"/>
                <w:szCs w:val="14"/>
                <w:color w:val="auto"/>
              </w:rPr>
            </w:pPr>
          </w:p>
        </w:tc>
        <w:tc>
          <w:tcPr>
            <w:tcW w:w="820" w:type="dxa"/>
            <w:vAlign w:val="bottom"/>
            <w:vMerge w:val="continue"/>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DCE2EF"/>
            </w:tcBorders>
          </w:tcPr>
          <w:p>
            <w:pPr>
              <w:spacing w:after="0"/>
              <w:rPr>
                <w:sz w:val="16"/>
                <w:szCs w:val="16"/>
                <w:color w:val="auto"/>
              </w:rPr>
            </w:pPr>
          </w:p>
        </w:tc>
        <w:tc>
          <w:tcPr>
            <w:tcW w:w="4820" w:type="dxa"/>
            <w:vAlign w:val="bottom"/>
            <w:tcBorders>
              <w:bottom w:val="single" w:sz="8" w:color="DCE2EF"/>
            </w:tcBorders>
            <w:gridSpan w:val="2"/>
          </w:tcPr>
          <w:p>
            <w:pPr>
              <w:ind w:left="120"/>
              <w:spacing w:after="0"/>
              <w:rPr>
                <w:sz w:val="20"/>
                <w:szCs w:val="20"/>
                <w:color w:val="auto"/>
              </w:rPr>
            </w:pPr>
            <w:r>
              <w:rPr>
                <w:rFonts w:ascii="Arial" w:cs="Arial" w:eastAsia="Arial" w:hAnsi="Arial"/>
                <w:sz w:val="14"/>
                <w:szCs w:val="14"/>
                <w:color w:val="auto"/>
              </w:rPr>
              <w:t>Repurchase of common stock</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CE2E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shd w:val="clear" w:color="auto" w:fill="DCE2EF"/>
          </w:tcPr>
          <w:p>
            <w:pPr>
              <w:spacing w:after="0"/>
              <w:rPr>
                <w:sz w:val="15"/>
                <w:szCs w:val="15"/>
                <w:color w:val="auto"/>
              </w:rPr>
            </w:pPr>
          </w:p>
        </w:tc>
        <w:tc>
          <w:tcPr>
            <w:tcW w:w="48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end of year</w:t>
            </w:r>
          </w:p>
        </w:tc>
        <w:tc>
          <w:tcPr>
            <w:tcW w:w="9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DCE2EF"/>
          </w:tcPr>
          <w:p>
            <w:pPr>
              <w:spacing w:after="0"/>
              <w:rPr>
                <w:sz w:val="15"/>
                <w:szCs w:val="15"/>
                <w:color w:val="auto"/>
              </w:rPr>
            </w:pPr>
          </w:p>
        </w:tc>
        <w:tc>
          <w:tcPr>
            <w:tcW w:w="160" w:type="dxa"/>
            <w:vAlign w:val="bottom"/>
            <w:shd w:val="clear" w:color="auto" w:fill="DCE2EF"/>
          </w:tcPr>
          <w:p>
            <w:pPr>
              <w:spacing w:after="0"/>
              <w:rPr>
                <w:sz w:val="15"/>
                <w:szCs w:val="15"/>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0.7</w:t>
            </w:r>
          </w:p>
        </w:tc>
        <w:tc>
          <w:tcPr>
            <w:tcW w:w="1080" w:type="dxa"/>
            <w:vAlign w:val="bottom"/>
            <w:gridSpan w:val="2"/>
            <w:shd w:val="clear" w:color="auto" w:fill="DCE2EF"/>
          </w:tcPr>
          <w:p>
            <w:pPr>
              <w:jc w:val="right"/>
              <w:spacing w:after="0"/>
              <w:rPr>
                <w:sz w:val="20"/>
                <w:szCs w:val="20"/>
                <w:color w:val="auto"/>
              </w:rPr>
            </w:pPr>
            <w:r>
              <w:rPr>
                <w:rFonts w:ascii="Arial" w:cs="Arial" w:eastAsia="Arial" w:hAnsi="Arial"/>
                <w:sz w:val="14"/>
                <w:szCs w:val="14"/>
                <w:color w:val="auto"/>
              </w:rPr>
              <w:t>66.7</w:t>
            </w:r>
          </w:p>
        </w:tc>
        <w:tc>
          <w:tcPr>
            <w:tcW w:w="120" w:type="dxa"/>
            <w:vAlign w:val="bottom"/>
            <w:shd w:val="clear" w:color="auto" w:fill="DCE2EF"/>
          </w:tcPr>
          <w:p>
            <w:pPr>
              <w:spacing w:after="0"/>
              <w:rPr>
                <w:sz w:val="15"/>
                <w:szCs w:val="15"/>
                <w:color w:val="auto"/>
              </w:rPr>
            </w:pPr>
          </w:p>
        </w:tc>
        <w:tc>
          <w:tcPr>
            <w:tcW w:w="140" w:type="dxa"/>
            <w:vAlign w:val="bottom"/>
            <w:shd w:val="clear" w:color="auto" w:fill="DCE2EF"/>
          </w:tcPr>
          <w:p>
            <w:pPr>
              <w:spacing w:after="0"/>
              <w:rPr>
                <w:sz w:val="15"/>
                <w:szCs w:val="15"/>
                <w:color w:val="auto"/>
              </w:rPr>
            </w:pPr>
          </w:p>
        </w:tc>
        <w:tc>
          <w:tcPr>
            <w:tcW w:w="8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0.7</w:t>
            </w:r>
          </w:p>
        </w:tc>
        <w:tc>
          <w:tcPr>
            <w:tcW w:w="1080" w:type="dxa"/>
            <w:vAlign w:val="bottom"/>
            <w:gridSpan w:val="2"/>
            <w:shd w:val="clear" w:color="auto" w:fill="DCE2EF"/>
          </w:tcPr>
          <w:p>
            <w:pPr>
              <w:jc w:val="right"/>
              <w:ind w:right="8"/>
              <w:spacing w:after="0"/>
              <w:rPr>
                <w:sz w:val="20"/>
                <w:szCs w:val="20"/>
                <w:color w:val="auto"/>
              </w:rPr>
            </w:pPr>
            <w:r>
              <w:rPr>
                <w:rFonts w:ascii="Arial" w:cs="Arial" w:eastAsia="Arial" w:hAnsi="Arial"/>
                <w:sz w:val="14"/>
                <w:szCs w:val="14"/>
                <w:color w:val="auto"/>
              </w:rPr>
              <w:t>66.6</w:t>
            </w:r>
          </w:p>
        </w:tc>
        <w:tc>
          <w:tcPr>
            <w:tcW w:w="100" w:type="dxa"/>
            <w:vAlign w:val="bottom"/>
            <w:shd w:val="clear" w:color="auto" w:fill="DCE2EF"/>
          </w:tcPr>
          <w:p>
            <w:pPr>
              <w:spacing w:after="0"/>
              <w:rPr>
                <w:sz w:val="15"/>
                <w:szCs w:val="15"/>
                <w:color w:val="auto"/>
              </w:rPr>
            </w:pPr>
          </w:p>
        </w:tc>
        <w:tc>
          <w:tcPr>
            <w:tcW w:w="160" w:type="dxa"/>
            <w:vAlign w:val="bottom"/>
            <w:shd w:val="clear" w:color="auto" w:fill="DCE2EF"/>
          </w:tcPr>
          <w:p>
            <w:pPr>
              <w:spacing w:after="0"/>
              <w:rPr>
                <w:sz w:val="15"/>
                <w:szCs w:val="15"/>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9"/>
        </w:trPr>
        <w:tc>
          <w:tcPr>
            <w:tcW w:w="484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 Paid-in Capital</w:t>
            </w: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48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beginning of year</w:t>
            </w:r>
          </w:p>
        </w:tc>
        <w:tc>
          <w:tcPr>
            <w:tcW w:w="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724.1</w:t>
            </w:r>
          </w:p>
        </w:tc>
        <w:tc>
          <w:tcPr>
            <w:tcW w:w="120" w:type="dxa"/>
            <w:vAlign w:val="bottom"/>
            <w:shd w:val="clear" w:color="auto" w:fill="DCE2EF"/>
          </w:tcPr>
          <w:p>
            <w:pPr>
              <w:spacing w:after="0"/>
              <w:rPr>
                <w:sz w:val="16"/>
                <w:szCs w:val="16"/>
                <w:color w:val="auto"/>
              </w:rPr>
            </w:pP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708.9</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691.8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820" w:type="dxa"/>
            <w:vAlign w:val="bottom"/>
            <w:gridSpan w:val="2"/>
          </w:tcPr>
          <w:p>
            <w:pPr>
              <w:ind w:left="120"/>
              <w:spacing w:after="0" w:line="153" w:lineRule="exact"/>
              <w:rPr>
                <w:sz w:val="20"/>
                <w:szCs w:val="20"/>
                <w:color w:val="auto"/>
              </w:rPr>
            </w:pPr>
            <w:r>
              <w:rPr>
                <w:rFonts w:ascii="Arial" w:cs="Arial" w:eastAsia="Arial" w:hAnsi="Arial"/>
                <w:sz w:val="14"/>
                <w:szCs w:val="14"/>
                <w:color w:val="auto"/>
              </w:rPr>
              <w:t>Taxes withheld under employee stock purchase and share-based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gridSpan w:val="2"/>
          </w:tcPr>
          <w:p>
            <w:pPr>
              <w:ind w:left="360"/>
              <w:spacing w:after="0"/>
              <w:rPr>
                <w:sz w:val="20"/>
                <w:szCs w:val="20"/>
                <w:color w:val="auto"/>
              </w:rPr>
            </w:pPr>
            <w:r>
              <w:rPr>
                <w:rFonts w:ascii="Arial" w:cs="Arial" w:eastAsia="Arial" w:hAnsi="Arial"/>
                <w:sz w:val="14"/>
                <w:szCs w:val="14"/>
                <w:color w:val="auto"/>
              </w:rPr>
              <w:t>compensation plans, net</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48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Share-based compensation expense</w:t>
            </w:r>
          </w:p>
        </w:tc>
        <w:tc>
          <w:tcPr>
            <w:tcW w:w="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DCE2EF"/>
          </w:tcPr>
          <w:p>
            <w:pPr>
              <w:spacing w:after="0"/>
              <w:rPr>
                <w:sz w:val="16"/>
                <w:szCs w:val="16"/>
                <w:color w:val="auto"/>
              </w:rPr>
            </w:pP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89"/>
        </w:trPr>
        <w:tc>
          <w:tcPr>
            <w:tcW w:w="20" w:type="dxa"/>
            <w:vAlign w:val="bottom"/>
            <w:tcBorders>
              <w:bottom w:val="single" w:sz="8" w:color="DCE2EF"/>
            </w:tcBorders>
          </w:tcPr>
          <w:p>
            <w:pPr>
              <w:spacing w:after="0"/>
              <w:rPr>
                <w:sz w:val="16"/>
                <w:szCs w:val="16"/>
                <w:color w:val="auto"/>
              </w:rPr>
            </w:pPr>
          </w:p>
        </w:tc>
        <w:tc>
          <w:tcPr>
            <w:tcW w:w="4820" w:type="dxa"/>
            <w:vAlign w:val="bottom"/>
            <w:tcBorders>
              <w:bottom w:val="single" w:sz="8" w:color="DCE2EF"/>
            </w:tcBorders>
            <w:gridSpan w:val="2"/>
          </w:tcPr>
          <w:p>
            <w:pPr>
              <w:ind w:left="120"/>
              <w:spacing w:after="0"/>
              <w:rPr>
                <w:sz w:val="20"/>
                <w:szCs w:val="20"/>
                <w:color w:val="auto"/>
              </w:rPr>
            </w:pPr>
            <w:r>
              <w:rPr>
                <w:rFonts w:ascii="Arial" w:cs="Arial" w:eastAsia="Arial" w:hAnsi="Arial"/>
                <w:sz w:val="14"/>
                <w:szCs w:val="14"/>
                <w:color w:val="auto"/>
              </w:rPr>
              <w:t>Repurchase of common stock</w:t>
            </w:r>
          </w:p>
        </w:tc>
        <w:tc>
          <w:tcPr>
            <w:tcW w:w="980" w:type="dxa"/>
            <w:vAlign w:val="bottom"/>
            <w:tcBorders>
              <w:bottom w:val="single" w:sz="8" w:color="DCE2EF"/>
            </w:tcBorders>
          </w:tcPr>
          <w:p>
            <w:pPr>
              <w:spacing w:after="0"/>
              <w:rPr>
                <w:sz w:val="16"/>
                <w:szCs w:val="16"/>
                <w:color w:val="auto"/>
              </w:rPr>
            </w:pPr>
          </w:p>
        </w:tc>
        <w:tc>
          <w:tcPr>
            <w:tcW w:w="10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CE2EF"/>
            </w:tcBorders>
          </w:tcPr>
          <w:p>
            <w:pPr>
              <w:spacing w:after="0"/>
              <w:rPr>
                <w:sz w:val="16"/>
                <w:szCs w:val="16"/>
                <w:color w:val="auto"/>
              </w:rPr>
            </w:pPr>
          </w:p>
        </w:tc>
        <w:tc>
          <w:tcPr>
            <w:tcW w:w="96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DCE2EF"/>
            </w:tcBorders>
          </w:tcPr>
          <w:p>
            <w:pPr>
              <w:spacing w:after="0"/>
              <w:rPr>
                <w:sz w:val="16"/>
                <w:szCs w:val="16"/>
                <w:color w:val="auto"/>
              </w:rPr>
            </w:pPr>
          </w:p>
        </w:tc>
        <w:tc>
          <w:tcPr>
            <w:tcW w:w="10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shd w:val="clear" w:color="auto" w:fill="DCE2EF"/>
          </w:tcPr>
          <w:p>
            <w:pPr>
              <w:spacing w:after="0"/>
              <w:rPr>
                <w:sz w:val="15"/>
                <w:szCs w:val="15"/>
                <w:color w:val="auto"/>
              </w:rPr>
            </w:pPr>
          </w:p>
        </w:tc>
        <w:tc>
          <w:tcPr>
            <w:tcW w:w="48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end of year</w:t>
            </w:r>
          </w:p>
        </w:tc>
        <w:tc>
          <w:tcPr>
            <w:tcW w:w="9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60" w:type="dxa"/>
            <w:vAlign w:val="bottom"/>
            <w:tcBorders>
              <w:bottom w:val="single" w:sz="8" w:color="auto"/>
            </w:tcBorders>
            <w:shd w:val="clear" w:color="auto" w:fill="DCE2EF"/>
          </w:tcPr>
          <w:p>
            <w:pPr>
              <w:spacing w:after="0"/>
              <w:rPr>
                <w:sz w:val="15"/>
                <w:szCs w:val="15"/>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750.9</w:t>
            </w:r>
          </w:p>
        </w:tc>
        <w:tc>
          <w:tcPr>
            <w:tcW w:w="120" w:type="dxa"/>
            <w:vAlign w:val="bottom"/>
            <w:shd w:val="clear" w:color="auto" w:fill="DCE2EF"/>
          </w:tcPr>
          <w:p>
            <w:pPr>
              <w:spacing w:after="0"/>
              <w:rPr>
                <w:sz w:val="15"/>
                <w:szCs w:val="15"/>
                <w:color w:val="auto"/>
              </w:rPr>
            </w:pPr>
          </w:p>
        </w:tc>
        <w:tc>
          <w:tcPr>
            <w:tcW w:w="96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40" w:type="dxa"/>
            <w:vAlign w:val="bottom"/>
            <w:tcBorders>
              <w:bottom w:val="single" w:sz="8" w:color="auto"/>
            </w:tcBorders>
            <w:shd w:val="clear" w:color="auto" w:fill="DCE2EF"/>
          </w:tcPr>
          <w:p>
            <w:pPr>
              <w:spacing w:after="0"/>
              <w:rPr>
                <w:sz w:val="15"/>
                <w:szCs w:val="15"/>
                <w:color w:val="auto"/>
              </w:rPr>
            </w:pPr>
          </w:p>
        </w:tc>
        <w:tc>
          <w:tcPr>
            <w:tcW w:w="820" w:type="dxa"/>
            <w:vAlign w:val="bottom"/>
            <w:tcBorders>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724.1</w:t>
            </w:r>
          </w:p>
        </w:tc>
        <w:tc>
          <w:tcPr>
            <w:tcW w:w="100" w:type="dxa"/>
            <w:vAlign w:val="bottom"/>
            <w:shd w:val="clear" w:color="auto" w:fill="DCE2EF"/>
          </w:tcPr>
          <w:p>
            <w:pPr>
              <w:spacing w:after="0"/>
              <w:rPr>
                <w:sz w:val="15"/>
                <w:szCs w:val="15"/>
                <w:color w:val="auto"/>
              </w:rPr>
            </w:pPr>
          </w:p>
        </w:tc>
        <w:tc>
          <w:tcPr>
            <w:tcW w:w="9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60" w:type="dxa"/>
            <w:vAlign w:val="bottom"/>
            <w:tcBorders>
              <w:bottom w:val="single" w:sz="8" w:color="auto"/>
            </w:tcBorders>
            <w:shd w:val="clear" w:color="auto" w:fill="DCE2EF"/>
          </w:tcPr>
          <w:p>
            <w:pPr>
              <w:spacing w:after="0"/>
              <w:rPr>
                <w:sz w:val="15"/>
                <w:szCs w:val="15"/>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708.9</w:t>
            </w:r>
          </w:p>
        </w:tc>
        <w:tc>
          <w:tcPr>
            <w:tcW w:w="0" w:type="dxa"/>
            <w:vAlign w:val="bottom"/>
          </w:tcPr>
          <w:p>
            <w:pPr>
              <w:spacing w:after="0"/>
              <w:rPr>
                <w:sz w:val="1"/>
                <w:szCs w:val="1"/>
                <w:color w:val="auto"/>
              </w:rPr>
            </w:pPr>
          </w:p>
        </w:tc>
      </w:tr>
      <w:tr>
        <w:trPr>
          <w:trHeight w:val="169"/>
        </w:trPr>
        <w:tc>
          <w:tcPr>
            <w:tcW w:w="48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 Comprehensive Loss, Net of Taxes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48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beginning of year</w:t>
            </w:r>
          </w:p>
        </w:tc>
        <w:tc>
          <w:tcPr>
            <w:tcW w:w="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(30.8)</w:t>
            </w:r>
          </w:p>
        </w:tc>
        <w:tc>
          <w:tcPr>
            <w:tcW w:w="120" w:type="dxa"/>
            <w:vAlign w:val="bottom"/>
            <w:shd w:val="clear" w:color="auto" w:fill="DCE2EF"/>
          </w:tcPr>
          <w:p>
            <w:pPr>
              <w:spacing w:after="0"/>
              <w:rPr>
                <w:sz w:val="16"/>
                <w:szCs w:val="16"/>
                <w:color w:val="auto"/>
              </w:rPr>
            </w:pP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9"/>
        </w:trPr>
        <w:tc>
          <w:tcPr>
            <w:tcW w:w="20" w:type="dxa"/>
            <w:vAlign w:val="bottom"/>
            <w:tcBorders>
              <w:bottom w:val="single" w:sz="8" w:color="DCE2EF"/>
            </w:tcBorders>
          </w:tcPr>
          <w:p>
            <w:pPr>
              <w:spacing w:after="0"/>
              <w:rPr>
                <w:sz w:val="16"/>
                <w:szCs w:val="16"/>
                <w:color w:val="auto"/>
              </w:rPr>
            </w:pPr>
          </w:p>
        </w:tc>
        <w:tc>
          <w:tcPr>
            <w:tcW w:w="4820" w:type="dxa"/>
            <w:vAlign w:val="bottom"/>
            <w:tcBorders>
              <w:bottom w:val="single" w:sz="8" w:color="DCE2EF"/>
            </w:tcBorders>
            <w:gridSpan w:val="2"/>
          </w:tcPr>
          <w:p>
            <w:pPr>
              <w:ind w:left="120"/>
              <w:spacing w:after="0"/>
              <w:rPr>
                <w:sz w:val="20"/>
                <w:szCs w:val="20"/>
                <w:color w:val="auto"/>
              </w:rPr>
            </w:pPr>
            <w:r>
              <w:rPr>
                <w:rFonts w:ascii="Arial" w:cs="Arial" w:eastAsia="Arial" w:hAnsi="Arial"/>
                <w:sz w:val="14"/>
                <w:szCs w:val="14"/>
                <w:color w:val="auto"/>
              </w:rPr>
              <w:t>Other comprehensive income (loss)</w:t>
            </w:r>
          </w:p>
        </w:tc>
        <w:tc>
          <w:tcPr>
            <w:tcW w:w="980" w:type="dxa"/>
            <w:vAlign w:val="bottom"/>
            <w:tcBorders>
              <w:bottom w:val="single" w:sz="8" w:color="DCE2EF"/>
            </w:tcBorders>
          </w:tcPr>
          <w:p>
            <w:pPr>
              <w:spacing w:after="0"/>
              <w:rPr>
                <w:sz w:val="16"/>
                <w:szCs w:val="16"/>
                <w:color w:val="auto"/>
              </w:rPr>
            </w:pPr>
          </w:p>
        </w:tc>
        <w:tc>
          <w:tcPr>
            <w:tcW w:w="10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20" w:type="dxa"/>
            <w:vAlign w:val="bottom"/>
            <w:tcBorders>
              <w:bottom w:val="single" w:sz="8" w:color="DCE2EF"/>
            </w:tcBorders>
          </w:tcPr>
          <w:p>
            <w:pPr>
              <w:spacing w:after="0"/>
              <w:rPr>
                <w:sz w:val="16"/>
                <w:szCs w:val="16"/>
                <w:color w:val="auto"/>
              </w:rPr>
            </w:pPr>
          </w:p>
        </w:tc>
        <w:tc>
          <w:tcPr>
            <w:tcW w:w="96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DCE2EF"/>
            </w:tcBorders>
          </w:tcPr>
          <w:p>
            <w:pPr>
              <w:spacing w:after="0"/>
              <w:rPr>
                <w:sz w:val="16"/>
                <w:szCs w:val="16"/>
                <w:color w:val="auto"/>
              </w:rPr>
            </w:pPr>
          </w:p>
        </w:tc>
        <w:tc>
          <w:tcPr>
            <w:tcW w:w="10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83"/>
        </w:trPr>
        <w:tc>
          <w:tcPr>
            <w:tcW w:w="20" w:type="dxa"/>
            <w:vAlign w:val="bottom"/>
            <w:shd w:val="clear" w:color="auto" w:fill="DCE2EF"/>
          </w:tcPr>
          <w:p>
            <w:pPr>
              <w:spacing w:after="0"/>
              <w:rPr>
                <w:sz w:val="15"/>
                <w:szCs w:val="15"/>
                <w:color w:val="auto"/>
              </w:rPr>
            </w:pPr>
          </w:p>
        </w:tc>
        <w:tc>
          <w:tcPr>
            <w:tcW w:w="48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end of year</w:t>
            </w:r>
          </w:p>
        </w:tc>
        <w:tc>
          <w:tcPr>
            <w:tcW w:w="9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60" w:type="dxa"/>
            <w:vAlign w:val="bottom"/>
            <w:tcBorders>
              <w:bottom w:val="single" w:sz="8" w:color="auto"/>
            </w:tcBorders>
            <w:shd w:val="clear" w:color="auto" w:fill="DCE2EF"/>
          </w:tcPr>
          <w:p>
            <w:pPr>
              <w:spacing w:after="0"/>
              <w:rPr>
                <w:sz w:val="15"/>
                <w:szCs w:val="15"/>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DCE2EF"/>
          </w:tcPr>
          <w:p>
            <w:pPr>
              <w:spacing w:after="0"/>
              <w:rPr>
                <w:sz w:val="15"/>
                <w:szCs w:val="15"/>
                <w:color w:val="auto"/>
              </w:rPr>
            </w:pPr>
          </w:p>
        </w:tc>
        <w:tc>
          <w:tcPr>
            <w:tcW w:w="96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40" w:type="dxa"/>
            <w:vAlign w:val="bottom"/>
            <w:tcBorders>
              <w:bottom w:val="single" w:sz="8" w:color="auto"/>
            </w:tcBorders>
            <w:shd w:val="clear" w:color="auto" w:fill="DCE2EF"/>
          </w:tcPr>
          <w:p>
            <w:pPr>
              <w:spacing w:after="0"/>
              <w:rPr>
                <w:sz w:val="15"/>
                <w:szCs w:val="15"/>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DCE2EF"/>
          </w:tcPr>
          <w:p>
            <w:pPr>
              <w:spacing w:after="0"/>
              <w:rPr>
                <w:sz w:val="15"/>
                <w:szCs w:val="15"/>
                <w:color w:val="auto"/>
              </w:rPr>
            </w:pPr>
          </w:p>
        </w:tc>
        <w:tc>
          <w:tcPr>
            <w:tcW w:w="9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60" w:type="dxa"/>
            <w:vAlign w:val="bottom"/>
            <w:tcBorders>
              <w:bottom w:val="single" w:sz="8" w:color="auto"/>
            </w:tcBorders>
            <w:shd w:val="clear" w:color="auto" w:fill="DCE2EF"/>
          </w:tcPr>
          <w:p>
            <w:pPr>
              <w:spacing w:after="0"/>
              <w:rPr>
                <w:sz w:val="15"/>
                <w:szCs w:val="15"/>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69"/>
        </w:trPr>
        <w:tc>
          <w:tcPr>
            <w:tcW w:w="4840" w:type="dxa"/>
            <w:vAlign w:val="bottom"/>
            <w:gridSpan w:val="3"/>
          </w:tcPr>
          <w:p>
            <w:pPr>
              <w:ind w:left="20"/>
              <w:spacing w:after="0"/>
              <w:rPr>
                <w:sz w:val="20"/>
                <w:szCs w:val="20"/>
                <w:color w:val="auto"/>
              </w:rPr>
            </w:pPr>
            <w:r>
              <w:rPr>
                <w:rFonts w:ascii="Arial" w:cs="Arial" w:eastAsia="Arial" w:hAnsi="Arial"/>
                <w:sz w:val="14"/>
                <w:szCs w:val="14"/>
                <w:b w:val="1"/>
                <w:bCs w:val="1"/>
                <w:color w:val="auto"/>
              </w:rPr>
              <w:t>Retained Earnings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48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beginning of year</w:t>
            </w:r>
          </w:p>
        </w:tc>
        <w:tc>
          <w:tcPr>
            <w:tcW w:w="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806.4</w:t>
            </w:r>
          </w:p>
        </w:tc>
        <w:tc>
          <w:tcPr>
            <w:tcW w:w="120" w:type="dxa"/>
            <w:vAlign w:val="bottom"/>
            <w:shd w:val="clear" w:color="auto" w:fill="DCE2EF"/>
          </w:tcPr>
          <w:p>
            <w:pPr>
              <w:spacing w:after="0"/>
              <w:rPr>
                <w:sz w:val="16"/>
                <w:szCs w:val="16"/>
                <w:color w:val="auto"/>
              </w:rPr>
            </w:pP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856.3</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771.2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gridSpan w:val="2"/>
          </w:tcPr>
          <w:p>
            <w:pPr>
              <w:ind w:left="120"/>
              <w:spacing w:after="0"/>
              <w:rPr>
                <w:sz w:val="20"/>
                <w:szCs w:val="20"/>
                <w:color w:val="auto"/>
              </w:rPr>
            </w:pPr>
            <w:r>
              <w:rPr>
                <w:rFonts w:ascii="Arial" w:cs="Arial" w:eastAsia="Arial" w:hAnsi="Arial"/>
                <w:sz w:val="14"/>
                <w:szCs w:val="14"/>
                <w:color w:val="auto"/>
              </w:rPr>
              <w:t>Net income</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126.3</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127.4</w:t>
            </w: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48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Dividends</w:t>
            </w:r>
          </w:p>
        </w:tc>
        <w:tc>
          <w:tcPr>
            <w:tcW w:w="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gridSpan w:val="2"/>
          </w:tcPr>
          <w:p>
            <w:pPr>
              <w:ind w:left="200"/>
              <w:spacing w:after="0"/>
              <w:rPr>
                <w:sz w:val="20"/>
                <w:szCs w:val="20"/>
                <w:color w:val="auto"/>
              </w:rPr>
            </w:pPr>
            <w:r>
              <w:rPr>
                <w:rFonts w:ascii="Arial" w:cs="Arial" w:eastAsia="Arial" w:hAnsi="Arial"/>
                <w:sz w:val="14"/>
                <w:szCs w:val="14"/>
                <w:color w:val="auto"/>
              </w:rPr>
              <w:t>Common stock ($0.760, $0.740, and $0.720 per share)</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(51.0)</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4820" w:type="dxa"/>
            <w:vAlign w:val="bottom"/>
            <w:gridSpan w:val="2"/>
            <w:shd w:val="clear" w:color="auto" w:fill="DCE2EF"/>
          </w:tcPr>
          <w:p>
            <w:pPr>
              <w:ind w:left="200"/>
              <w:spacing w:after="0"/>
              <w:rPr>
                <w:sz w:val="20"/>
                <w:szCs w:val="20"/>
                <w:color w:val="auto"/>
              </w:rPr>
            </w:pPr>
            <w:r>
              <w:rPr>
                <w:rFonts w:ascii="Arial" w:cs="Arial" w:eastAsia="Arial" w:hAnsi="Arial"/>
                <w:sz w:val="14"/>
                <w:szCs w:val="14"/>
                <w:color w:val="auto"/>
              </w:rPr>
              <w:t>Stock issued under share-based compensation plans</w:t>
            </w:r>
          </w:p>
        </w:tc>
        <w:tc>
          <w:tcPr>
            <w:tcW w:w="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DCE2EF"/>
          </w:tcPr>
          <w:p>
            <w:pPr>
              <w:spacing w:after="0"/>
              <w:rPr>
                <w:sz w:val="16"/>
                <w:szCs w:val="16"/>
                <w:color w:val="auto"/>
              </w:rPr>
            </w:pP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20" w:type="dxa"/>
            <w:vAlign w:val="bottom"/>
            <w:tcBorders>
              <w:bottom w:val="single" w:sz="8" w:color="DCE2EF"/>
            </w:tcBorders>
          </w:tcPr>
          <w:p>
            <w:pPr>
              <w:spacing w:after="0"/>
              <w:rPr>
                <w:sz w:val="16"/>
                <w:szCs w:val="16"/>
                <w:color w:val="auto"/>
              </w:rPr>
            </w:pPr>
          </w:p>
        </w:tc>
        <w:tc>
          <w:tcPr>
            <w:tcW w:w="4820" w:type="dxa"/>
            <w:vAlign w:val="bottom"/>
            <w:tcBorders>
              <w:bottom w:val="single" w:sz="8" w:color="DCE2EF"/>
            </w:tcBorders>
            <w:gridSpan w:val="2"/>
          </w:tcPr>
          <w:p>
            <w:pPr>
              <w:ind w:left="200"/>
              <w:spacing w:after="0"/>
              <w:rPr>
                <w:sz w:val="20"/>
                <w:szCs w:val="20"/>
                <w:color w:val="auto"/>
              </w:rPr>
            </w:pPr>
            <w:r>
              <w:rPr>
                <w:rFonts w:ascii="Arial" w:cs="Arial" w:eastAsia="Arial" w:hAnsi="Arial"/>
                <w:sz w:val="14"/>
                <w:szCs w:val="14"/>
                <w:color w:val="auto"/>
              </w:rPr>
              <w:t>Cumulative effect adjustment for adoption of ASU 2014-09</w:t>
            </w:r>
          </w:p>
        </w:tc>
        <w:tc>
          <w:tcPr>
            <w:tcW w:w="980" w:type="dxa"/>
            <w:vAlign w:val="bottom"/>
            <w:tcBorders>
              <w:bottom w:val="single" w:sz="8" w:color="DCE2EF"/>
            </w:tcBorders>
          </w:tcPr>
          <w:p>
            <w:pPr>
              <w:spacing w:after="0"/>
              <w:rPr>
                <w:sz w:val="16"/>
                <w:szCs w:val="16"/>
                <w:color w:val="auto"/>
              </w:rPr>
            </w:pPr>
          </w:p>
        </w:tc>
        <w:tc>
          <w:tcPr>
            <w:tcW w:w="10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CE2EF"/>
            </w:tcBorders>
          </w:tcPr>
          <w:p>
            <w:pPr>
              <w:spacing w:after="0"/>
              <w:rPr>
                <w:sz w:val="16"/>
                <w:szCs w:val="16"/>
                <w:color w:val="auto"/>
              </w:rPr>
            </w:pPr>
          </w:p>
        </w:tc>
        <w:tc>
          <w:tcPr>
            <w:tcW w:w="96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DCE2EF"/>
            </w:tcBorders>
          </w:tcPr>
          <w:p>
            <w:pPr>
              <w:spacing w:after="0"/>
              <w:rPr>
                <w:sz w:val="16"/>
                <w:szCs w:val="16"/>
                <w:color w:val="auto"/>
              </w:rPr>
            </w:pPr>
          </w:p>
        </w:tc>
        <w:tc>
          <w:tcPr>
            <w:tcW w:w="10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3"/>
        </w:trPr>
        <w:tc>
          <w:tcPr>
            <w:tcW w:w="20" w:type="dxa"/>
            <w:vAlign w:val="bottom"/>
            <w:shd w:val="clear" w:color="auto" w:fill="DCE2EF"/>
          </w:tcPr>
          <w:p>
            <w:pPr>
              <w:spacing w:after="0"/>
              <w:rPr>
                <w:sz w:val="15"/>
                <w:szCs w:val="15"/>
                <w:color w:val="auto"/>
              </w:rPr>
            </w:pPr>
          </w:p>
        </w:tc>
        <w:tc>
          <w:tcPr>
            <w:tcW w:w="48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end of year</w:t>
            </w:r>
          </w:p>
        </w:tc>
        <w:tc>
          <w:tcPr>
            <w:tcW w:w="9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60" w:type="dxa"/>
            <w:vAlign w:val="bottom"/>
            <w:tcBorders>
              <w:bottom w:val="single" w:sz="8" w:color="auto"/>
            </w:tcBorders>
            <w:shd w:val="clear" w:color="auto" w:fill="DCE2EF"/>
          </w:tcPr>
          <w:p>
            <w:pPr>
              <w:spacing w:after="0"/>
              <w:rPr>
                <w:sz w:val="15"/>
                <w:szCs w:val="15"/>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880.2</w:t>
            </w:r>
          </w:p>
        </w:tc>
        <w:tc>
          <w:tcPr>
            <w:tcW w:w="120" w:type="dxa"/>
            <w:vAlign w:val="bottom"/>
            <w:shd w:val="clear" w:color="auto" w:fill="DCE2EF"/>
          </w:tcPr>
          <w:p>
            <w:pPr>
              <w:spacing w:after="0"/>
              <w:rPr>
                <w:sz w:val="15"/>
                <w:szCs w:val="15"/>
                <w:color w:val="auto"/>
              </w:rPr>
            </w:pPr>
          </w:p>
        </w:tc>
        <w:tc>
          <w:tcPr>
            <w:tcW w:w="96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40" w:type="dxa"/>
            <w:vAlign w:val="bottom"/>
            <w:tcBorders>
              <w:bottom w:val="single" w:sz="8" w:color="auto"/>
            </w:tcBorders>
            <w:shd w:val="clear" w:color="auto" w:fill="DCE2EF"/>
          </w:tcPr>
          <w:p>
            <w:pPr>
              <w:spacing w:after="0"/>
              <w:rPr>
                <w:sz w:val="15"/>
                <w:szCs w:val="15"/>
                <w:color w:val="auto"/>
              </w:rPr>
            </w:pPr>
          </w:p>
        </w:tc>
        <w:tc>
          <w:tcPr>
            <w:tcW w:w="820" w:type="dxa"/>
            <w:vAlign w:val="bottom"/>
            <w:tcBorders>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806.4</w:t>
            </w:r>
          </w:p>
        </w:tc>
        <w:tc>
          <w:tcPr>
            <w:tcW w:w="100" w:type="dxa"/>
            <w:vAlign w:val="bottom"/>
            <w:shd w:val="clear" w:color="auto" w:fill="DCE2EF"/>
          </w:tcPr>
          <w:p>
            <w:pPr>
              <w:spacing w:after="0"/>
              <w:rPr>
                <w:sz w:val="15"/>
                <w:szCs w:val="15"/>
                <w:color w:val="auto"/>
              </w:rPr>
            </w:pPr>
          </w:p>
        </w:tc>
        <w:tc>
          <w:tcPr>
            <w:tcW w:w="9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60" w:type="dxa"/>
            <w:vAlign w:val="bottom"/>
            <w:tcBorders>
              <w:bottom w:val="single" w:sz="8" w:color="auto"/>
            </w:tcBorders>
            <w:shd w:val="clear" w:color="auto" w:fill="DCE2EF"/>
          </w:tcPr>
          <w:p>
            <w:pPr>
              <w:spacing w:after="0"/>
              <w:rPr>
                <w:sz w:val="15"/>
                <w:szCs w:val="15"/>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856.3</w:t>
            </w:r>
          </w:p>
        </w:tc>
        <w:tc>
          <w:tcPr>
            <w:tcW w:w="0" w:type="dxa"/>
            <w:vAlign w:val="bottom"/>
          </w:tcPr>
          <w:p>
            <w:pPr>
              <w:spacing w:after="0"/>
              <w:rPr>
                <w:sz w:val="1"/>
                <w:szCs w:val="1"/>
                <w:color w:val="auto"/>
              </w:rPr>
            </w:pPr>
          </w:p>
        </w:tc>
      </w:tr>
      <w:tr>
        <w:trPr>
          <w:trHeight w:val="183"/>
        </w:trPr>
        <w:tc>
          <w:tcPr>
            <w:tcW w:w="48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Stockholders’ Equity</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1,609.2</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1,500.3</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35" w:right="35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CONSOLIDATED STATEMENTS OF CASH FLOWS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Years Ended October 31,</w:t>
            </w:r>
          </w:p>
        </w:tc>
        <w:tc>
          <w:tcPr>
            <w:tcW w:w="1000" w:type="dxa"/>
            <w:vAlign w:val="bottom"/>
            <w:tcBorders>
              <w:bottom w:val="single" w:sz="8" w:color="auto"/>
            </w:tcBorders>
          </w:tcPr>
          <w:p>
            <w:pPr>
              <w:spacing w:after="0"/>
              <w:rPr>
                <w:sz w:val="16"/>
                <w:szCs w:val="16"/>
                <w:color w:val="auto"/>
              </w:rPr>
            </w:pPr>
          </w:p>
        </w:tc>
      </w:tr>
      <w:tr>
        <w:trPr>
          <w:trHeight w:val="142"/>
        </w:trPr>
        <w:tc>
          <w:tcPr>
            <w:tcW w:w="7060" w:type="dxa"/>
            <w:vAlign w:val="bottom"/>
            <w:gridSpan w:val="3"/>
          </w:tcPr>
          <w:p>
            <w:pPr>
              <w:ind w:left="20"/>
              <w:spacing w:after="0" w:line="129" w:lineRule="exact"/>
              <w:rPr>
                <w:sz w:val="20"/>
                <w:szCs w:val="20"/>
                <w:color w:val="auto"/>
              </w:rPr>
            </w:pPr>
            <w:r>
              <w:rPr>
                <w:rFonts w:ascii="Arial" w:cs="Arial" w:eastAsia="Arial" w:hAnsi="Arial"/>
                <w:sz w:val="13"/>
                <w:szCs w:val="13"/>
                <w:i w:val="1"/>
                <w:iCs w:val="1"/>
                <w:color w:val="auto"/>
              </w:rPr>
              <w:t>(in millions)</w:t>
            </w:r>
          </w:p>
        </w:tc>
        <w:tc>
          <w:tcPr>
            <w:tcW w:w="300" w:type="dxa"/>
            <w:vAlign w:val="bottom"/>
          </w:tcPr>
          <w:p>
            <w:pPr>
              <w:spacing w:after="0"/>
              <w:rPr>
                <w:sz w:val="12"/>
                <w:szCs w:val="12"/>
                <w:color w:val="auto"/>
              </w:rPr>
            </w:pPr>
          </w:p>
        </w:tc>
        <w:tc>
          <w:tcPr>
            <w:tcW w:w="1020" w:type="dxa"/>
            <w:vAlign w:val="bottom"/>
          </w:tcPr>
          <w:p>
            <w:pPr>
              <w:jc w:val="right"/>
              <w:ind w:right="428"/>
              <w:spacing w:after="0" w:line="12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08"/>
              <w:spacing w:after="0" w:line="129"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08"/>
              <w:spacing w:after="0" w:line="129" w:lineRule="exact"/>
              <w:rPr>
                <w:sz w:val="20"/>
                <w:szCs w:val="20"/>
                <w:color w:val="auto"/>
              </w:rPr>
            </w:pPr>
            <w:r>
              <w:rPr>
                <w:rFonts w:ascii="Arial" w:cs="Arial" w:eastAsia="Arial" w:hAnsi="Arial"/>
                <w:sz w:val="14"/>
                <w:szCs w:val="14"/>
                <w:b w:val="1"/>
                <w:bCs w:val="1"/>
                <w:color w:val="auto"/>
              </w:rPr>
              <w:t>2019</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DCE2EF"/>
          </w:tcPr>
          <w:p>
            <w:pPr>
              <w:spacing w:after="0"/>
              <w:rPr>
                <w:sz w:val="14"/>
                <w:szCs w:val="14"/>
                <w:color w:val="auto"/>
              </w:rPr>
            </w:pPr>
          </w:p>
        </w:tc>
        <w:tc>
          <w:tcPr>
            <w:tcW w:w="10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100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1000" w:type="dxa"/>
            <w:vAlign w:val="bottom"/>
            <w:shd w:val="clear" w:color="auto" w:fill="DCE2EF"/>
          </w:tcPr>
          <w:p>
            <w:pPr>
              <w:spacing w:after="0"/>
              <w:rPr>
                <w:sz w:val="14"/>
                <w:szCs w:val="14"/>
                <w:color w:val="auto"/>
              </w:rPr>
            </w:pP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126.3</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127.4</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(Income) loss from discontinued operations, net of taxes</w:t>
            </w:r>
          </w:p>
        </w:tc>
        <w:tc>
          <w:tcPr>
            <w:tcW w:w="300" w:type="dxa"/>
            <w:vAlign w:val="bottom"/>
            <w:shd w:val="clear" w:color="auto" w:fill="DCE2EF"/>
          </w:tcPr>
          <w:p>
            <w:pPr>
              <w:spacing w:after="0"/>
              <w:rPr>
                <w:sz w:val="16"/>
                <w:szCs w:val="16"/>
                <w:color w:val="auto"/>
              </w:rPr>
            </w:pPr>
          </w:p>
        </w:tc>
        <w:tc>
          <w:tcPr>
            <w:tcW w:w="1120" w:type="dxa"/>
            <w:vAlign w:val="bottom"/>
            <w:gridSpan w:val="2"/>
            <w:shd w:val="clear" w:color="auto" w:fill="DCE2E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0.1</w:t>
            </w:r>
          </w:p>
        </w:tc>
      </w:tr>
      <w:tr>
        <w:trPr>
          <w:trHeight w:val="183"/>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Income from continuing operations</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126.3</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127.5</w:t>
            </w:r>
          </w:p>
        </w:tc>
      </w:tr>
      <w:tr>
        <w:trPr>
          <w:trHeight w:val="148"/>
        </w:trPr>
        <w:tc>
          <w:tcPr>
            <w:tcW w:w="7060" w:type="dxa"/>
            <w:vAlign w:val="bottom"/>
            <w:gridSpan w:val="3"/>
            <w:shd w:val="clear" w:color="auto" w:fill="DCE2EF"/>
          </w:tcPr>
          <w:p>
            <w:pPr>
              <w:ind w:left="20"/>
              <w:spacing w:after="0" w:line="149" w:lineRule="exact"/>
              <w:rPr>
                <w:sz w:val="20"/>
                <w:szCs w:val="20"/>
                <w:color w:val="auto"/>
              </w:rPr>
            </w:pPr>
            <w:r>
              <w:rPr>
                <w:rFonts w:ascii="Arial" w:cs="Arial" w:eastAsia="Arial" w:hAnsi="Arial"/>
                <w:sz w:val="14"/>
                <w:szCs w:val="14"/>
                <w:b w:val="1"/>
                <w:bCs w:val="1"/>
                <w:color w:val="auto"/>
              </w:rPr>
              <w:t>Adjustments to reconcile income from continuing operations to net cash provided by</w:t>
            </w:r>
          </w:p>
        </w:tc>
        <w:tc>
          <w:tcPr>
            <w:tcW w:w="300" w:type="dxa"/>
            <w:vAlign w:val="bottom"/>
            <w:shd w:val="clear" w:color="auto" w:fill="DCE2EF"/>
          </w:tcPr>
          <w:p>
            <w:pPr>
              <w:spacing w:after="0"/>
              <w:rPr>
                <w:sz w:val="12"/>
                <w:szCs w:val="12"/>
                <w:color w:val="auto"/>
              </w:rPr>
            </w:pPr>
          </w:p>
        </w:tc>
        <w:tc>
          <w:tcPr>
            <w:tcW w:w="102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300" w:type="dxa"/>
            <w:vAlign w:val="bottom"/>
            <w:shd w:val="clear" w:color="auto" w:fill="DCE2EF"/>
          </w:tcPr>
          <w:p>
            <w:pPr>
              <w:spacing w:after="0"/>
              <w:rPr>
                <w:sz w:val="12"/>
                <w:szCs w:val="12"/>
                <w:color w:val="auto"/>
              </w:rPr>
            </w:pPr>
          </w:p>
        </w:tc>
        <w:tc>
          <w:tcPr>
            <w:tcW w:w="1000" w:type="dxa"/>
            <w:vAlign w:val="bottom"/>
            <w:shd w:val="clear" w:color="auto" w:fill="DCE2EF"/>
          </w:tcPr>
          <w:p>
            <w:pPr>
              <w:spacing w:after="0"/>
              <w:rPr>
                <w:sz w:val="12"/>
                <w:szCs w:val="12"/>
                <w:color w:val="auto"/>
              </w:rPr>
            </w:pPr>
          </w:p>
        </w:tc>
        <w:tc>
          <w:tcPr>
            <w:tcW w:w="120" w:type="dxa"/>
            <w:vAlign w:val="bottom"/>
            <w:shd w:val="clear" w:color="auto" w:fill="DCE2EF"/>
          </w:tcPr>
          <w:p>
            <w:pPr>
              <w:spacing w:after="0"/>
              <w:rPr>
                <w:sz w:val="12"/>
                <w:szCs w:val="12"/>
                <w:color w:val="auto"/>
              </w:rPr>
            </w:pPr>
          </w:p>
        </w:tc>
        <w:tc>
          <w:tcPr>
            <w:tcW w:w="300" w:type="dxa"/>
            <w:vAlign w:val="bottom"/>
            <w:shd w:val="clear" w:color="auto" w:fill="DCE2EF"/>
          </w:tcPr>
          <w:p>
            <w:pPr>
              <w:spacing w:after="0"/>
              <w:rPr>
                <w:sz w:val="12"/>
                <w:szCs w:val="12"/>
                <w:color w:val="auto"/>
              </w:rPr>
            </w:pPr>
          </w:p>
        </w:tc>
        <w:tc>
          <w:tcPr>
            <w:tcW w:w="1000" w:type="dxa"/>
            <w:vAlign w:val="bottom"/>
            <w:shd w:val="clear" w:color="auto" w:fill="DCE2EF"/>
          </w:tcPr>
          <w:p>
            <w:pPr>
              <w:spacing w:after="0"/>
              <w:rPr>
                <w:sz w:val="12"/>
                <w:szCs w:val="12"/>
                <w:color w:val="auto"/>
              </w:rPr>
            </w:pPr>
          </w:p>
        </w:tc>
      </w:tr>
      <w:tr>
        <w:trPr>
          <w:trHeight w:val="176"/>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b w:val="1"/>
                <w:bCs w:val="1"/>
                <w:color w:val="auto"/>
              </w:rPr>
              <w:t>operating activities of continuing operations</w:t>
            </w:r>
          </w:p>
        </w:tc>
        <w:tc>
          <w:tcPr>
            <w:tcW w:w="30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00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000" w:type="dxa"/>
            <w:vAlign w:val="bottom"/>
            <w:shd w:val="clear" w:color="auto" w:fill="DCE2EF"/>
          </w:tcPr>
          <w:p>
            <w:pPr>
              <w:spacing w:after="0"/>
              <w:rPr>
                <w:sz w:val="15"/>
                <w:szCs w:val="15"/>
                <w:color w:val="auto"/>
              </w:rPr>
            </w:pP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89.9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96.4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107.4</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Impairment loss on goodwill and other intangibles</w:t>
            </w:r>
          </w:p>
        </w:tc>
        <w:tc>
          <w:tcPr>
            <w:tcW w:w="300" w:type="dxa"/>
            <w:vAlign w:val="bottom"/>
            <w:shd w:val="clear" w:color="auto" w:fill="DCE2EF"/>
          </w:tcPr>
          <w:p>
            <w:pPr>
              <w:spacing w:after="0"/>
              <w:rPr>
                <w:sz w:val="16"/>
                <w:szCs w:val="16"/>
                <w:color w:val="auto"/>
              </w:rPr>
            </w:pPr>
          </w:p>
        </w:tc>
        <w:tc>
          <w:tcPr>
            <w:tcW w:w="1120" w:type="dxa"/>
            <w:vAlign w:val="bottom"/>
            <w:gridSpan w:val="2"/>
            <w:shd w:val="clear" w:color="auto" w:fill="DCE2E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172.8</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Impairment loss on fixed assets</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(48.0)</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9.7</w:t>
            </w: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Share-based compensation expense</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17.5</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Provision for bad debt</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6.7</w:t>
            </w: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Amortization of accumulated other comprehensive gain on interest rate swaps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Discount accretion on insurance claims</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0.8</w:t>
            </w: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Loss (gain) on sale of assets</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Reserves on other assets</w:t>
            </w:r>
          </w:p>
        </w:tc>
        <w:tc>
          <w:tcPr>
            <w:tcW w:w="300" w:type="dxa"/>
            <w:vAlign w:val="bottom"/>
            <w:shd w:val="clear" w:color="auto" w:fill="DCE2EF"/>
          </w:tcPr>
          <w:p>
            <w:pPr>
              <w:spacing w:after="0"/>
              <w:rPr>
                <w:sz w:val="16"/>
                <w:szCs w:val="16"/>
                <w:color w:val="auto"/>
              </w:rPr>
            </w:pPr>
          </w:p>
        </w:tc>
        <w:tc>
          <w:tcPr>
            <w:tcW w:w="1120" w:type="dxa"/>
            <w:vAlign w:val="bottom"/>
            <w:gridSpan w:val="2"/>
            <w:shd w:val="clear" w:color="auto" w:fill="DCE2E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Income from unconsolidated affiliates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Distributions from unconsolidated affiliates</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5.4</w:t>
            </w: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Changes in operating assets and liabilities, net of effects of acquisitions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20" w:type="dxa"/>
            <w:vAlign w:val="bottom"/>
            <w:shd w:val="clear" w:color="auto" w:fill="DCE2EF"/>
          </w:tcPr>
          <w:p>
            <w:pPr>
              <w:spacing w:after="0"/>
              <w:rPr>
                <w:sz w:val="16"/>
                <w:szCs w:val="16"/>
                <w:color w:val="auto"/>
              </w:rPr>
            </w:pPr>
          </w:p>
        </w:tc>
        <w:tc>
          <w:tcPr>
            <w:tcW w:w="7040" w:type="dxa"/>
            <w:vAlign w:val="bottom"/>
            <w:gridSpan w:val="2"/>
            <w:shd w:val="clear" w:color="auto" w:fill="DCE2EF"/>
          </w:tcPr>
          <w:p>
            <w:pPr>
              <w:ind w:left="320"/>
              <w:spacing w:after="0"/>
              <w:rPr>
                <w:sz w:val="20"/>
                <w:szCs w:val="20"/>
                <w:color w:val="auto"/>
              </w:rPr>
            </w:pPr>
            <w:r>
              <w:rPr>
                <w:rFonts w:ascii="Arial" w:cs="Arial" w:eastAsia="Arial" w:hAnsi="Arial"/>
                <w:sz w:val="14"/>
                <w:szCs w:val="14"/>
                <w:color w:val="auto"/>
              </w:rPr>
              <w:t>Trade accounts receivable and costs incurred in excess of amounts billed</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(124.5)</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141.4</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(78.3)</w:t>
            </w:r>
          </w:p>
        </w:tc>
      </w:tr>
      <w:tr>
        <w:trPr>
          <w:trHeight w:val="189"/>
        </w:trPr>
        <w:tc>
          <w:tcPr>
            <w:tcW w:w="20" w:type="dxa"/>
            <w:vAlign w:val="bottom"/>
          </w:tcPr>
          <w:p>
            <w:pPr>
              <w:spacing w:after="0"/>
              <w:rPr>
                <w:sz w:val="16"/>
                <w:szCs w:val="16"/>
                <w:color w:val="auto"/>
              </w:rPr>
            </w:pPr>
          </w:p>
        </w:tc>
        <w:tc>
          <w:tcPr>
            <w:tcW w:w="7040" w:type="dxa"/>
            <w:vAlign w:val="bottom"/>
            <w:gridSpan w:val="2"/>
          </w:tcPr>
          <w:p>
            <w:pPr>
              <w:ind w:left="32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189"/>
        </w:trPr>
        <w:tc>
          <w:tcPr>
            <w:tcW w:w="20" w:type="dxa"/>
            <w:vAlign w:val="bottom"/>
            <w:shd w:val="clear" w:color="auto" w:fill="DCE2EF"/>
          </w:tcPr>
          <w:p>
            <w:pPr>
              <w:spacing w:after="0"/>
              <w:rPr>
                <w:sz w:val="16"/>
                <w:szCs w:val="16"/>
                <w:color w:val="auto"/>
              </w:rPr>
            </w:pPr>
          </w:p>
        </w:tc>
        <w:tc>
          <w:tcPr>
            <w:tcW w:w="7040" w:type="dxa"/>
            <w:vAlign w:val="bottom"/>
            <w:gridSpan w:val="2"/>
            <w:shd w:val="clear" w:color="auto" w:fill="DCE2EF"/>
          </w:tcPr>
          <w:p>
            <w:pPr>
              <w:ind w:left="320"/>
              <w:spacing w:after="0"/>
              <w:rPr>
                <w:sz w:val="20"/>
                <w:szCs w:val="20"/>
                <w:color w:val="auto"/>
              </w:rPr>
            </w:pPr>
            <w:r>
              <w:rPr>
                <w:rFonts w:ascii="Arial" w:cs="Arial" w:eastAsia="Arial" w:hAnsi="Arial"/>
                <w:sz w:val="14"/>
                <w:szCs w:val="14"/>
                <w:color w:val="auto"/>
              </w:rPr>
              <w:t>Right-of-use assets</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tcPr>
          <w:p>
            <w:pPr>
              <w:spacing w:after="0"/>
              <w:rPr>
                <w:sz w:val="16"/>
                <w:szCs w:val="16"/>
                <w:color w:val="auto"/>
              </w:rPr>
            </w:pPr>
          </w:p>
        </w:tc>
        <w:tc>
          <w:tcPr>
            <w:tcW w:w="7040" w:type="dxa"/>
            <w:vAlign w:val="bottom"/>
            <w:gridSpan w:val="2"/>
          </w:tcPr>
          <w:p>
            <w:pPr>
              <w:ind w:left="320"/>
              <w:spacing w:after="0"/>
              <w:rPr>
                <w:sz w:val="20"/>
                <w:szCs w:val="20"/>
                <w:color w:val="auto"/>
              </w:rPr>
            </w:pPr>
            <w:r>
              <w:rPr>
                <w:rFonts w:ascii="Arial" w:cs="Arial" w:eastAsia="Arial" w:hAnsi="Arial"/>
                <w:sz w:val="14"/>
                <w:szCs w:val="14"/>
                <w:color w:val="auto"/>
              </w:rPr>
              <w:t>Other noncurrent assets</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89"/>
        </w:trPr>
        <w:tc>
          <w:tcPr>
            <w:tcW w:w="20" w:type="dxa"/>
            <w:vAlign w:val="bottom"/>
            <w:shd w:val="clear" w:color="auto" w:fill="DCE2EF"/>
          </w:tcPr>
          <w:p>
            <w:pPr>
              <w:spacing w:after="0"/>
              <w:rPr>
                <w:sz w:val="16"/>
                <w:szCs w:val="16"/>
                <w:color w:val="auto"/>
              </w:rPr>
            </w:pPr>
          </w:p>
        </w:tc>
        <w:tc>
          <w:tcPr>
            <w:tcW w:w="7040" w:type="dxa"/>
            <w:vAlign w:val="bottom"/>
            <w:gridSpan w:val="2"/>
            <w:shd w:val="clear" w:color="auto" w:fill="DCE2EF"/>
          </w:tcPr>
          <w:p>
            <w:pPr>
              <w:ind w:left="320"/>
              <w:spacing w:after="0"/>
              <w:rPr>
                <w:sz w:val="20"/>
                <w:szCs w:val="20"/>
                <w:color w:val="auto"/>
              </w:rPr>
            </w:pPr>
            <w:r>
              <w:rPr>
                <w:rFonts w:ascii="Arial" w:cs="Arial" w:eastAsia="Arial" w:hAnsi="Arial"/>
                <w:sz w:val="14"/>
                <w:szCs w:val="14"/>
                <w:color w:val="auto"/>
              </w:rPr>
              <w:t>Trade accounts payable and other accrued liabilities</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265.7</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(53.5)</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85.8</w:t>
            </w:r>
          </w:p>
        </w:tc>
      </w:tr>
      <w:tr>
        <w:trPr>
          <w:trHeight w:val="189"/>
        </w:trPr>
        <w:tc>
          <w:tcPr>
            <w:tcW w:w="20" w:type="dxa"/>
            <w:vAlign w:val="bottom"/>
          </w:tcPr>
          <w:p>
            <w:pPr>
              <w:spacing w:after="0"/>
              <w:rPr>
                <w:sz w:val="16"/>
                <w:szCs w:val="16"/>
                <w:color w:val="auto"/>
              </w:rPr>
            </w:pPr>
          </w:p>
        </w:tc>
        <w:tc>
          <w:tcPr>
            <w:tcW w:w="7040" w:type="dxa"/>
            <w:vAlign w:val="bottom"/>
            <w:gridSpan w:val="2"/>
          </w:tcPr>
          <w:p>
            <w:pPr>
              <w:ind w:left="320"/>
              <w:spacing w:after="0"/>
              <w:rPr>
                <w:sz w:val="20"/>
                <w:szCs w:val="20"/>
                <w:color w:val="auto"/>
              </w:rPr>
            </w:pPr>
            <w:r>
              <w:rPr>
                <w:rFonts w:ascii="Arial" w:cs="Arial" w:eastAsia="Arial" w:hAnsi="Arial"/>
                <w:sz w:val="14"/>
                <w:szCs w:val="14"/>
                <w:color w:val="auto"/>
              </w:rPr>
              <w:t>Long-term lease liabilities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shd w:val="clear" w:color="auto" w:fill="DCE2EF"/>
          </w:tcPr>
          <w:p>
            <w:pPr>
              <w:spacing w:after="0"/>
              <w:rPr>
                <w:sz w:val="16"/>
                <w:szCs w:val="16"/>
                <w:color w:val="auto"/>
              </w:rPr>
            </w:pPr>
          </w:p>
        </w:tc>
        <w:tc>
          <w:tcPr>
            <w:tcW w:w="7040" w:type="dxa"/>
            <w:vAlign w:val="bottom"/>
            <w:gridSpan w:val="2"/>
            <w:shd w:val="clear" w:color="auto" w:fill="DCE2EF"/>
          </w:tcPr>
          <w:p>
            <w:pPr>
              <w:ind w:left="320"/>
              <w:spacing w:after="0"/>
              <w:rPr>
                <w:sz w:val="20"/>
                <w:szCs w:val="20"/>
                <w:color w:val="auto"/>
              </w:rPr>
            </w:pPr>
            <w:r>
              <w:rPr>
                <w:rFonts w:ascii="Arial" w:cs="Arial" w:eastAsia="Arial" w:hAnsi="Arial"/>
                <w:sz w:val="14"/>
                <w:szCs w:val="14"/>
                <w:color w:val="auto"/>
              </w:rPr>
              <w:t>Insurance claims</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3.9</w:t>
            </w:r>
          </w:p>
        </w:tc>
      </w:tr>
      <w:tr>
        <w:trPr>
          <w:trHeight w:val="189"/>
        </w:trPr>
        <w:tc>
          <w:tcPr>
            <w:tcW w:w="20" w:type="dxa"/>
            <w:vAlign w:val="bottom"/>
          </w:tcPr>
          <w:p>
            <w:pPr>
              <w:spacing w:after="0"/>
              <w:rPr>
                <w:sz w:val="16"/>
                <w:szCs w:val="16"/>
                <w:color w:val="auto"/>
              </w:rPr>
            </w:pPr>
          </w:p>
        </w:tc>
        <w:tc>
          <w:tcPr>
            <w:tcW w:w="7040" w:type="dxa"/>
            <w:vAlign w:val="bottom"/>
            <w:gridSpan w:val="2"/>
          </w:tcPr>
          <w:p>
            <w:pPr>
              <w:ind w:left="320"/>
              <w:spacing w:after="0"/>
              <w:rPr>
                <w:sz w:val="20"/>
                <w:szCs w:val="20"/>
                <w:color w:val="auto"/>
              </w:rPr>
            </w:pPr>
            <w:r>
              <w:rPr>
                <w:rFonts w:ascii="Arial" w:cs="Arial" w:eastAsia="Arial" w:hAnsi="Arial"/>
                <w:sz w:val="14"/>
                <w:szCs w:val="14"/>
                <w:color w:val="auto"/>
              </w:rPr>
              <w:t>Income taxes payable</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89"/>
        </w:trPr>
        <w:tc>
          <w:tcPr>
            <w:tcW w:w="20" w:type="dxa"/>
            <w:vAlign w:val="bottom"/>
            <w:shd w:val="clear" w:color="auto" w:fill="DCE2EF"/>
          </w:tcPr>
          <w:p>
            <w:pPr>
              <w:spacing w:after="0"/>
              <w:rPr>
                <w:sz w:val="16"/>
                <w:szCs w:val="16"/>
                <w:color w:val="auto"/>
              </w:rPr>
            </w:pPr>
          </w:p>
        </w:tc>
        <w:tc>
          <w:tcPr>
            <w:tcW w:w="7040" w:type="dxa"/>
            <w:vAlign w:val="bottom"/>
            <w:gridSpan w:val="2"/>
            <w:shd w:val="clear" w:color="auto" w:fill="DCE2EF"/>
          </w:tcPr>
          <w:p>
            <w:pPr>
              <w:ind w:left="320"/>
              <w:spacing w:after="0"/>
              <w:rPr>
                <w:sz w:val="20"/>
                <w:szCs w:val="20"/>
                <w:color w:val="auto"/>
              </w:rPr>
            </w:pPr>
            <w:r>
              <w:rPr>
                <w:rFonts w:ascii="Arial" w:cs="Arial" w:eastAsia="Arial" w:hAnsi="Arial"/>
                <w:sz w:val="14"/>
                <w:szCs w:val="14"/>
                <w:color w:val="auto"/>
              </w:rPr>
              <w:t>Other noncurrent liabilities</w:t>
            </w:r>
          </w:p>
        </w:tc>
        <w:tc>
          <w:tcPr>
            <w:tcW w:w="300" w:type="dxa"/>
            <w:vAlign w:val="bottom"/>
            <w:tcBorders>
              <w:bottom w:val="single" w:sz="8" w:color="auto"/>
            </w:tcBorders>
            <w:shd w:val="clear" w:color="auto" w:fill="DCE2EF"/>
          </w:tcPr>
          <w:p>
            <w:pPr>
              <w:spacing w:after="0"/>
              <w:rPr>
                <w:sz w:val="16"/>
                <w:szCs w:val="16"/>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DCE2EF"/>
          </w:tcPr>
          <w:p>
            <w:pPr>
              <w:spacing w:after="0"/>
              <w:rPr>
                <w:sz w:val="16"/>
                <w:szCs w:val="16"/>
                <w:color w:val="auto"/>
              </w:rPr>
            </w:pPr>
          </w:p>
        </w:tc>
        <w:tc>
          <w:tcPr>
            <w:tcW w:w="300" w:type="dxa"/>
            <w:vAlign w:val="bottom"/>
            <w:tcBorders>
              <w:bottom w:val="single" w:sz="8" w:color="auto"/>
            </w:tcBorders>
            <w:shd w:val="clear" w:color="auto" w:fill="DCE2EF"/>
          </w:tcPr>
          <w:p>
            <w:pPr>
              <w:spacing w:after="0"/>
              <w:rPr>
                <w:sz w:val="16"/>
                <w:szCs w:val="16"/>
                <w:color w:val="auto"/>
              </w:rPr>
            </w:pPr>
          </w:p>
        </w:tc>
        <w:tc>
          <w:tcPr>
            <w:tcW w:w="1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96.2</w:t>
            </w:r>
          </w:p>
        </w:tc>
        <w:tc>
          <w:tcPr>
            <w:tcW w:w="120" w:type="dxa"/>
            <w:vAlign w:val="bottom"/>
            <w:shd w:val="clear" w:color="auto" w:fill="DCE2EF"/>
          </w:tcPr>
          <w:p>
            <w:pPr>
              <w:spacing w:after="0"/>
              <w:rPr>
                <w:sz w:val="16"/>
                <w:szCs w:val="16"/>
                <w:color w:val="auto"/>
              </w:rPr>
            </w:pPr>
          </w:p>
        </w:tc>
        <w:tc>
          <w:tcPr>
            <w:tcW w:w="300" w:type="dxa"/>
            <w:vAlign w:val="bottom"/>
            <w:tcBorders>
              <w:bottom w:val="single" w:sz="8" w:color="auto"/>
            </w:tcBorders>
            <w:shd w:val="clear" w:color="auto" w:fill="DCE2EF"/>
          </w:tcPr>
          <w:p>
            <w:pPr>
              <w:spacing w:after="0"/>
              <w:rPr>
                <w:sz w:val="16"/>
                <w:szCs w:val="16"/>
                <w:color w:val="auto"/>
              </w:rPr>
            </w:pPr>
          </w:p>
        </w:tc>
        <w:tc>
          <w:tcPr>
            <w:tcW w:w="1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(8.7)</w:t>
            </w:r>
          </w:p>
        </w:tc>
      </w:tr>
      <w:tr>
        <w:trPr>
          <w:trHeight w:val="183"/>
        </w:trPr>
        <w:tc>
          <w:tcPr>
            <w:tcW w:w="7060" w:type="dxa"/>
            <w:vAlign w:val="bottom"/>
            <w:tcBorders>
              <w:bottom w:val="single" w:sz="8" w:color="DCE2EF"/>
            </w:tcBorders>
            <w:gridSpan w:val="3"/>
          </w:tcPr>
          <w:p>
            <w:pPr>
              <w:ind w:left="20"/>
              <w:spacing w:after="0"/>
              <w:rPr>
                <w:sz w:val="20"/>
                <w:szCs w:val="20"/>
                <w:color w:val="auto"/>
              </w:rPr>
            </w:pPr>
            <w:r>
              <w:rPr>
                <w:rFonts w:ascii="Arial" w:cs="Arial" w:eastAsia="Arial" w:hAnsi="Arial"/>
                <w:sz w:val="14"/>
                <w:szCs w:val="14"/>
                <w:color w:val="auto"/>
              </w:rPr>
              <w:t>Total adjustments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188.0</w:t>
            </w:r>
          </w:p>
        </w:tc>
        <w:tc>
          <w:tcPr>
            <w:tcW w:w="100" w:type="dxa"/>
            <w:vAlign w:val="bottom"/>
            <w:tcBorders>
              <w:bottom w:val="single" w:sz="8" w:color="DCE2E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457.2</w:t>
            </w:r>
          </w:p>
        </w:tc>
        <w:tc>
          <w:tcPr>
            <w:tcW w:w="120" w:type="dxa"/>
            <w:vAlign w:val="bottom"/>
            <w:tcBorders>
              <w:bottom w:val="single" w:sz="8" w:color="DCE2E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w:t>
            </w:r>
          </w:p>
        </w:tc>
      </w:tr>
      <w:tr>
        <w:trPr>
          <w:trHeight w:val="183"/>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300" w:type="dxa"/>
            <w:vAlign w:val="bottom"/>
            <w:shd w:val="clear" w:color="auto" w:fill="DCE2EF"/>
          </w:tcPr>
          <w:p>
            <w:pPr>
              <w:spacing w:after="0"/>
              <w:rPr>
                <w:sz w:val="15"/>
                <w:szCs w:val="15"/>
                <w:color w:val="auto"/>
              </w:rPr>
            </w:pPr>
          </w:p>
        </w:tc>
        <w:tc>
          <w:tcPr>
            <w:tcW w:w="10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314.3</w:t>
            </w:r>
          </w:p>
        </w:tc>
        <w:tc>
          <w:tcPr>
            <w:tcW w:w="10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457.4</w:t>
            </w:r>
          </w:p>
        </w:tc>
        <w:tc>
          <w:tcPr>
            <w:tcW w:w="12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262.8</w:t>
            </w: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Net cash provided by (used in) operating activities of discontinued operations</w:t>
            </w: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2"/>
        </w:trPr>
        <w:tc>
          <w:tcPr>
            <w:tcW w:w="7060" w:type="dxa"/>
            <w:vAlign w:val="bottom"/>
            <w:tcBorders>
              <w:top w:val="single" w:sz="8" w:color="DCE2EF"/>
            </w:tcBorders>
            <w:gridSpan w:val="3"/>
            <w:shd w:val="clear" w:color="auto" w:fill="DCE2E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300" w:type="dxa"/>
            <w:vAlign w:val="bottom"/>
            <w:tcBorders>
              <w:top w:val="single" w:sz="8" w:color="auto"/>
              <w:bottom w:val="single" w:sz="8" w:color="auto"/>
            </w:tcBorders>
            <w:shd w:val="clear" w:color="auto" w:fill="DCE2EF"/>
          </w:tcPr>
          <w:p>
            <w:pPr>
              <w:spacing w:after="0"/>
              <w:rPr>
                <w:sz w:val="15"/>
                <w:szCs w:val="15"/>
                <w:color w:val="auto"/>
              </w:rPr>
            </w:pPr>
          </w:p>
        </w:tc>
        <w:tc>
          <w:tcPr>
            <w:tcW w:w="1020" w:type="dxa"/>
            <w:vAlign w:val="bottom"/>
            <w:tcBorders>
              <w:top w:val="single" w:sz="8" w:color="auto"/>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314.3</w:t>
            </w:r>
          </w:p>
        </w:tc>
        <w:tc>
          <w:tcPr>
            <w:tcW w:w="100" w:type="dxa"/>
            <w:vAlign w:val="bottom"/>
            <w:tcBorders>
              <w:top w:val="single" w:sz="8" w:color="DCE2EF"/>
            </w:tcBorders>
            <w:shd w:val="clear" w:color="auto" w:fill="DCE2EF"/>
          </w:tcPr>
          <w:p>
            <w:pPr>
              <w:spacing w:after="0"/>
              <w:rPr>
                <w:sz w:val="15"/>
                <w:szCs w:val="15"/>
                <w:color w:val="auto"/>
              </w:rPr>
            </w:pPr>
          </w:p>
        </w:tc>
        <w:tc>
          <w:tcPr>
            <w:tcW w:w="300" w:type="dxa"/>
            <w:vAlign w:val="bottom"/>
            <w:tcBorders>
              <w:top w:val="single" w:sz="8" w:color="auto"/>
              <w:bottom w:val="single" w:sz="8" w:color="auto"/>
            </w:tcBorders>
            <w:shd w:val="clear" w:color="auto" w:fill="DCE2EF"/>
          </w:tcPr>
          <w:p>
            <w:pPr>
              <w:spacing w:after="0"/>
              <w:rPr>
                <w:sz w:val="15"/>
                <w:szCs w:val="15"/>
                <w:color w:val="auto"/>
              </w:rPr>
            </w:pPr>
          </w:p>
        </w:tc>
        <w:tc>
          <w:tcPr>
            <w:tcW w:w="10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457.5</w:t>
            </w:r>
          </w:p>
        </w:tc>
        <w:tc>
          <w:tcPr>
            <w:tcW w:w="120" w:type="dxa"/>
            <w:vAlign w:val="bottom"/>
            <w:tcBorders>
              <w:top w:val="single" w:sz="8" w:color="DCE2EF"/>
            </w:tcBorders>
            <w:shd w:val="clear" w:color="auto" w:fill="DCE2EF"/>
          </w:tcPr>
          <w:p>
            <w:pPr>
              <w:spacing w:after="0"/>
              <w:rPr>
                <w:sz w:val="15"/>
                <w:szCs w:val="15"/>
                <w:color w:val="auto"/>
              </w:rPr>
            </w:pPr>
          </w:p>
        </w:tc>
        <w:tc>
          <w:tcPr>
            <w:tcW w:w="300" w:type="dxa"/>
            <w:vAlign w:val="bottom"/>
            <w:tcBorders>
              <w:top w:val="single" w:sz="8" w:color="auto"/>
              <w:bottom w:val="single" w:sz="8" w:color="auto"/>
            </w:tcBorders>
            <w:shd w:val="clear" w:color="auto" w:fill="DCE2EF"/>
          </w:tcPr>
          <w:p>
            <w:pPr>
              <w:spacing w:after="0"/>
              <w:rPr>
                <w:sz w:val="15"/>
                <w:szCs w:val="15"/>
                <w:color w:val="auto"/>
              </w:rPr>
            </w:pPr>
          </w:p>
        </w:tc>
        <w:tc>
          <w:tcPr>
            <w:tcW w:w="10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262.7</w:t>
            </w:r>
          </w:p>
        </w:tc>
      </w:tr>
      <w:tr>
        <w:trPr>
          <w:trHeight w:val="169"/>
        </w:trPr>
        <w:tc>
          <w:tcPr>
            <w:tcW w:w="7060" w:type="dxa"/>
            <w:vAlign w:val="bottom"/>
            <w:gridSpan w:val="3"/>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Additions to property, plant and equipment</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(38.0)</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(59.6)</w:t>
            </w: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Proceeds from sale of assets</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Proceeds from redemption of auction rate security</w:t>
            </w:r>
          </w:p>
        </w:tc>
        <w:tc>
          <w:tcPr>
            <w:tcW w:w="300" w:type="dxa"/>
            <w:vAlign w:val="bottom"/>
            <w:shd w:val="clear" w:color="auto" w:fill="DCE2EF"/>
          </w:tcPr>
          <w:p>
            <w:pPr>
              <w:spacing w:after="0"/>
              <w:rPr>
                <w:sz w:val="16"/>
                <w:szCs w:val="16"/>
                <w:color w:val="auto"/>
              </w:rPr>
            </w:pPr>
          </w:p>
        </w:tc>
        <w:tc>
          <w:tcPr>
            <w:tcW w:w="1120" w:type="dxa"/>
            <w:vAlign w:val="bottom"/>
            <w:gridSpan w:val="2"/>
            <w:shd w:val="clear" w:color="auto" w:fill="DCE2E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Purchase of business, net of cash acquired</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(710.2)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060" w:type="dxa"/>
            <w:vAlign w:val="bottom"/>
            <w:tcBorders>
              <w:top w:val="single" w:sz="8" w:color="DCE2EF"/>
            </w:tcBorders>
            <w:gridSpan w:val="3"/>
            <w:shd w:val="clear" w:color="auto" w:fill="DCE2E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300" w:type="dxa"/>
            <w:vAlign w:val="bottom"/>
            <w:tcBorders>
              <w:top w:val="single" w:sz="8" w:color="auto"/>
              <w:bottom w:val="single" w:sz="8" w:color="auto"/>
            </w:tcBorders>
            <w:shd w:val="clear" w:color="auto" w:fill="DCE2EF"/>
          </w:tcPr>
          <w:p>
            <w:pPr>
              <w:spacing w:after="0"/>
              <w:rPr>
                <w:sz w:val="15"/>
                <w:szCs w:val="15"/>
                <w:color w:val="auto"/>
              </w:rPr>
            </w:pPr>
          </w:p>
        </w:tc>
        <w:tc>
          <w:tcPr>
            <w:tcW w:w="10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(740.0)</w:t>
            </w:r>
          </w:p>
        </w:tc>
        <w:tc>
          <w:tcPr>
            <w:tcW w:w="100" w:type="dxa"/>
            <w:vAlign w:val="bottom"/>
            <w:tcBorders>
              <w:top w:val="single" w:sz="8" w:color="DCE2EF"/>
            </w:tcBorders>
            <w:shd w:val="clear" w:color="auto" w:fill="DCE2EF"/>
          </w:tcPr>
          <w:p>
            <w:pPr>
              <w:spacing w:after="0"/>
              <w:rPr>
                <w:sz w:val="15"/>
                <w:szCs w:val="15"/>
                <w:color w:val="auto"/>
              </w:rPr>
            </w:pPr>
          </w:p>
        </w:tc>
        <w:tc>
          <w:tcPr>
            <w:tcW w:w="300" w:type="dxa"/>
            <w:vAlign w:val="bottom"/>
            <w:tcBorders>
              <w:top w:val="single" w:sz="8" w:color="auto"/>
              <w:bottom w:val="single" w:sz="8" w:color="auto"/>
            </w:tcBorders>
            <w:shd w:val="clear" w:color="auto" w:fill="DCE2EF"/>
          </w:tcPr>
          <w:p>
            <w:pPr>
              <w:spacing w:after="0"/>
              <w:rPr>
                <w:sz w:val="15"/>
                <w:szCs w:val="15"/>
                <w:color w:val="auto"/>
              </w:rPr>
            </w:pPr>
          </w:p>
        </w:tc>
        <w:tc>
          <w:tcPr>
            <w:tcW w:w="10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Borders>
              <w:top w:val="single" w:sz="8" w:color="DCE2EF"/>
            </w:tcBorders>
            <w:shd w:val="clear" w:color="auto" w:fill="DCE2EF"/>
          </w:tcPr>
          <w:p>
            <w:pPr>
              <w:spacing w:after="0"/>
              <w:rPr>
                <w:sz w:val="15"/>
                <w:szCs w:val="15"/>
                <w:color w:val="auto"/>
              </w:rPr>
            </w:pPr>
          </w:p>
        </w:tc>
        <w:tc>
          <w:tcPr>
            <w:tcW w:w="300" w:type="dxa"/>
            <w:vAlign w:val="bottom"/>
            <w:tcBorders>
              <w:top w:val="single" w:sz="8" w:color="auto"/>
              <w:bottom w:val="single" w:sz="8" w:color="auto"/>
            </w:tcBorders>
            <w:shd w:val="clear" w:color="auto" w:fill="DCE2EF"/>
          </w:tcPr>
          <w:p>
            <w:pPr>
              <w:spacing w:after="0"/>
              <w:rPr>
                <w:sz w:val="15"/>
                <w:szCs w:val="15"/>
                <w:color w:val="auto"/>
              </w:rPr>
            </w:pPr>
          </w:p>
        </w:tc>
        <w:tc>
          <w:tcPr>
            <w:tcW w:w="10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(58.3)</w:t>
            </w:r>
          </w:p>
        </w:tc>
      </w:tr>
      <w:tr>
        <w:trPr>
          <w:trHeight w:val="169"/>
        </w:trPr>
        <w:tc>
          <w:tcPr>
            <w:tcW w:w="7060" w:type="dxa"/>
            <w:vAlign w:val="bottom"/>
            <w:gridSpan w:val="3"/>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Taxes withheld from issuance of share-based compensation awards, net</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(0.9)</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(1.3)</w:t>
            </w: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Repurchases of common stock</w:t>
            </w: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Dividends paid</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(49.3)</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(47.7)</w:t>
            </w: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Deferred financing costs paid</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Borrowings from credit facility</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357.7</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1,058.5</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1,755.9</w:t>
            </w: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Repayment of borrowings from credit facility</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(1,141.6)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(1,896.5)</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Changes in book cash overdrafts</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41.2</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(0.2)</w:t>
            </w: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Financing of energy savings performance contracts</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Repayment of finance lease obligations</w:t>
            </w:r>
          </w:p>
        </w:tc>
        <w:tc>
          <w:tcPr>
            <w:tcW w:w="300" w:type="dxa"/>
            <w:vAlign w:val="bottom"/>
            <w:tcBorders>
              <w:bottom w:val="single" w:sz="8" w:color="auto"/>
            </w:tcBorders>
            <w:shd w:val="clear" w:color="auto" w:fill="DCE2EF"/>
          </w:tcPr>
          <w:p>
            <w:pPr>
              <w:spacing w:after="0"/>
              <w:rPr>
                <w:sz w:val="16"/>
                <w:szCs w:val="16"/>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DCE2EF"/>
          </w:tcPr>
          <w:p>
            <w:pPr>
              <w:spacing w:after="0"/>
              <w:rPr>
                <w:sz w:val="16"/>
                <w:szCs w:val="16"/>
                <w:color w:val="auto"/>
              </w:rPr>
            </w:pPr>
          </w:p>
        </w:tc>
        <w:tc>
          <w:tcPr>
            <w:tcW w:w="300" w:type="dxa"/>
            <w:vAlign w:val="bottom"/>
            <w:tcBorders>
              <w:bottom w:val="single" w:sz="8" w:color="auto"/>
            </w:tcBorders>
            <w:shd w:val="clear" w:color="auto" w:fill="DCE2EF"/>
          </w:tcPr>
          <w:p>
            <w:pPr>
              <w:spacing w:after="0"/>
              <w:rPr>
                <w:sz w:val="16"/>
                <w:szCs w:val="16"/>
                <w:color w:val="auto"/>
              </w:rPr>
            </w:pPr>
          </w:p>
        </w:tc>
        <w:tc>
          <w:tcPr>
            <w:tcW w:w="1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DCE2EF"/>
          </w:tcPr>
          <w:p>
            <w:pPr>
              <w:spacing w:after="0"/>
              <w:rPr>
                <w:sz w:val="16"/>
                <w:szCs w:val="16"/>
                <w:color w:val="auto"/>
              </w:rPr>
            </w:pPr>
          </w:p>
        </w:tc>
        <w:tc>
          <w:tcPr>
            <w:tcW w:w="300" w:type="dxa"/>
            <w:vAlign w:val="bottom"/>
            <w:tcBorders>
              <w:bottom w:val="single" w:sz="8" w:color="auto"/>
            </w:tcBorders>
            <w:shd w:val="clear" w:color="auto" w:fill="DCE2EF"/>
          </w:tcPr>
          <w:p>
            <w:pPr>
              <w:spacing w:after="0"/>
              <w:rPr>
                <w:sz w:val="16"/>
                <w:szCs w:val="16"/>
                <w:color w:val="auto"/>
              </w:rPr>
            </w:pPr>
          </w:p>
        </w:tc>
        <w:tc>
          <w:tcPr>
            <w:tcW w:w="1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(3.1)</w:t>
            </w:r>
          </w:p>
        </w:tc>
      </w:tr>
      <w:tr>
        <w:trPr>
          <w:trHeight w:val="183"/>
        </w:trPr>
        <w:tc>
          <w:tcPr>
            <w:tcW w:w="7060" w:type="dxa"/>
            <w:vAlign w:val="bottom"/>
            <w:tcBorders>
              <w:bottom w:val="single" w:sz="8" w:color="DCE2EF"/>
            </w:tcBorders>
            <w:gridSpan w:val="3"/>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92.4</w:t>
            </w:r>
          </w:p>
        </w:tc>
        <w:tc>
          <w:tcPr>
            <w:tcW w:w="100" w:type="dxa"/>
            <w:vAlign w:val="bottom"/>
            <w:tcBorders>
              <w:bottom w:val="single" w:sz="8" w:color="DCE2E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(94.1)</w:t>
            </w:r>
          </w:p>
        </w:tc>
        <w:tc>
          <w:tcPr>
            <w:tcW w:w="120" w:type="dxa"/>
            <w:vAlign w:val="bottom"/>
            <w:tcBorders>
              <w:bottom w:val="single" w:sz="8" w:color="DCE2E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(184.8)</w:t>
            </w:r>
          </w:p>
        </w:tc>
      </w:tr>
      <w:tr>
        <w:trPr>
          <w:trHeight w:val="183"/>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b w:val="1"/>
                <w:bCs w:val="1"/>
                <w:color w:val="auto"/>
              </w:rPr>
              <w:t>Effect of exchange rate changes on cash and cash equivalents</w:t>
            </w:r>
          </w:p>
        </w:tc>
        <w:tc>
          <w:tcPr>
            <w:tcW w:w="300" w:type="dxa"/>
            <w:vAlign w:val="bottom"/>
            <w:shd w:val="clear" w:color="auto" w:fill="DCE2EF"/>
          </w:tcPr>
          <w:p>
            <w:pPr>
              <w:spacing w:after="0"/>
              <w:rPr>
                <w:sz w:val="15"/>
                <w:szCs w:val="15"/>
                <w:color w:val="auto"/>
              </w:rPr>
            </w:pPr>
          </w:p>
        </w:tc>
        <w:tc>
          <w:tcPr>
            <w:tcW w:w="10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(0.2)</w:t>
            </w:r>
          </w:p>
        </w:tc>
      </w:tr>
    </w:tbl>
    <w:p>
      <w:pPr>
        <w:spacing w:after="0" w:line="1" w:lineRule="exact"/>
        <w:rPr>
          <w:sz w:val="20"/>
          <w:szCs w:val="20"/>
          <w:color w:val="auto"/>
        </w:rPr>
      </w:pPr>
    </w:p>
    <w:p>
      <w:pPr>
        <w:sectPr>
          <w:pgSz w:w="11900" w:h="16838" w:orient="portrait"/>
          <w:cols w:equalWidth="0" w:num="1">
            <w:col w:w="11200"/>
          </w:cols>
          <w:pgMar w:left="340" w:top="913" w:right="359" w:bottom="1440" w:gutter="0" w:footer="0" w:header="0"/>
        </w:sectPr>
      </w:pPr>
    </w:p>
    <w:p>
      <w:pPr>
        <w:ind w:left="20" w:right="2680"/>
        <w:spacing w:after="0" w:line="311" w:lineRule="auto"/>
        <w:rPr>
          <w:sz w:val="20"/>
          <w:szCs w:val="20"/>
          <w:color w:val="auto"/>
        </w:rPr>
      </w:pPr>
      <w:r>
        <w:rPr>
          <w:rFonts w:ascii="Arial" w:cs="Arial" w:eastAsia="Arial" w:hAnsi="Arial"/>
          <w:sz w:val="14"/>
          <w:szCs w:val="14"/>
          <w:b w:val="1"/>
          <w:bCs w:val="1"/>
          <w:color w:val="auto"/>
        </w:rPr>
        <w:t>Net (decrease) increase in cash and cash equivalents Cash and cash equivalents at beginning of year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and cash equivalents at end of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(331.4)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335.7</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19.4</w:t>
            </w:r>
          </w:p>
        </w:tc>
      </w:tr>
      <w:tr>
        <w:trPr>
          <w:trHeight w:val="188"/>
        </w:trPr>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394.2</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w:t>
            </w:r>
          </w:p>
        </w:tc>
      </w:tr>
      <w:tr>
        <w:trPr>
          <w:trHeight w:val="183"/>
        </w:trPr>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394.2</w:t>
            </w:r>
          </w:p>
        </w:tc>
        <w:tc>
          <w:tcPr>
            <w:tcW w:w="120" w:type="dxa"/>
            <w:vAlign w:val="bottom"/>
          </w:tcPr>
          <w:p>
            <w:pPr>
              <w:spacing w:after="0"/>
              <w:rPr>
                <w:sz w:val="15"/>
                <w:szCs w:val="15"/>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-4481195</wp:posOffset>
            </wp:positionH>
            <wp:positionV relativeFrom="paragraph">
              <wp:posOffset>-281940</wp:posOffset>
            </wp:positionV>
            <wp:extent cx="7115175"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40" w:space="720"/>
            <w:col w:w="4140"/>
          </w:cols>
          <w:pgMar w:left="340" w:top="913" w:right="359" w:bottom="1440" w:gutter="0" w:footer="0" w:header="0"/>
          <w:type w:val="continuous"/>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69215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13" w:right="359"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CONSOLIDATED STATEMENTS OF CASH FLOWS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Years Ended October 31,</w:t>
            </w:r>
          </w:p>
        </w:tc>
        <w:tc>
          <w:tcPr>
            <w:tcW w:w="1000" w:type="dxa"/>
            <w:vAlign w:val="bottom"/>
            <w:tcBorders>
              <w:bottom w:val="single" w:sz="8" w:color="auto"/>
            </w:tcBorders>
          </w:tcPr>
          <w:p>
            <w:pPr>
              <w:spacing w:after="0"/>
              <w:rPr>
                <w:sz w:val="16"/>
                <w:szCs w:val="16"/>
                <w:color w:val="auto"/>
              </w:rPr>
            </w:pPr>
          </w:p>
        </w:tc>
      </w:tr>
      <w:tr>
        <w:trPr>
          <w:trHeight w:val="142"/>
        </w:trPr>
        <w:tc>
          <w:tcPr>
            <w:tcW w:w="7060" w:type="dxa"/>
            <w:vAlign w:val="bottom"/>
            <w:gridSpan w:val="3"/>
          </w:tcPr>
          <w:p>
            <w:pPr>
              <w:ind w:left="20"/>
              <w:spacing w:after="0" w:line="129" w:lineRule="exact"/>
              <w:rPr>
                <w:sz w:val="20"/>
                <w:szCs w:val="20"/>
                <w:color w:val="auto"/>
              </w:rPr>
            </w:pPr>
            <w:r>
              <w:rPr>
                <w:rFonts w:ascii="Arial" w:cs="Arial" w:eastAsia="Arial" w:hAnsi="Arial"/>
                <w:sz w:val="13"/>
                <w:szCs w:val="13"/>
                <w:i w:val="1"/>
                <w:iCs w:val="1"/>
                <w:color w:val="auto"/>
              </w:rPr>
              <w:t>(in millions)</w:t>
            </w:r>
          </w:p>
        </w:tc>
        <w:tc>
          <w:tcPr>
            <w:tcW w:w="300" w:type="dxa"/>
            <w:vAlign w:val="bottom"/>
          </w:tcPr>
          <w:p>
            <w:pPr>
              <w:spacing w:after="0"/>
              <w:rPr>
                <w:sz w:val="12"/>
                <w:szCs w:val="12"/>
                <w:color w:val="auto"/>
              </w:rPr>
            </w:pPr>
          </w:p>
        </w:tc>
        <w:tc>
          <w:tcPr>
            <w:tcW w:w="1020" w:type="dxa"/>
            <w:vAlign w:val="bottom"/>
          </w:tcPr>
          <w:p>
            <w:pPr>
              <w:jc w:val="right"/>
              <w:ind w:right="428"/>
              <w:spacing w:after="0" w:line="12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08"/>
              <w:spacing w:after="0" w:line="129"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08"/>
              <w:spacing w:after="0" w:line="129" w:lineRule="exact"/>
              <w:rPr>
                <w:sz w:val="20"/>
                <w:szCs w:val="20"/>
                <w:color w:val="auto"/>
              </w:rPr>
            </w:pPr>
            <w:r>
              <w:rPr>
                <w:rFonts w:ascii="Arial" w:cs="Arial" w:eastAsia="Arial" w:hAnsi="Arial"/>
                <w:sz w:val="14"/>
                <w:szCs w:val="14"/>
                <w:b w:val="1"/>
                <w:bCs w:val="1"/>
                <w:color w:val="auto"/>
              </w:rPr>
              <w:t>2019</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300" w:type="dxa"/>
            <w:vAlign w:val="bottom"/>
            <w:shd w:val="clear" w:color="auto" w:fill="DCE2EF"/>
          </w:tcPr>
          <w:p>
            <w:pPr>
              <w:spacing w:after="0"/>
              <w:rPr>
                <w:sz w:val="14"/>
                <w:szCs w:val="14"/>
                <w:color w:val="auto"/>
              </w:rPr>
            </w:pPr>
          </w:p>
        </w:tc>
        <w:tc>
          <w:tcPr>
            <w:tcW w:w="10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100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1000" w:type="dxa"/>
            <w:vAlign w:val="bottom"/>
            <w:shd w:val="clear" w:color="auto" w:fill="DCE2EF"/>
          </w:tcPr>
          <w:p>
            <w:pPr>
              <w:spacing w:after="0"/>
              <w:rPr>
                <w:sz w:val="14"/>
                <w:szCs w:val="14"/>
                <w:color w:val="auto"/>
              </w:rPr>
            </w:pP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Income tax payments, net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82.2</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20.6</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Interest paid on credit facility</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39.9</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13" w:right="359" w:bottom="1440" w:gutter="0" w:footer="0" w:header="0"/>
        </w:sectPr>
      </w:pPr>
    </w:p>
    <w:bookmarkStart w:id="57" w:name="page58"/>
    <w:bookmarkEnd w:id="57"/>
    <w:p>
      <w:pPr>
        <w:ind w:left="32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3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0046AD"/>
        </w:rPr>
        <w:t>NOTES TO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 THE COMPANY AND 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 xml:space="preserve">ABM is a leading provider of integrated facility services with a mission to </w:t>
      </w:r>
      <w:r>
        <w:rPr>
          <w:rFonts w:ascii="Arial" w:cs="Arial" w:eastAsia="Arial" w:hAnsi="Arial"/>
          <w:sz w:val="18"/>
          <w:szCs w:val="18"/>
          <w:b w:val="1"/>
          <w:bCs w:val="1"/>
          <w:color w:val="326ABD"/>
        </w:rPr>
        <w:t>make a difference, every person, every day</w:t>
      </w:r>
      <w:r>
        <w:rPr>
          <w:rFonts w:ascii="Arial" w:cs="Arial" w:eastAsia="Arial" w:hAnsi="Arial"/>
          <w:sz w:val="18"/>
          <w:szCs w:val="18"/>
          <w:color w:val="auto"/>
        </w:rPr>
        <w:t>. We are organized into four industry groups and one Technical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266065</wp:posOffset>
            </wp:positionV>
            <wp:extent cx="4465955" cy="8058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46595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Through these groups, we offer janitorial, facilities engineering, parking, and specialized mechanical and electrical technical solutions, on a standalone basis or in combination with other services.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2. BASIS OF PRESENTATION AND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0637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Basis of Presentation and Principles of Consolidation</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Financial Statements have been prepared in accordance with United States generally accepted accounting principles (“U.S. GAAP”) and with the rules and regulations of the SEC, specifically Regulation S-X and the instructions to Form 10-K. Unless otherwise indicated, all references to years are to our fiscal year, which ends on October 31.</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Financial Statements include the accounts of ABM and all of our consolidated subsidiaries. We account for ABM’s investments in unconsolidated affiliates under the equity method of accounting. We include the results of acquired businesses in the Consolidated Statements of Comprehensive Income (Loss) from their respective acquisition dates. All intercompany accounts and transactions have been eliminated in consolidation.</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preparation of consolidated financial statements in accordance with U.S. GAAP requires our management to make certain estimates that affect reported amounts. We base our estimates on historical experience, known or expected trends, independent valuations, and various other assumptions that we believe to be reasonable under the circumstances. As future events and their effects cannot be determined with precision, actual results could differ significantly from these estimates.</w:t>
      </w:r>
    </w:p>
    <w:p>
      <w:pPr>
        <w:spacing w:after="0" w:line="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round amounts in the Financial Statements to millions and calculate all percentages and per-share data from the underlying whole-dollar amounts. Thus, certain amounts may not foot, crossfoot, or recalculate based on reported numbers due to rounding.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Impact of the Pandemic</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COVID-19 has resulted in a worldwide health Pandemic. To date, the Pandemic has surfaced in regions all around the world and resulted in business slowdowns and shutdowns, as well as global travel restrictions. In these Financial Statements, we have assessed the current impact of the Pandemic on our financial condition, results of operations, and cash flows as well as on our estimates, forecasts, and accounting policies. We have made additional disclosures of these assessments, as necessary. Given the unprecedented nature of this situation, we cannot reasonably estimate the full impact the Pandemic will have on our financial condition, results of operations, or cash flows in the foreseeable future. The ultimate impact of the Pandemic on our company is highly uncertain and will depend on future developments, and such impacts could exist for an extended period of time, even after the Pandemic subsides.</w:t>
      </w:r>
    </w:p>
    <w:p>
      <w:pPr>
        <w:spacing w:after="0" w:line="15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Pandemic continues to create a dynamic client environment, and we are working diligently to ensure our clients’ changing staffing and service needs are met while actively managing direct labor and related personnel</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8" w:name="page59"/>
    <w:bookmarkEnd w:id="58"/>
    <w:p>
      <w:pPr>
        <w:jc w:val="both"/>
        <w:spacing w:after="0" w:line="261" w:lineRule="auto"/>
        <w:rPr>
          <w:sz w:val="20"/>
          <w:szCs w:val="20"/>
          <w:color w:val="auto"/>
        </w:rPr>
      </w:pPr>
      <w:r>
        <w:rPr>
          <w:rFonts w:ascii="Arial" w:cs="Arial" w:eastAsia="Arial" w:hAnsi="Arial"/>
          <w:sz w:val="18"/>
          <w:szCs w:val="18"/>
          <w:color w:val="auto"/>
        </w:rPr>
        <w:t>costs, including furloughs or reduced hours for certain frontline employees in markets significantly impacted by business slowdowns and shutdowns.</w:t>
      </w:r>
    </w:p>
    <w:p>
      <w:pPr>
        <w:spacing w:after="0" w:line="144"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Refer to additional discussion regarding the Pandemic and the impact on our business throughout this document, including Note 7, “Fair Value of Financial Instruments,” Note 9, “Goodwill and Other Intangible Assets,” and Note 11, “Credit Facility.”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Cash and Cash Equivalents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consider all highly liquid securities with an original maturity of three months or less to be cash and cash equivalents. As part of our cash management system, we use “zero balance” accounts to fund our disbursements. Under this system, at the end of each day the bank balance is zero, while the book balance is usually a negative amount due to reconciling items, such as outstanding checks. We report the changes in these book cash overdrafts as cash flows from financing activities.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Trade Accounts Receivable and Costs Incurred in Excess of Amounts Billed</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Trade accounts receivable arise from services provided to our clients and are usually due and payable on varying terms from receipt of the invoice to net 90 days, with the exception of certain Technical Solutions project receivables that may have longer collection periods. These receivables are recorded at the invoiced amount and normally do not bear interest. In addition, our trade accounts receivable include unbilled receivables, such as invoices for services that have been provided but are not yet billed.</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Costs incurred in excess of amounts billed arise from Technical Solutions project contracts that typically provide for a schedule of billings or invoices to the client based on our performance to date of specific tasks inherent in the fulfillment of our performance obligation(s). The schedules for such billings usually do not precisely match the schedule on which costs are incurred. As a result, revenues generally differ from amounts that can be billed or invoiced to the client at any point during the contract.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Allowance for Doubtful Accounts</w:t>
      </w:r>
    </w:p>
    <w:p>
      <w:pPr>
        <w:spacing w:after="0" w:line="193"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We determine the allowance for doubtful accounts based on historical write-offs, known or expected trends, and the identification of specific balances deemed uncollectible. For the specifically identified balances, we establish the reserve upon the earlier of a client’s inability to meet its financial obligations or after a period of 12 months, unless our management believes such amounts will ultimately be collectible.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Sales Allowance</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our service contracts, we periodically issue credit memos to our clients that are recorded as a reduction in revenues and an increase to the allowance for billing adjustments. These credits can result from client vacancy discounts, job cancellations, property damage, and other items. We estimate our potential future losses on these client receivables based on an analysis of the historical rate of sales adjustments (credit memos, net of re-bills) and known or expected trends.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Other Current Assets</w:t>
      </w:r>
    </w:p>
    <w:p>
      <w:pPr>
        <w:spacing w:after="0" w:line="19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At October 31, 2021 and 2020, other current assets primarily consisted of other receivables, short-term insurance recoverables, and capitalized commissions.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Other Investments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October 31, 2021 and 2020, other investments primarily consisted of investments in unconsolidated affiliates.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Investments in Unconsolidated Affiliates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own non-controlling interests (generally 20% to 50%) in certain affiliated entities that predominantly provide facility solutions to governmental and commercial clients, primarily in the United States and the Middle East. We account for such investments under the equity method of accounting. We evaluate our equity method investments for impairment whenever events or changes in circumstances indicate that the carrying amounts of such investments may not be recoverable. An impairment loss is recognized to the extent that the estimated fair value of the investment is less than its carrying amount and we determine that the impairment is other than temporary. At October 31, 2021, 2020, and 2019, our investments in unconsolidated affiliates were $11.7 million,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$11.0 million, and $8.9 million, respectively. We did not recognize any impairment charges on these investments in 2021, 2020, or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Property, Plant and Equipment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record property, plant and equipment at cost. Repairs and maintenance expenditures are expensed as incurred. In contrast, we capitalize major renewals or replacements that substantially extend the useful life of an asset. We determine depreciation for financial reporting purposes using the straight-line method over the following estimated useful lives:</w:t>
      </w:r>
    </w:p>
    <w:p>
      <w:pPr>
        <w:spacing w:after="0" w:line="156" w:lineRule="exact"/>
        <w:rPr>
          <w:sz w:val="20"/>
          <w:szCs w:val="20"/>
          <w:color w:val="auto"/>
        </w:rPr>
      </w:pPr>
    </w:p>
    <w:tbl>
      <w:tblPr>
        <w:tblLayout w:type="fixed"/>
        <w:tblInd w:w="50" w:type="dxa"/>
        <w:tblCellMar>
          <w:top w:w="0" w:type="dxa"/>
          <w:left w:w="0" w:type="dxa"/>
          <w:bottom w:w="0" w:type="dxa"/>
          <w:right w:w="0" w:type="dxa"/>
        </w:tblCellMar>
      </w:tblPr>
      <w:tr>
        <w:trPr>
          <w:trHeight w:val="203"/>
        </w:trPr>
        <w:tc>
          <w:tcPr>
            <w:tcW w:w="40" w:type="dxa"/>
            <w:vAlign w:val="bottom"/>
            <w:tcBorders>
              <w:top w:val="single" w:sz="8" w:color="auto"/>
              <w:left w:val="single" w:sz="8" w:color="auto"/>
            </w:tcBorders>
          </w:tcPr>
          <w:p>
            <w:pPr>
              <w:spacing w:after="0"/>
              <w:rPr>
                <w:sz w:val="17"/>
                <w:szCs w:val="17"/>
                <w:color w:val="auto"/>
              </w:rPr>
            </w:pPr>
          </w:p>
        </w:tc>
        <w:tc>
          <w:tcPr>
            <w:tcW w:w="5400" w:type="dxa"/>
            <w:vAlign w:val="bottom"/>
            <w:tcBorders>
              <w:top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Category</w:t>
            </w:r>
          </w:p>
        </w:tc>
        <w:tc>
          <w:tcPr>
            <w:tcW w:w="5760" w:type="dxa"/>
            <w:vAlign w:val="bottom"/>
            <w:tcBorders>
              <w:top w:val="single" w:sz="8" w:color="auto"/>
              <w:right w:val="single" w:sz="8" w:color="auto"/>
            </w:tcBorders>
            <w:gridSpan w:val="3"/>
          </w:tcPr>
          <w:p>
            <w:pPr>
              <w:ind w:left="2700"/>
              <w:spacing w:after="0" w:line="202" w:lineRule="exact"/>
              <w:rPr>
                <w:sz w:val="20"/>
                <w:szCs w:val="20"/>
                <w:color w:val="auto"/>
              </w:rPr>
            </w:pPr>
            <w:r>
              <w:rPr>
                <w:rFonts w:ascii="Arial" w:cs="Arial" w:eastAsia="Arial" w:hAnsi="Arial"/>
                <w:sz w:val="18"/>
                <w:szCs w:val="18"/>
                <w:b w:val="1"/>
                <w:bCs w:val="1"/>
                <w:color w:val="auto"/>
              </w:rPr>
              <w:t>Years</w:t>
            </w: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580" w:type="dxa"/>
            <w:vAlign w:val="bottom"/>
            <w:tcBorders>
              <w:right w:val="single" w:sz="8" w:color="auto"/>
            </w:tcBorders>
          </w:tcPr>
          <w:p>
            <w:pPr>
              <w:spacing w:after="0" w:line="20" w:lineRule="exact"/>
              <w:rPr>
                <w:sz w:val="1"/>
                <w:szCs w:val="1"/>
                <w:color w:val="auto"/>
              </w:rPr>
            </w:pPr>
          </w:p>
        </w:tc>
      </w:tr>
      <w:tr>
        <w:trPr>
          <w:trHeight w:val="229"/>
        </w:trPr>
        <w:tc>
          <w:tcPr>
            <w:tcW w:w="40" w:type="dxa"/>
            <w:vAlign w:val="bottom"/>
            <w:tcBorders>
              <w:left w:val="single" w:sz="8" w:color="auto"/>
            </w:tcBorders>
            <w:shd w:val="clear" w:color="auto" w:fill="DCE2EF"/>
          </w:tcPr>
          <w:p>
            <w:pPr>
              <w:spacing w:after="0"/>
              <w:rPr>
                <w:sz w:val="19"/>
                <w:szCs w:val="19"/>
                <w:color w:val="auto"/>
              </w:rPr>
            </w:pPr>
          </w:p>
        </w:tc>
        <w:tc>
          <w:tcPr>
            <w:tcW w:w="54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Computer equipment and software</w:t>
            </w:r>
          </w:p>
        </w:tc>
        <w:tc>
          <w:tcPr>
            <w:tcW w:w="2700" w:type="dxa"/>
            <w:vAlign w:val="bottom"/>
            <w:shd w:val="clear" w:color="auto" w:fill="DCE2EF"/>
          </w:tcPr>
          <w:p>
            <w:pPr>
              <w:spacing w:after="0"/>
              <w:rPr>
                <w:sz w:val="19"/>
                <w:szCs w:val="19"/>
                <w:color w:val="auto"/>
              </w:rPr>
            </w:pPr>
          </w:p>
        </w:tc>
        <w:tc>
          <w:tcPr>
            <w:tcW w:w="3060" w:type="dxa"/>
            <w:vAlign w:val="bottom"/>
            <w:tcBorders>
              <w:right w:val="single" w:sz="8" w:color="auto"/>
            </w:tcBorders>
            <w:gridSpan w:val="2"/>
            <w:shd w:val="clear" w:color="auto" w:fill="DCE2EF"/>
          </w:tcPr>
          <w:p>
            <w:pPr>
              <w:jc w:val="center"/>
              <w:ind w:right="2600"/>
              <w:spacing w:after="0"/>
              <w:rPr>
                <w:sz w:val="20"/>
                <w:szCs w:val="20"/>
                <w:color w:val="auto"/>
              </w:rPr>
            </w:pPr>
            <w:r>
              <w:rPr>
                <w:rFonts w:ascii="Arial" w:cs="Arial" w:eastAsia="Arial" w:hAnsi="Arial"/>
                <w:sz w:val="18"/>
                <w:szCs w:val="18"/>
                <w:color w:val="auto"/>
                <w:w w:val="99"/>
              </w:rPr>
              <w:t>3–5</w:t>
            </w:r>
          </w:p>
        </w:tc>
      </w:tr>
      <w:tr>
        <w:trPr>
          <w:trHeight w:val="230"/>
        </w:trPr>
        <w:tc>
          <w:tcPr>
            <w:tcW w:w="40" w:type="dxa"/>
            <w:vAlign w:val="bottom"/>
            <w:tcBorders>
              <w:left w:val="single" w:sz="8" w:color="auto"/>
            </w:tcBorders>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Machinery and other equipment</w:t>
            </w:r>
          </w:p>
        </w:tc>
        <w:tc>
          <w:tcPr>
            <w:tcW w:w="2700" w:type="dxa"/>
            <w:vAlign w:val="bottom"/>
          </w:tcPr>
          <w:p>
            <w:pPr>
              <w:spacing w:after="0"/>
              <w:rPr>
                <w:sz w:val="19"/>
                <w:szCs w:val="19"/>
                <w:color w:val="auto"/>
              </w:rPr>
            </w:pPr>
          </w:p>
        </w:tc>
        <w:tc>
          <w:tcPr>
            <w:tcW w:w="3060" w:type="dxa"/>
            <w:vAlign w:val="bottom"/>
            <w:tcBorders>
              <w:right w:val="single" w:sz="8" w:color="auto"/>
            </w:tcBorders>
            <w:gridSpan w:val="2"/>
          </w:tcPr>
          <w:p>
            <w:pPr>
              <w:jc w:val="center"/>
              <w:ind w:right="2600"/>
              <w:spacing w:after="0"/>
              <w:rPr>
                <w:sz w:val="20"/>
                <w:szCs w:val="20"/>
                <w:color w:val="auto"/>
              </w:rPr>
            </w:pPr>
            <w:r>
              <w:rPr>
                <w:rFonts w:ascii="Arial" w:cs="Arial" w:eastAsia="Arial" w:hAnsi="Arial"/>
                <w:sz w:val="18"/>
                <w:szCs w:val="18"/>
                <w:color w:val="auto"/>
                <w:w w:val="99"/>
              </w:rPr>
              <w:t>3–5</w:t>
            </w:r>
          </w:p>
        </w:tc>
      </w:tr>
      <w:tr>
        <w:trPr>
          <w:trHeight w:val="229"/>
        </w:trPr>
        <w:tc>
          <w:tcPr>
            <w:tcW w:w="40" w:type="dxa"/>
            <w:vAlign w:val="bottom"/>
            <w:tcBorders>
              <w:left w:val="single" w:sz="8" w:color="auto"/>
            </w:tcBorders>
            <w:shd w:val="clear" w:color="auto" w:fill="DCE2EF"/>
          </w:tcPr>
          <w:p>
            <w:pPr>
              <w:spacing w:after="0"/>
              <w:rPr>
                <w:sz w:val="19"/>
                <w:szCs w:val="19"/>
                <w:color w:val="auto"/>
              </w:rPr>
            </w:pPr>
          </w:p>
        </w:tc>
        <w:tc>
          <w:tcPr>
            <w:tcW w:w="54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Transportation equipment</w:t>
            </w:r>
          </w:p>
        </w:tc>
        <w:tc>
          <w:tcPr>
            <w:tcW w:w="5760" w:type="dxa"/>
            <w:vAlign w:val="bottom"/>
            <w:tcBorders>
              <w:right w:val="single" w:sz="8" w:color="auto"/>
            </w:tcBorders>
            <w:gridSpan w:val="3"/>
            <w:shd w:val="clear" w:color="auto" w:fill="DCE2EF"/>
          </w:tcPr>
          <w:p>
            <w:pPr>
              <w:jc w:val="center"/>
              <w:ind w:left="10"/>
              <w:spacing w:after="0"/>
              <w:rPr>
                <w:sz w:val="20"/>
                <w:szCs w:val="20"/>
                <w:color w:val="auto"/>
              </w:rPr>
            </w:pPr>
            <w:r>
              <w:rPr>
                <w:rFonts w:ascii="Arial" w:cs="Arial" w:eastAsia="Arial" w:hAnsi="Arial"/>
                <w:sz w:val="18"/>
                <w:szCs w:val="18"/>
                <w:color w:val="auto"/>
                <w:w w:val="98"/>
              </w:rPr>
              <w:t>1.5–10</w:t>
            </w:r>
          </w:p>
        </w:tc>
      </w:tr>
      <w:tr>
        <w:trPr>
          <w:trHeight w:val="229"/>
        </w:trPr>
        <w:tc>
          <w:tcPr>
            <w:tcW w:w="40" w:type="dxa"/>
            <w:vAlign w:val="bottom"/>
            <w:tcBorders>
              <w:left w:val="single" w:sz="8" w:color="auto"/>
            </w:tcBorders>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576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10–40</w:t>
            </w:r>
          </w:p>
        </w:tc>
      </w:tr>
      <w:tr>
        <w:trPr>
          <w:trHeight w:val="230"/>
        </w:trPr>
        <w:tc>
          <w:tcPr>
            <w:tcW w:w="40" w:type="dxa"/>
            <w:vAlign w:val="bottom"/>
            <w:tcBorders>
              <w:left w:val="single" w:sz="8" w:color="auto"/>
              <w:bottom w:val="single" w:sz="8" w:color="auto"/>
            </w:tcBorders>
            <w:shd w:val="clear" w:color="auto" w:fill="DCE2EF"/>
          </w:tcPr>
          <w:p>
            <w:pPr>
              <w:spacing w:after="0"/>
              <w:rPr>
                <w:sz w:val="19"/>
                <w:szCs w:val="19"/>
                <w:color w:val="auto"/>
              </w:rPr>
            </w:pPr>
          </w:p>
        </w:tc>
        <w:tc>
          <w:tcPr>
            <w:tcW w:w="5400" w:type="dxa"/>
            <w:vAlign w:val="bottom"/>
            <w:tcBorders>
              <w:bottom w:val="single" w:sz="8" w:color="auto"/>
            </w:tcBorders>
            <w:gridSpan w:val="2"/>
            <w:shd w:val="clear" w:color="auto" w:fill="DCE2EF"/>
          </w:tcPr>
          <w:p>
            <w:pPr>
              <w:spacing w:after="0"/>
              <w:rPr>
                <w:sz w:val="20"/>
                <w:szCs w:val="20"/>
                <w:color w:val="auto"/>
              </w:rPr>
            </w:pPr>
            <w:r>
              <w:rPr>
                <w:rFonts w:ascii="Arial" w:cs="Arial" w:eastAsia="Arial" w:hAnsi="Arial"/>
                <w:sz w:val="18"/>
                <w:szCs w:val="18"/>
                <w:color w:val="auto"/>
              </w:rPr>
              <w:t>Furniture and fixtures</w:t>
            </w:r>
          </w:p>
        </w:tc>
        <w:tc>
          <w:tcPr>
            <w:tcW w:w="3180" w:type="dxa"/>
            <w:vAlign w:val="bottom"/>
            <w:tcBorders>
              <w:bottom w:val="single" w:sz="8" w:color="auto"/>
            </w:tcBorders>
            <w:gridSpan w:val="2"/>
            <w:shd w:val="clear" w:color="auto" w:fill="DCE2EF"/>
          </w:tcPr>
          <w:p>
            <w:pPr>
              <w:jc w:val="center"/>
              <w:ind w:left="2590"/>
              <w:spacing w:after="0"/>
              <w:rPr>
                <w:sz w:val="20"/>
                <w:szCs w:val="20"/>
                <w:color w:val="auto"/>
              </w:rPr>
            </w:pPr>
            <w:r>
              <w:rPr>
                <w:rFonts w:ascii="Arial" w:cs="Arial" w:eastAsia="Arial" w:hAnsi="Arial"/>
                <w:sz w:val="18"/>
                <w:szCs w:val="18"/>
                <w:color w:val="auto"/>
                <w:w w:val="99"/>
              </w:rPr>
              <w:t>5</w:t>
            </w:r>
          </w:p>
        </w:tc>
        <w:tc>
          <w:tcPr>
            <w:tcW w:w="2580" w:type="dxa"/>
            <w:vAlign w:val="bottom"/>
            <w:tcBorders>
              <w:bottom w:val="single" w:sz="8" w:color="auto"/>
              <w:right w:val="single" w:sz="8" w:color="auto"/>
            </w:tcBorders>
            <w:shd w:val="clear" w:color="auto" w:fill="DCE2EF"/>
          </w:tcPr>
          <w:p>
            <w:pPr>
              <w:spacing w:after="0"/>
              <w:rPr>
                <w:sz w:val="19"/>
                <w:szCs w:val="19"/>
                <w:color w:val="auto"/>
              </w:rPr>
            </w:pPr>
          </w:p>
        </w:tc>
      </w:tr>
    </w:tbl>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we depreciate assets under finance leases and leasehold improvements over the shorter of their estimated useful lives or the remaining lease term. Upon retirement or sale of an asset, we remove the cost and accumulated depreciation from our Consolidated Balance Sheets. When applicable, we record corresponding gains or losses within the accompanying Consolidated Statements of Comprehensive Income (Loss).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Leases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We adopted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and all related amendments on November 1, 2019, on a modified retrospective basis. Comparative prior period Financial Statements for fiscal year 2019 have not been restated and continue to be reported under the accounting standards in effect for fiscal year 2019. Topic 842 requires lessees to recognize substantially all leases on their balance sheet as a right-of-use (“ROU”) asset and a lease liability. Upon adoption, we elected the package of transition practical expedients that allowed us to carry forward prior conclusions related to: (i) whether any expired or existing contracts are or contain leases; (ii) the lease classification for any expired or existing leases; and (iii) initial direct costs for existing leases. Additionally, we elected the practical expedient of not separating lease components from non-lease components for all asset classes. We also made an accounting policy election to not record ROU assets or lease liabilities for leases with an initial term of 12 months or less and will recognize payments for such leases in our Consolidated Statements of Comprehensive Income (Loss) on a straight-line basis over the lease term. We did not elect the use of hindsight for determining the reasonably certain lease term.</w:t>
      </w:r>
    </w:p>
    <w:p>
      <w:pPr>
        <w:spacing w:after="0" w:line="14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enter into various noncancelable lease agreements for office space, parking facilities, warehouses, vehicles, and equipment used in the normal course of business. We determine if an arrangement is a lease at inception and begin recording lease activity at the commencement date, which is generally the date in which we take possession of or control the physical use of the asset. ROU assets and lease liabilities are recognized based on the present value of lease payments over the lease term with lease expense recognized on a straight-line basis. We use our incremental borrowing rate to determine the present value of future lease payments unless the implicit rate in a lease is readily determinable. Our incremental borrowing rate is the rate of interest we would have to pay to borrow on a collateralized basis over a similar term at an amount equal to the lease payments in a similar economic environment. This incremental borrowing rate is applied to the minimum lease payments within each lease agreement to determine the amounts of our ROU assets and lease liabilities. Our incremental borrowing rate as of November 1, 2019, was utilized for the initial measurement of operating lease liabilities upon adoption of Topic 842.</w:t>
      </w:r>
    </w:p>
    <w:p>
      <w:pPr>
        <w:spacing w:after="0" w:line="15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lease terms range from one to 30 years. Some leases include one or more options to renew, with renewal terms that can extend the lease term. We typically include options to extend the lease in a lease term when it is reasonably certain that we will exercise that option and when doing so is at our sole discretion. Certain equipment and vehicle leases may also include options to purchase the leased property. The depreciable life of assets and leasehold improvements are limited by the expected lease term, unless there is a transfer of title or purchase option reasonably certain of exercise. Typically, if we decide to cancel or terminate a lease before the end of its term, then we would owe the lessor the remaining lease payments under the term of such lease. Our lease agreements generally do not contain any material residual value guarantees or material restrictive covenants. We may rent or sublease certain real estate assets that we no longer use to third parties.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60" w:name="page61"/>
    <w:bookmarkEnd w:id="60"/>
    <w:p>
      <w:pPr>
        <w:jc w:val="both"/>
        <w:ind w:firstLine="648"/>
        <w:spacing w:after="0" w:line="252" w:lineRule="auto"/>
        <w:rPr>
          <w:sz w:val="20"/>
          <w:szCs w:val="20"/>
          <w:color w:val="auto"/>
        </w:rPr>
      </w:pPr>
      <w:r>
        <w:rPr>
          <w:rFonts w:ascii="Arial" w:cs="Arial" w:eastAsia="Arial" w:hAnsi="Arial"/>
          <w:sz w:val="18"/>
          <w:szCs w:val="18"/>
          <w:color w:val="auto"/>
        </w:rPr>
        <w:t>Lease agreements may contain rent escalation clauses, rent holidays, or certain landlord incentives, including tenant improvement allowances. Prior to November 1, 2019, we recognized lease expense related to operating leases on a straight-line basis over the terms of the leases and, accordingly, recorded the difference between cash rent payments and recognition of rent expense as a deferred rent liability or prepaid rent. Landlord-funded leasehold improvements were also recorded as deferred rent liabilities and were amortized as a reduction of rent expense over the noncancelable term of the related operating lease. The ROU assets recognized upon adoption of Topic 842 included: cumulative prepaid or accrued rent on the adoption date, unamortized lease incentives, and unamortized initial direct costs initially recognized prior to adoption of Topic 842. Following adoption of Topic 842, ROU assets include amounts for scheduled rent increases and are reduced by lease incentive amounts.</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of our lease agreements include variable rent payments, consisting primarily of rental payments adjusted periodically for inflation and amounts paid to the lessor based on cost or consumption, such as maintenance and utilities. These costs are expensed as incurred. Certain of our parking arrangements also contain variable rent payments that are a percentage of parking services revenue based on contractual levels. We record contingent rent as it becomes probable that specified targets will be met. Variable rent lease components are not included in the lease liability.</w:t>
      </w:r>
    </w:p>
    <w:p>
      <w:pPr>
        <w:spacing w:after="0" w:line="13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Service concession arrangements within the scope of ASU No. 2017-10, </w:t>
      </w:r>
      <w:r>
        <w:rPr>
          <w:rFonts w:ascii="Arial" w:cs="Arial" w:eastAsia="Arial" w:hAnsi="Arial"/>
          <w:sz w:val="18"/>
          <w:szCs w:val="18"/>
          <w:i w:val="1"/>
          <w:iCs w:val="1"/>
          <w:color w:val="auto"/>
        </w:rPr>
        <w:t>Service Concession Arrangements (Topic 853)</w:t>
      </w:r>
      <w:r>
        <w:rPr>
          <w:rFonts w:ascii="Arial" w:cs="Arial" w:eastAsia="Arial" w:hAnsi="Arial"/>
          <w:sz w:val="18"/>
          <w:szCs w:val="18"/>
          <w:color w:val="auto"/>
        </w:rPr>
        <w:t xml:space="preserve">: </w:t>
      </w:r>
      <w:r>
        <w:rPr>
          <w:rFonts w:ascii="Arial" w:cs="Arial" w:eastAsia="Arial" w:hAnsi="Arial"/>
          <w:sz w:val="18"/>
          <w:szCs w:val="18"/>
          <w:i w:val="1"/>
          <w:iCs w:val="1"/>
          <w:color w:val="auto"/>
        </w:rPr>
        <w:t>Determining the Customer of the Operation Services</w:t>
      </w:r>
      <w:r>
        <w:rPr>
          <w:rFonts w:ascii="Arial" w:cs="Arial" w:eastAsia="Arial" w:hAnsi="Arial"/>
          <w:sz w:val="18"/>
          <w:szCs w:val="18"/>
          <w:color w:val="auto"/>
        </w:rPr>
        <w:t>, are excluded from the scope of Topic 842. Lease costs associated with these</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are recorded as a reduction of revenues. See Note 3, “Revenues,” for further discussion.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Goodwill and Other Intangible Assets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Goodwill represents the excess purchase price of acquired businesses over the fair value of the assets acquired and liabilities assumed. We have elected to make the first day of our fourth quarter, August 1, the annual impairment assessment date for goodwill. However, we could be required to evaluate the recoverability of goodwill more often if impairment indicators exist. Goodwill is tested for impairment at a “reporting unit” level by performing either a qualitative evaluation or a quantitative test. The qualitative evaluation is an assessment of factors to determine whether it is more likely than not that the fair value of a reporting unit is less than its carrying amount. We may elect not to perform the qualitative assessment for some or all reporting units and instead perform a quantitative test under which we estimate the fair value using a weighting of fair values derived from an income approach and a market approach. The discounted estimates of future cash flows include significant management assumptions, such as revenue growth rates, operating margins, weighted average cost of capital, and future economic and market conditions.</w:t>
      </w:r>
    </w:p>
    <w:p>
      <w:pPr>
        <w:spacing w:after="0" w:line="15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Other intangible assets primarily consist of acquired customer contracts and relationships that are amortized using the sum-of-the-years’-digits method over their useful lives, consistent with the estimated useful life considerations used in the determination of their fair values. This accelerated method of amortization reflects the pattern in which the economic benefits from the intangible assets of customer contracts and relationships are expected to be realized. We amortize other non-customer acquired intangibles using a straight-line method of amortization. We evaluate other intangible assets, as well as our long-lived assets, for impairment whenever events or changes in circumstances indicate that the carrying amount of such assets may not be recoverable. When this occurs, a recoverability test is performed that compares the projected undiscounted cash flows from the use and eventual disposition of an asset or asset group to its carrying amount. If the projected undiscounted cash flows are less than the carrying amount, then we calculate an impairment loss. The impairment loss calculation compares the fair value, which is based on projected discounted cash flows, to the carrying value.</w:t>
      </w:r>
    </w:p>
    <w:p>
      <w:pPr>
        <w:spacing w:after="0" w:line="1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See Note 9, “Goodwill and Other Intangible Assets,” for further information on goodwill, other intangible assets, and impairment charges.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Other Noncurrent Assets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2021 and 2020, other noncurrent assets primarily consisted of long-term insurance recoverables, deferred charges, capitalized commissions, ESPC receivables, insurance and other long-term deposits, and prepayments to carriers for future insurance claims.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0046AD"/>
        </w:rPr>
        <w:t>Federal Energy Savings Performance Contract Receivables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part of our Technical Solutions business, we enter into ESPCs with the federal government pursuant to which we agree to develop, design, engineer, and construct a project and to guarantee that the project will satisfy agreed-upon performance standards. ESPC receivables represent the amount to be paid by various federal government agencies for work we have satisfactorily performed under specific ESPCs. We assign certain of our rights to receive those payments to unaffiliated third parties that provide construction financing, which we record as a liability, for such contracts. This construction financing is recorded as cash flows from financing activities, while the use of the cash received to pay project costs under these arrangements is classified as operating cash flows. The ESPC receivable is recognized as revenue as each project is constructed. Upon completion and acceptance of the project by the government and upon satisfaction of true sale criteria, the assigned ESPC receivable from the government and corresponding ESPC liability are eliminated from our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Fair Value of Financial Instruments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Fair value is the price we would receive to sell an asset or pay to transfer a liability in an orderly transaction with a market participant at the measurement date. In the absence of active markets for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spacing w:after="0" w:line="15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Observable inputs reflect market data obtained from independent sources, while unobservable inputs reflect our market assumptions. Preference is given to observable inputs. These two types of inputs create the following fair value hierarchy:</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for identical instruments in active markets;</w:t>
      </w:r>
    </w:p>
    <w:p>
      <w:pPr>
        <w:spacing w:after="0" w:line="171"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 markets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not active; and model-derived valuations whose inputs are observable or whose significant value drivers are observable; and</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Significant inputs to the valuation model are unobservable.</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evaluate assets and liabilities subject to fair value measurements on a recurring and non-recurring basis to determine the appropriate level at which to classify them for each reporting period. Some non-financial assets are measured at fair value on a non-recurring basis only in certain circumstances, including the event of impairment. See Note 7, “Fair Value of Financial Instruments,” for the fair value hierarchy table and for details on how we measure fair value for our assets and liabilities.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Insurance Reserves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Insurance claim liabilities represent our estimate of retained risks without regard to insurance coverage. We retain a substantial portion of the risk related to certain workers’ compensation and medical claims. Liabilities associated with these losses include estimates of both filed claims and IBNR Claims.</w:t>
      </w:r>
    </w:p>
    <w:p>
      <w:pPr>
        <w:spacing w:after="0" w:line="15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With the assistance of third-party actuaries, we review our estimate of ultimate losses for IBNR Claims on a quarterly basis and adjust our required self-insurance reserves as appropriate. See Note 10, “Insurance,” for further details on the quarterly review procedures. As part of this evaluation, we review the status of existing and new claim reserves as established by third-party claims administrators. The third-party claims administrators establish the case reserves based upon known factors related to the type and severity of the claims, demographic factors, legislative matters, and case law, as appropriate. We compare actual trends to expected trends and monitor claims developments. The specific case reserves estimated by the third-party administrators are provided to an actuary who assists us in projecting an actuarial estimate of the overall ultimate losses for our self-insured or high deductible programs, which includes the case reserves plus an actuarial estimate of reserves required for additional developments, such as IBNR Claims. We utilize the results of actuarial studies to estimate our insurance rates and insurance reserves for future periods and to adjust reserves, if appropriate, for prior years.</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general, our insurance reserves are recorded on an undiscounted basis. We allocate current-year insurance expense to our operating segments based upon their underlying exposures, while actuarial adjustments related to prior year claims are recorded within Corporate expenses. We classify claims as current or long-term</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62" w:name="page63"/>
    <w:bookmarkEnd w:id="62"/>
    <w:p>
      <w:pPr>
        <w:jc w:val="both"/>
        <w:spacing w:after="0" w:line="261" w:lineRule="auto"/>
        <w:rPr>
          <w:sz w:val="20"/>
          <w:szCs w:val="20"/>
          <w:color w:val="auto"/>
        </w:rPr>
      </w:pPr>
      <w:r>
        <w:rPr>
          <w:rFonts w:ascii="Arial" w:cs="Arial" w:eastAsia="Arial" w:hAnsi="Arial"/>
          <w:sz w:val="18"/>
          <w:szCs w:val="18"/>
          <w:color w:val="auto"/>
        </w:rPr>
        <w:t>based on the expected settlement date. Estimated insurance recoveries related to recorded liabilities are reflected as assets in our Consolidated Balance Sheets when we believe the receipt of such amounts is probable.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Other Accrued Liabilities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2021 and 2020, other accrued liabilities primarily consisted of legal fees and settlements, other accrued expenses (which include the current portion of deferred payroll taxes), employee benefits, contract liabilities (which include deferred revenue and progress billings in excess of costs), unclaimed property, dividends payable, and insurance claims.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Other Noncurrent Liabilities</w:t>
      </w:r>
    </w:p>
    <w:p>
      <w:pPr>
        <w:spacing w:after="0" w:line="19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At October 31, 2021 and 2020, other noncurrent liabilities primarily consisted of noncurrent deferred payroll taxes, deferred compensation, ESPC liabilities, retirement plan liabilities, long-term finance leases, and warranty reserves.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Contracts with Customers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account for a contract when it has approval and commitment from both parties, the rights of the parties are identified, payment terms are identified, the contract has commercial substance, and collectability of consideration is probable. Once a contract is identified, we evaluate whether it is a combined or single contract and whether it should be accounted for as more than one performance obligation. Generally, most of our contracts are cancelable by either party without a substantive penalty, and the majority of our contracts have a notification period of 30 to 60 days. If a contract includes a cancellation clause, the remaining contract term is limited to the required termination notice period.</w:t>
      </w:r>
    </w:p>
    <w:p>
      <w:pPr>
        <w:spacing w:after="0" w:line="1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contract inception, we assess the services promised to our customers and identify a performance obligation for each promise to transfer to the customer a service, or a bundle of services, that is distinct. To identify the performance obligation, we consider all of our services promised in the contract, regardless of whether they are explicitly stated or are implied by customary business practices.</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majority of our contracts contain multiple promises that represent an integrated bundle of services comprised of activities that may vary over time; however, these activities fulfill a single integrated performance obligation since we perform a continuous service that is substantially the same and has the same pattern of transfer to the customer. Our performance obligations are primarily satisfied over time as we provide the related services. We allocate the contract transaction price to this single performance obligation and recognize revenue as the services are performed, as further described in “Contract Types” below.</w:t>
      </w:r>
    </w:p>
    <w:p>
      <w:pPr>
        <w:spacing w:after="0" w:line="15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Certain arrangements involve variable consideration (primarily per transaction fees, reimbursable expenses, and sales-based royalties). We do not estimate the variable consideration for these arrangements; rather, we recognize these variable fees in the period they are earned. Some of our contracts, often related to Airline Services, may also include performance incentives based on variable performance measures that are ascertained exclusively by future performance and therefore cannot be estimated at contract inception and are recognized as revenue once known and mutually agreed upon.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w:t>
      </w:r>
    </w:p>
    <w:p>
      <w:pPr>
        <w:spacing w:after="0" w:line="1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primarily account for our performance obligations under the series guidance, using the as-invoiced practical expedient when applicable. We apply the as-invoiced practical expedient to record revenue as the services are provided, given the nature of the services provided and the frequency of billing under the customer contracts. Under this practical expedient, we recognize revenue in an amount that corresponds directly with the value to the customer of our performance completed to date and for which we have the right to invoice the customer.</w:t>
      </w:r>
    </w:p>
    <w:p>
      <w:pPr>
        <w:spacing w:after="0" w:line="15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typically bill customers on a monthly basis and have the right to consideration from customers in an amount that corresponds directly with the performance obligation satisfied to date. The time between completion of the performance obligation and collection of cash is generally 30 to 60 days. Sales-based taxes are excluded from revenue.</w:t>
      </w:r>
    </w:p>
    <w:p>
      <w:pPr>
        <w:spacing w:after="0" w:line="148"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Contracts generally can be modified to account for changes in specifications and requirements. We consider contract modifications to exist when the modification either changes the consideration, creates new</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63" w:name="page64"/>
    <w:bookmarkEnd w:id="63"/>
    <w:p>
      <w:pPr>
        <w:jc w:val="both"/>
        <w:spacing w:after="0" w:line="254" w:lineRule="auto"/>
        <w:rPr>
          <w:sz w:val="20"/>
          <w:szCs w:val="20"/>
          <w:color w:val="auto"/>
        </w:rPr>
      </w:pPr>
      <w:r>
        <w:rPr>
          <w:rFonts w:ascii="Arial" w:cs="Arial" w:eastAsia="Arial" w:hAnsi="Arial"/>
          <w:sz w:val="18"/>
          <w:szCs w:val="18"/>
          <w:color w:val="auto"/>
        </w:rPr>
        <w:t>performance obligations, or changes the existing scope of the contract and related performance obligations. Historically, contract modifications have been for services that are not distinct from the existing contract, since we are providing a bundle of services that are highly interrelated, and are therefore treated as if they were part of that existing contract. Such modifications are generally accounted for prospectively as part of the existing contract.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Contract Types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arrangements under various contract types, as described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Monthly Fixed-Price</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Monthly fixed-price arrangements are contracts in which the client agrees to pay a fixed fee every month over a specified contract term.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Square-Foot</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Square-foot arrangements are contracts in which the client agrees to pay a fixed fee every month based on the actual square footage serviced over a specified contract term.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Cost-Plus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Cost-plus arrangements are contracts in which the clients reimburse us for the agreed-upon amount of wages and benefits, payroll taxes, insurance charges, and other expenses associated with the contracted work, plus a profit margin.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Work Orders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Work orders generally consist of supplemental services requested by clients outside of the standard service specification and include cleanup after tenant moves, construction cleanup, flood cleanup, and snow removal. The nature of these short-term contracts involves performing one-off type services, and revenue is recognized at the agreed-upon contractual amount over time as the services are provided, because the customer simultaneously receives and consumes the benefits of the services as they are performed.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Transaction-Price</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Transaction-price contracts are arrangements in which customers are billed a fixed price for each transaction performed on a monthly basis (e.g., wheelchair passengers served, airplane cabins cleaned).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Hourly</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Hourly arrangements are contracts in which the client is billed a fixed hourly rate for each labor hour provided.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Management Reimbursement</w:t>
      </w:r>
    </w:p>
    <w:p>
      <w:pPr>
        <w:spacing w:after="0" w:line="189" w:lineRule="exact"/>
        <w:rPr>
          <w:sz w:val="20"/>
          <w:szCs w:val="20"/>
          <w:color w:val="auto"/>
        </w:rPr>
      </w:pPr>
    </w:p>
    <w:p>
      <w:pPr>
        <w:jc w:val="both"/>
        <w:ind w:firstLine="143"/>
        <w:spacing w:after="0" w:line="253" w:lineRule="auto"/>
        <w:rPr>
          <w:sz w:val="20"/>
          <w:szCs w:val="20"/>
          <w:color w:val="auto"/>
        </w:rPr>
      </w:pPr>
      <w:r>
        <w:rPr>
          <w:rFonts w:ascii="Arial" w:cs="Arial" w:eastAsia="Arial" w:hAnsi="Arial"/>
          <w:sz w:val="18"/>
          <w:szCs w:val="18"/>
          <w:color w:val="auto"/>
        </w:rPr>
        <w:t>Under management reimbursement arrangements, we manage a parking facility for a management fee and pass through the revenue and expenses associated with the facility to the owner. We measure progress toward satisfaction of the performance obligation over time as the services are provided. Under these contracts we recognize both revenues and expenses, in equal amounts, that are directly reimbursed from the property owner for operating expenses, as such expenses are incurred. Such revenues do not include gross customer collections at the managed locations, because they belong to the property owners. We have determined we are the principal in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64" w:name="page65"/>
    <w:bookmarkEnd w:id="64"/>
    <w:p>
      <w:pPr>
        <w:jc w:val="both"/>
        <w:spacing w:after="0" w:line="261" w:lineRule="auto"/>
        <w:rPr>
          <w:sz w:val="20"/>
          <w:szCs w:val="20"/>
          <w:color w:val="auto"/>
        </w:rPr>
      </w:pPr>
      <w:r>
        <w:rPr>
          <w:rFonts w:ascii="Arial" w:cs="Arial" w:eastAsia="Arial" w:hAnsi="Arial"/>
          <w:sz w:val="18"/>
          <w:szCs w:val="18"/>
          <w:color w:val="auto"/>
        </w:rPr>
        <w:t>these transactions, because the nature of our performance obligation is for us to provide the services on behalf of the customer and we have control of the promised services before they are transferred to the customer.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Leased Location</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leased location parking arrangements, we pay a fixed amount of rent, plus a percentage of revenues derived from monthly and transient parkers, to the property owner. We retain all revenues received and we are responsible for most operating expenses incurred. We measure progress toward satisfaction of the performance obligation as the services are provided, and revenue is recognized over time, because the customer simultaneously receives and consumes the benefits of the services as they are performed.</w:t>
      </w:r>
    </w:p>
    <w:p>
      <w:pPr>
        <w:spacing w:after="0" w:line="150"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Rental expense and certain other expenses under contracts that meet the definition of service concession arrangements are recorded as a reduction of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Allowance</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allowance parking arrangements, we are paid a fixed amount or hourly rate to provide parking services, and we are responsible for certain operating expenses that are specified in the contract. We measure progress toward satisfaction of the performance obligation as the services are provided, and revenue is recognized at the agreed-upon contractual rate over time, because the customer simultaneously receives and consumes the benefits of the services as they are performed.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Energy Savings Contracts and Fixed-Price Repair and Refurbishment</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Under energy savings contracts and fixed-price repair and refurbishment arrangements, we agree to develop, design, engineer, and construct a project. Additionally, as part of bundled energy solutions arrangements, we guarantee the project will satisfy agreed-upon performance standards.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the cost-to-cost method, which compares the actual costs incurred to date with the current estimate of total costs to complete, to measure the satisfaction of the performance obligation and recognize revenue as work progresses and we incur costs on our contracts; we believe this method best reflects the transfer of control to the customer. This measurement and comparison process requires updates to the estimate of total costs to complete the contract, and these updates may include subjective assessments and judgments. Equipment purchased for these projects is project-specific and considered a value-added element to our work. Equipment costs are incurred when title is transferred to us, typically upon delivery to the work site. Revenue for uninstalled equipment is recognized at cost and the associated margin is deferred until installation is substantially complete.</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recognize revenue over time for all of our services as we perform them, because (i) control continuously transfers to the customer as work progresses or (ii) we have the right to bill the customer as costs are incurred. The customer typically controls the work in process, as evidenced either by contractual termination clauses or by our rights to payment for work performed to date plus a reasonable profit to deliver products or services that do not have an alternative use to us.</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Certain project contracts include a schedule of billings or invoices to the customer based on our job-to-date percentage of completion of specific tasks inherent in the fulfillment of our performance obligation(s) or in accordance with a fixed billing schedule. Fixed billing schedules may not precisely match the actual costs incurred. Therefore, revenue recognized may differ from amounts that can be billed or invoiced to the customer at any point during the contract, resulting in balances that are considered revenue recognized in excess of cumulative billings or cumulative billings in excess of revenue recognized. Advanced payments from our customers generally do not represent a significant financing component as the payments are used to meet working capital demands that can be higher in the early stages of a contract, as well as to protect us from our customer failing to meet its obligations under the contract.</w:t>
      </w:r>
    </w:p>
    <w:p>
      <w:pPr>
        <w:spacing w:after="0" w:line="15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Certain projects include service maintenance agreements under which existing systems are repaired and maintained for a specific period of time. We generally recognize revenue under these arrangements over time. Our service maintenance agreements are generally one-year renewable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Franchise</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franchise certain engineering services through individual and area franchises under the Linc Service and TEGG brands, which are part of ABM Technical Solutions. Initial franchise fees result from the sale of a franchise license and include the use of the name, trademarks, and proprietary methods. The franchise license is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65" w:name="page66"/>
    <w:bookmarkEnd w:id="65"/>
    <w:p>
      <w:pPr>
        <w:jc w:val="both"/>
        <w:spacing w:after="0" w:line="261" w:lineRule="auto"/>
        <w:rPr>
          <w:sz w:val="20"/>
          <w:szCs w:val="20"/>
          <w:color w:val="auto"/>
        </w:rPr>
      </w:pPr>
      <w:r>
        <w:rPr>
          <w:rFonts w:ascii="Arial" w:cs="Arial" w:eastAsia="Arial" w:hAnsi="Arial"/>
          <w:sz w:val="18"/>
          <w:szCs w:val="18"/>
          <w:color w:val="auto"/>
        </w:rPr>
        <w:t>considered symbolic intellectual property, and revenue related to the sale of this right is recognized at the agreed-upon contractual amount over the term of the initial franchise agreement.</w:t>
      </w:r>
    </w:p>
    <w:p>
      <w:pPr>
        <w:spacing w:after="0" w:line="14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Royalty fee revenue consists of sales-based royalties received as part of the consideration for the franchise right, which is calculated as a percentage of the franchisees’ revenue. We recognize royalty fee revenue at the agreed-upon contractual rates over time as the customer revenue is generated by the franchisees. A receivable is recognized for an estimate of the unreported royalty fees, which are reported and remitted to us in arrears.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64FA2"/>
        </w:rPr>
        <w:t>Costs to Obtain a Contract With a Customer</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capitalize the incremental costs of obtaining a contract with a customer, primarily commissions, as contract assets and recognize the expense on a straight-line basis over a weighted average expected customer relationship period. Capitalized commissions are classified as current or noncurrent based on the timing of when we expect to recognize the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64FA2"/>
        </w:rPr>
        <w:t>Contract Balances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timing of revenue recognition, billings, and cash collections results in contract assets and contract liabilities, as further explained below. The timing of revenue recognition may differ from the timing of invoicing to customers. If a contract includes a cancellation clause that allows for the termination of the contract by either party without a substantive penalty, then the contract term is limited to the termination notice period.</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Contract assets primarily consist of billed trade receivables, unbilled trade receivables, and costs incurred in excess of amounts billed. Billed and unbilled trade receivables represent amounts from work completed in which we have an unconditional right to bill our customer. Costs incurred in excess of amounts billed typically arise when the revenue recognized on projects exceeds the amount billed to the customer. These amounts are transferred to billed trade receivables when the rights become unconditional. Contract assets also include the capitalization of incremental costs of obtaining a contract with a customer, primarily commissions.</w:t>
      </w:r>
    </w:p>
    <w:p>
      <w:pPr>
        <w:spacing w:after="0" w:line="15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Contract liabilities consist of deferred revenue and advance payments and billings in excess of revenue recognized. We generally classify contract liabilities as current since the related contracts are generally for a period of one year or less. Contract liabilities decrease as we recognize revenue from the satisfaction of the related performance obligation.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Management Reimbursement Revenue by Segment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8"/>
                <w:szCs w:val="18"/>
                <w:b w:val="1"/>
                <w:bCs w:val="1"/>
                <w:color w:val="auto"/>
                <w:w w:val="99"/>
              </w:rPr>
              <w:t>Years Ended October 31,</w:t>
            </w:r>
          </w:p>
        </w:tc>
        <w:tc>
          <w:tcPr>
            <w:tcW w:w="13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6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5"/>
                <w:szCs w:val="15"/>
                <w:color w:val="auto"/>
              </w:rPr>
            </w:pPr>
          </w:p>
        </w:tc>
        <w:tc>
          <w:tcPr>
            <w:tcW w:w="1320" w:type="dxa"/>
            <w:vAlign w:val="bottom"/>
          </w:tcPr>
          <w:p>
            <w:pPr>
              <w:jc w:val="right"/>
              <w:ind w:right="530"/>
              <w:spacing w:after="0" w:line="182" w:lineRule="exact"/>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ind w:right="61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jc w:val="right"/>
              <w:ind w:right="610"/>
              <w:spacing w:after="0" w:line="182" w:lineRule="exact"/>
              <w:rPr>
                <w:sz w:val="20"/>
                <w:szCs w:val="20"/>
                <w:color w:val="auto"/>
              </w:rPr>
            </w:pPr>
            <w:r>
              <w:rPr>
                <w:rFonts w:ascii="Arial" w:cs="Arial" w:eastAsia="Arial" w:hAnsi="Arial"/>
                <w:sz w:val="18"/>
                <w:szCs w:val="18"/>
                <w:b w:val="1"/>
                <w:bCs w:val="1"/>
                <w:color w:val="auto"/>
              </w:rPr>
              <w:t>2019</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488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56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Business &amp; Industry</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185.8</w:t>
            </w:r>
          </w:p>
        </w:tc>
        <w:tc>
          <w:tcPr>
            <w:tcW w:w="580" w:type="dxa"/>
            <w:vAlign w:val="bottom"/>
            <w:gridSpan w:val="3"/>
            <w:shd w:val="clear" w:color="auto" w:fill="DCE2E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221.4</w:t>
            </w:r>
          </w:p>
        </w:tc>
        <w:tc>
          <w:tcPr>
            <w:tcW w:w="100" w:type="dxa"/>
            <w:vAlign w:val="bottom"/>
            <w:shd w:val="clear" w:color="auto" w:fill="DCE2EF"/>
          </w:tcPr>
          <w:p>
            <w:pPr>
              <w:spacing w:after="0"/>
              <w:rPr>
                <w:sz w:val="19"/>
                <w:szCs w:val="19"/>
                <w:color w:val="auto"/>
              </w:rPr>
            </w:pP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283.1</w:t>
            </w:r>
          </w:p>
        </w:tc>
      </w:tr>
      <w:tr>
        <w:trPr>
          <w:trHeight w:val="229"/>
        </w:trPr>
        <w:tc>
          <w:tcPr>
            <w:tcW w:w="20" w:type="dxa"/>
            <w:vAlign w:val="bottom"/>
            <w:tcBorders>
              <w:bottom w:val="single" w:sz="8" w:color="DCE2EF"/>
            </w:tcBorders>
          </w:tcPr>
          <w:p>
            <w:pPr>
              <w:spacing w:after="0"/>
              <w:rPr>
                <w:sz w:val="19"/>
                <w:szCs w:val="19"/>
                <w:color w:val="auto"/>
              </w:rPr>
            </w:pPr>
          </w:p>
        </w:tc>
        <w:tc>
          <w:tcPr>
            <w:tcW w:w="5600" w:type="dxa"/>
            <w:vAlign w:val="bottom"/>
            <w:tcBorders>
              <w:bottom w:val="single" w:sz="8" w:color="DCE2EF"/>
            </w:tcBorders>
            <w:gridSpan w:val="2"/>
          </w:tcPr>
          <w:p>
            <w:pPr>
              <w:spacing w:after="0"/>
              <w:rPr>
                <w:sz w:val="20"/>
                <w:szCs w:val="20"/>
                <w:color w:val="auto"/>
              </w:rPr>
            </w:pPr>
            <w:r>
              <w:rPr>
                <w:rFonts w:ascii="Arial" w:cs="Arial" w:eastAsia="Arial" w:hAnsi="Arial"/>
                <w:sz w:val="18"/>
                <w:szCs w:val="18"/>
                <w:color w:val="auto"/>
              </w:rPr>
              <w:t>Aviation</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DCE2E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DCE2E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r>
      <w:tr>
        <w:trPr>
          <w:trHeight w:val="243"/>
        </w:trPr>
        <w:tc>
          <w:tcPr>
            <w:tcW w:w="20" w:type="dxa"/>
            <w:vAlign w:val="bottom"/>
            <w:shd w:val="clear" w:color="auto" w:fill="DCE2EF"/>
          </w:tcPr>
          <w:p>
            <w:pPr>
              <w:spacing w:after="0"/>
              <w:rPr>
                <w:sz w:val="21"/>
                <w:szCs w:val="21"/>
                <w:color w:val="auto"/>
              </w:rPr>
            </w:pPr>
          </w:p>
        </w:tc>
        <w:tc>
          <w:tcPr>
            <w:tcW w:w="560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Total</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240.3</w:t>
            </w:r>
          </w:p>
        </w:tc>
        <w:tc>
          <w:tcPr>
            <w:tcW w:w="580" w:type="dxa"/>
            <w:vAlign w:val="bottom"/>
            <w:gridSpan w:val="3"/>
            <w:shd w:val="clear" w:color="auto" w:fill="DCE2E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295.6</w:t>
            </w:r>
          </w:p>
        </w:tc>
        <w:tc>
          <w:tcPr>
            <w:tcW w:w="100" w:type="dxa"/>
            <w:vAlign w:val="bottom"/>
            <w:shd w:val="clear" w:color="auto" w:fill="DCE2EF"/>
          </w:tcPr>
          <w:p>
            <w:pPr>
              <w:spacing w:after="0"/>
              <w:rPr>
                <w:sz w:val="21"/>
                <w:szCs w:val="21"/>
                <w:color w:val="auto"/>
              </w:rPr>
            </w:pP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378.7</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488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Restructuring and Related Expenses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may periodically engage in various restructuring activities intended to drive long-term profitable growth and increase operational efficiency, which can include streamlining and realigning our overall organizational structure and reallocating resources. Our most recent restructuring program was primarily associated with integrating our acquisition of GCA and reorganizing our healthcare business. During 2020 and 2019, restructuring expenses were $7.6 million and $11.2 million, respectively. By the end of 2020, we had substantially completed the restructuring program.</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Restructuring and related expenses include employee severance, external support fees, lease exit costs, and other costs. Our methodology to record these costs is described below.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Severance</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we do not have a history of consistently providing severance benefits, we recognize severance costs for employees who do not have formal employment agreements when management has committed to a restructuring plan and communicated those actions to impacted employees, such that the employee is able to determine the type and amount of benefits that they will receive upon termination. In addition, if the employees are required to render service beyond the minimum retention period until they are terminated in order to receive the benefits, then a liability</w:t>
      </w:r>
    </w:p>
    <w:p>
      <w:pPr>
        <w:sectPr>
          <w:pgSz w:w="11900" w:h="16838" w:orient="portrait"/>
          <w:cols w:equalWidth="0" w:num="1">
            <w:col w:w="11240"/>
          </w:cols>
          <w:pgMar w:left="320" w:top="1232"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type w:val="continuous"/>
        </w:sectPr>
      </w:pPr>
    </w:p>
    <w:bookmarkStart w:id="66" w:name="page67"/>
    <w:bookmarkEnd w:id="66"/>
    <w:p>
      <w:pPr>
        <w:jc w:val="both"/>
        <w:spacing w:after="0" w:line="261" w:lineRule="auto"/>
        <w:rPr>
          <w:sz w:val="20"/>
          <w:szCs w:val="20"/>
          <w:color w:val="auto"/>
        </w:rPr>
      </w:pPr>
      <w:r>
        <w:rPr>
          <w:rFonts w:ascii="Arial" w:cs="Arial" w:eastAsia="Arial" w:hAnsi="Arial"/>
          <w:sz w:val="18"/>
          <w:szCs w:val="18"/>
          <w:color w:val="auto"/>
        </w:rPr>
        <w:t>is recognized ratably over the future service period. For employees with employment agreements, we accrue for these severance liabilities when it is probable that the impacted employee will be entitled to the benefits and the amount can be reasonably estimated.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Advertising</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Advertising costs are expensed as incurred. During 2021, 2020, and 2019, advertising expense was $6.2 million, $1.8 million, and $1.7 million,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Share-Based Compensation</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current share-based awards principally consist of restricted stock units (“RSUs”) and various performance share awards. We recognize compensation costs associated with these awards in selling, general and administrative expenses. For RSUs and certain performance share awards, the amount of compensation cost is measured based on the grant-date fair value of the equity instruments issued. Since our total shareholder return (“TSR”) performance share awards are performance awards with a market condition, the compensation costs associated with these awards are determined using a Monte Carlo simulation valuation model. For RSUs and TSR awards, compensation cost is recognized over the period that an employee provides service in exchange for the award. We recognize compensation cost associated with other performance share awards over the requisite service period based on the probability of achievement of performance criteria.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Taxes Collected from Clients and Remitted to Governmental Agencies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 taxes on client transactions due to governmental agencies as receivables and liabilities on the Consolidated Balance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Net Income Per Common Share</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Basic net income per common share is net income divided by the weighted-average number of common shares outstanding during the period. Diluted net income per common share is based on the weighted-average number of common shares outstanding during the period, adjusted to include the potential dilution from the conversion of RSUs, vesting of performance shares, and exercise of stock options.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Contingencies and Litigation</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 We accrue for loss contingencies when losses become probable and are reasonably estimable. If the reasonable estimate of the loss is a range and no amount within the range is a better estimate, then the minimum amount of the range is recorded as a liability. We recognize legal costs as an expense in the period incurred.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Income Taxes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account for income taxes using the asset and liability method. Deferred tax assets and liabilities are recognized for the future tax consequences attributable to temporary differences between the financial statement carrying amount of existing assets and liabilities and their respective tax bases. We measure deferred tax assets and liabilities using enacted tax rates expected to be applied to taxable income in the years in which those temporary differences are expected to be recovered. Deferred tax assets are reviewed for recoverability on a quarterly basis. A valuation allowance is recorded to reduce the carrying amount of a deferred tax asset to its realizable value unless it is more likely than not that such asset will be realized. We recognize accrued interest and penalties related to unrecognized tax benefits in income tax expense in our Consolidated Statements of Comprehensive Income (Loss).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Recently Adopted Accounting Standards</w:t>
      </w:r>
    </w:p>
    <w:p>
      <w:pPr>
        <w:spacing w:after="0" w:line="1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The Financial Accounting Standards Board (“FASB”) issued ASU No. 2016-13,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in June 2016 and subsequently issued these amendments to the initial guidance: ASU 2018-19, ASU 2019-04, ASU 2019-05, ASU 2019-11, and ASU 2020-03 (collectively, “Topic 326”). Topic 326 replaces the existing incurred loss impairment model with a methodology that incorporates all expected credit loss estimates, resulting in more timely recognition of losses. Under Topic 326, an organization is required to measure all</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67" w:name="page68"/>
    <w:bookmarkEnd w:id="67"/>
    <w:p>
      <w:pPr>
        <w:jc w:val="both"/>
        <w:spacing w:after="0" w:line="252" w:lineRule="auto"/>
        <w:rPr>
          <w:sz w:val="20"/>
          <w:szCs w:val="20"/>
          <w:color w:val="auto"/>
        </w:rPr>
      </w:pPr>
      <w:r>
        <w:rPr>
          <w:rFonts w:ascii="Arial" w:cs="Arial" w:eastAsia="Arial" w:hAnsi="Arial"/>
          <w:sz w:val="18"/>
          <w:szCs w:val="18"/>
          <w:color w:val="auto"/>
        </w:rPr>
        <w:t>expected credit losses for financial assets held at the reporting date based on historical experience, current conditions, and reasonable and supportable forecasts that affect the collectability of the reported financial assets. It also requires credit losses related to available-for-sale debt securities to be recorded through an allowance for credit losses. We adopted this standard effective November 1, 2020, on a modified retrospective basis. The asset and liability classes that we have identified to be in the scope of Topic 326 at the time of the adoption are trade accounts receivable, costs incurred in excess of amounts billed, guarantees, reinsurance recoverables, and notes receivable. The adoption of this standard did not have a material impact on our consolidated financial statements.</w:t>
      </w:r>
    </w:p>
    <w:p>
      <w:pPr>
        <w:spacing w:after="0" w:line="13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Accounting for Implementation Costs Incurred in a Cloud Computing Arrangement That Is a Service Contract. </w:t>
      </w:r>
      <w:r>
        <w:rPr>
          <w:rFonts w:ascii="Arial" w:cs="Arial" w:eastAsia="Arial" w:hAnsi="Arial"/>
          <w:sz w:val="18"/>
          <w:szCs w:val="18"/>
          <w:color w:val="auto"/>
        </w:rPr>
        <w:t>This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update aligns the requirements for capitalizing implementation costs incurred in a hosting arrangement that is a service contract with the requirements for capitalizing implementation costs incurred to develop or obtain internal-use software. The guidance also specifies that the presentation of capitalized implementation costs and the related amortization on the balance sheet, income statement, and statement of cash flows should align with the presentation of the hosting (service) element of the arrangement. We adopted this standard effective November 1, 2020, on a prospective basis. The adoption of the standard did not have a material impact on our consolidated financial statements.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other recently adopted accounting standards have had a significant impact on our fiscal 2021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Recently Issued Accounting Standards</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do not expect any recently issued accounting pronouncements to have a material impact on our consolidated financial statements and related disclosures.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0046AD"/>
        </w:rPr>
        <w:t>3.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Disaggregation of Revenues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generate revenues under several types of contracts, which are further described in Note 2, “Basis of Presentation and Significant Accounting Policies.” Generally, the type of contract is determined by the nature of the services provided by each of our major service lines throughout our reportable segments; therefore, we disaggregate revenues from contracts with customers into major service lines. We have determined that disaggregating revenues into these categories best depicts how the nature, amount, timing, and uncertainty of revenues and cash flows are affected by economic factors. Our reportable segments are B&amp;I, T&amp;M, Education, Aviation, and Technical Solutions, as described in Note 17, “Segment and Geographic Information.”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rPr>
              <w:t>Year Ended October 31, 2021</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4"/>
            <w:vMerge w:val="restart"/>
          </w:tcPr>
          <w:p>
            <w:pPr>
              <w:ind w:left="160"/>
              <w:spacing w:after="0"/>
              <w:rPr>
                <w:sz w:val="20"/>
                <w:szCs w:val="20"/>
                <w:color w:val="auto"/>
              </w:rPr>
            </w:pPr>
            <w:r>
              <w:rPr>
                <w:rFonts w:ascii="Arial" w:cs="Arial" w:eastAsia="Arial" w:hAnsi="Arial"/>
                <w:sz w:val="16"/>
                <w:szCs w:val="16"/>
                <w:b w:val="1"/>
                <w:bCs w:val="1"/>
                <w:color w:val="auto"/>
              </w:rPr>
              <w:t>B&amp;I</w:t>
            </w:r>
          </w:p>
        </w:tc>
        <w:tc>
          <w:tcPr>
            <w:tcW w:w="240" w:type="dxa"/>
            <w:vAlign w:val="bottom"/>
          </w:tcPr>
          <w:p>
            <w:pPr>
              <w:spacing w:after="0"/>
              <w:rPr>
                <w:sz w:val="13"/>
                <w:szCs w:val="13"/>
                <w:color w:val="auto"/>
              </w:rPr>
            </w:pPr>
          </w:p>
        </w:tc>
        <w:tc>
          <w:tcPr>
            <w:tcW w:w="94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T&amp;M</w:t>
            </w:r>
          </w:p>
        </w:tc>
        <w:tc>
          <w:tcPr>
            <w:tcW w:w="140" w:type="dxa"/>
            <w:vAlign w:val="bottom"/>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Education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Aviation</w:t>
            </w:r>
          </w:p>
        </w:tc>
        <w:tc>
          <w:tcPr>
            <w:tcW w:w="140" w:type="dxa"/>
            <w:vAlign w:val="bottom"/>
          </w:tcPr>
          <w:p>
            <w:pPr>
              <w:spacing w:after="0"/>
              <w:rPr>
                <w:sz w:val="13"/>
                <w:szCs w:val="13"/>
                <w:color w:val="auto"/>
              </w:rPr>
            </w:pPr>
          </w:p>
        </w:tc>
        <w:tc>
          <w:tcPr>
            <w:tcW w:w="106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Technical</w:t>
            </w:r>
          </w:p>
        </w:tc>
        <w:tc>
          <w:tcPr>
            <w:tcW w:w="240" w:type="dxa"/>
            <w:vAlign w:val="bottom"/>
          </w:tcPr>
          <w:p>
            <w:pPr>
              <w:spacing w:after="0"/>
              <w:rPr>
                <w:sz w:val="13"/>
                <w:szCs w:val="13"/>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gridSpan w:val="3"/>
          </w:tcPr>
          <w:p>
            <w:pPr>
              <w:spacing w:after="0" w:line="129" w:lineRule="exact"/>
              <w:rPr>
                <w:sz w:val="20"/>
                <w:szCs w:val="20"/>
                <w:color w:val="auto"/>
              </w:rPr>
            </w:pPr>
            <w:r>
              <w:rPr>
                <w:rFonts w:ascii="Arial" w:cs="Arial" w:eastAsia="Arial" w:hAnsi="Arial"/>
                <w:sz w:val="13"/>
                <w:szCs w:val="13"/>
                <w:i w:val="1"/>
                <w:iCs w:val="1"/>
                <w:color w:val="auto"/>
              </w:rPr>
              <w:t>(in millions)</w:t>
            </w:r>
          </w:p>
        </w:tc>
        <w:tc>
          <w:tcPr>
            <w:tcW w:w="26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Solutions</w:t>
            </w: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660" w:type="dxa"/>
            <w:vAlign w:val="bottom"/>
            <w:tcBorders>
              <w:top w:val="single" w:sz="8" w:color="auto"/>
              <w:bottom w:val="single" w:sz="8" w:color="DCE2EF"/>
            </w:tcBorders>
          </w:tcPr>
          <w:p>
            <w:pPr>
              <w:spacing w:after="0" w:line="20" w:lineRule="exact"/>
              <w:rPr>
                <w:sz w:val="1"/>
                <w:szCs w:val="1"/>
                <w:color w:val="auto"/>
              </w:rPr>
            </w:pPr>
          </w:p>
        </w:tc>
        <w:tc>
          <w:tcPr>
            <w:tcW w:w="344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DCE2EF"/>
          </w:tcPr>
          <w:p>
            <w:pPr>
              <w:spacing w:after="0"/>
              <w:rPr>
                <w:sz w:val="17"/>
                <w:szCs w:val="17"/>
                <w:color w:val="auto"/>
              </w:rPr>
            </w:pPr>
          </w:p>
        </w:tc>
        <w:tc>
          <w:tcPr>
            <w:tcW w:w="4120" w:type="dxa"/>
            <w:vAlign w:val="bottom"/>
            <w:gridSpan w:val="3"/>
            <w:shd w:val="clear" w:color="auto" w:fill="DCE2EF"/>
          </w:tcPr>
          <w:p>
            <w:pPr>
              <w:spacing w:after="0"/>
              <w:rPr>
                <w:sz w:val="20"/>
                <w:szCs w:val="20"/>
                <w:color w:val="auto"/>
              </w:rPr>
            </w:pPr>
            <w:r>
              <w:rPr>
                <w:rFonts w:ascii="Arial" w:cs="Arial" w:eastAsia="Arial" w:hAnsi="Arial"/>
                <w:sz w:val="16"/>
                <w:szCs w:val="16"/>
                <w:b w:val="1"/>
                <w:bCs w:val="1"/>
                <w:color w:val="auto"/>
              </w:rPr>
              <w:t>Major Service Line</w:t>
            </w:r>
          </w:p>
        </w:tc>
        <w:tc>
          <w:tcPr>
            <w:tcW w:w="260" w:type="dxa"/>
            <w:vAlign w:val="bottom"/>
            <w:shd w:val="clear" w:color="auto" w:fill="DCE2EF"/>
          </w:tcPr>
          <w:p>
            <w:pPr>
              <w:spacing w:after="0"/>
              <w:rPr>
                <w:sz w:val="17"/>
                <w:szCs w:val="17"/>
                <w:color w:val="auto"/>
              </w:rPr>
            </w:pPr>
          </w:p>
        </w:tc>
        <w:tc>
          <w:tcPr>
            <w:tcW w:w="82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84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98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80" w:type="dxa"/>
            <w:vAlign w:val="bottom"/>
            <w:shd w:val="clear" w:color="auto" w:fill="DCE2EF"/>
          </w:tcPr>
          <w:p>
            <w:pPr>
              <w:spacing w:after="0"/>
              <w:rPr>
                <w:sz w:val="17"/>
                <w:szCs w:val="17"/>
                <w:color w:val="auto"/>
              </w:rPr>
            </w:pPr>
          </w:p>
        </w:tc>
        <w:tc>
          <w:tcPr>
            <w:tcW w:w="9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9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8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120"/>
              <w:spacing w:after="0" w:line="216" w:lineRule="exact"/>
              <w:rPr>
                <w:sz w:val="20"/>
                <w:szCs w:val="20"/>
                <w:color w:val="auto"/>
              </w:rPr>
            </w:pPr>
            <w:r>
              <w:rPr>
                <w:rFonts w:ascii="Arial" w:cs="Arial" w:eastAsia="Arial" w:hAnsi="Arial"/>
                <w:sz w:val="16"/>
                <w:szCs w:val="16"/>
                <w:color w:val="auto"/>
              </w:rPr>
              <w:t>Janitorial</w:t>
            </w:r>
            <w:r>
              <w:rPr>
                <w:rFonts w:ascii="Arial" w:cs="Arial" w:eastAsia="Arial" w:hAnsi="Arial"/>
                <w:sz w:val="21"/>
                <w:szCs w:val="21"/>
                <w:color w:val="auto"/>
                <w:vertAlign w:val="superscript"/>
              </w:rPr>
              <w:t>(1)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2,651.7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790.5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730.8</w:t>
            </w:r>
          </w:p>
        </w:tc>
        <w:tc>
          <w:tcPr>
            <w:tcW w:w="8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117.2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4,290.3</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4120" w:type="dxa"/>
            <w:vAlign w:val="bottom"/>
            <w:gridSpan w:val="3"/>
            <w:shd w:val="clear" w:color="auto" w:fill="DCE2EF"/>
          </w:tcPr>
          <w:p>
            <w:pPr>
              <w:ind w:left="120"/>
              <w:spacing w:after="0" w:line="216" w:lineRule="exact"/>
              <w:rPr>
                <w:sz w:val="20"/>
                <w:szCs w:val="20"/>
                <w:color w:val="auto"/>
              </w:rPr>
            </w:pPr>
            <w:r>
              <w:rPr>
                <w:rFonts w:ascii="Arial" w:cs="Arial" w:eastAsia="Arial" w:hAnsi="Arial"/>
                <w:sz w:val="16"/>
                <w:szCs w:val="16"/>
                <w:color w:val="auto"/>
              </w:rPr>
              <w:t>Parking</w:t>
            </w:r>
            <w:r>
              <w:rPr>
                <w:rFonts w:ascii="Arial" w:cs="Arial" w:eastAsia="Arial" w:hAnsi="Arial"/>
                <w:sz w:val="21"/>
                <w:szCs w:val="21"/>
                <w:color w:val="auto"/>
                <w:vertAlign w:val="superscript"/>
              </w:rPr>
              <w:t>(2)</w:t>
            </w:r>
          </w:p>
        </w:tc>
        <w:tc>
          <w:tcPr>
            <w:tcW w:w="260" w:type="dxa"/>
            <w:vAlign w:val="bottom"/>
            <w:shd w:val="clear" w:color="auto" w:fill="DCE2EF"/>
          </w:tcPr>
          <w:p>
            <w:pPr>
              <w:spacing w:after="0"/>
              <w:rPr>
                <w:sz w:val="18"/>
                <w:szCs w:val="18"/>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296.9</w:t>
            </w:r>
          </w:p>
        </w:tc>
        <w:tc>
          <w:tcPr>
            <w:tcW w:w="2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39.8</w:t>
            </w:r>
          </w:p>
        </w:tc>
        <w:tc>
          <w:tcPr>
            <w:tcW w:w="2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261.8</w:t>
            </w: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DCE2EF"/>
          </w:tcPr>
          <w:p>
            <w:pPr>
              <w:spacing w:after="0"/>
              <w:rPr>
                <w:sz w:val="18"/>
                <w:szCs w:val="18"/>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120"/>
              <w:spacing w:after="0" w:line="216" w:lineRule="exact"/>
              <w:rPr>
                <w:sz w:val="20"/>
                <w:szCs w:val="20"/>
                <w:color w:val="auto"/>
              </w:rPr>
            </w:pPr>
            <w:r>
              <w:rPr>
                <w:rFonts w:ascii="Arial" w:cs="Arial" w:eastAsia="Arial" w:hAnsi="Arial"/>
                <w:sz w:val="16"/>
                <w:szCs w:val="16"/>
                <w:color w:val="auto"/>
              </w:rPr>
              <w:t>Facility Services</w:t>
            </w:r>
            <w:r>
              <w:rPr>
                <w:rFonts w:ascii="Arial" w:cs="Arial" w:eastAsia="Arial" w:hAnsi="Arial"/>
                <w:sz w:val="21"/>
                <w:szCs w:val="21"/>
                <w:color w:val="auto"/>
                <w:vertAlign w:val="superscript"/>
              </w:rPr>
              <w:t>(3)</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104.7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687.8</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4120" w:type="dxa"/>
            <w:vAlign w:val="bottom"/>
            <w:gridSpan w:val="3"/>
            <w:shd w:val="clear" w:color="auto" w:fill="DCE2EF"/>
          </w:tcPr>
          <w:p>
            <w:pPr>
              <w:ind w:left="120"/>
              <w:spacing w:after="0" w:line="216" w:lineRule="exact"/>
              <w:rPr>
                <w:sz w:val="20"/>
                <w:szCs w:val="20"/>
                <w:color w:val="auto"/>
              </w:rPr>
            </w:pPr>
            <w:r>
              <w:rPr>
                <w:rFonts w:ascii="Arial" w:cs="Arial" w:eastAsia="Arial" w:hAnsi="Arial"/>
                <w:sz w:val="16"/>
                <w:szCs w:val="16"/>
                <w:color w:val="auto"/>
              </w:rPr>
              <w:t>Building &amp; Energy Solutions</w:t>
            </w:r>
            <w:r>
              <w:rPr>
                <w:rFonts w:ascii="Arial" w:cs="Arial" w:eastAsia="Arial" w:hAnsi="Arial"/>
                <w:sz w:val="21"/>
                <w:szCs w:val="21"/>
                <w:color w:val="auto"/>
                <w:vertAlign w:val="superscript"/>
              </w:rPr>
              <w:t>(4)</w:t>
            </w:r>
          </w:p>
        </w:tc>
        <w:tc>
          <w:tcPr>
            <w:tcW w:w="260" w:type="dxa"/>
            <w:vAlign w:val="bottom"/>
            <w:shd w:val="clear" w:color="auto" w:fill="DCE2EF"/>
          </w:tcPr>
          <w:p>
            <w:pPr>
              <w:spacing w:after="0"/>
              <w:rPr>
                <w:sz w:val="18"/>
                <w:szCs w:val="18"/>
                <w:color w:val="auto"/>
              </w:rPr>
            </w:pPr>
          </w:p>
        </w:tc>
        <w:tc>
          <w:tcPr>
            <w:tcW w:w="940" w:type="dxa"/>
            <w:vAlign w:val="bottom"/>
            <w:gridSpan w:val="4"/>
            <w:shd w:val="clear" w:color="auto" w:fill="DCE2E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DCE2EF"/>
          </w:tcPr>
          <w:p>
            <w:pPr>
              <w:spacing w:after="0"/>
              <w:rPr>
                <w:sz w:val="18"/>
                <w:szCs w:val="18"/>
                <w:color w:val="auto"/>
              </w:rPr>
            </w:pPr>
          </w:p>
        </w:tc>
        <w:tc>
          <w:tcPr>
            <w:tcW w:w="940" w:type="dxa"/>
            <w:vAlign w:val="bottom"/>
            <w:gridSpan w:val="3"/>
            <w:shd w:val="clear" w:color="auto" w:fill="DCE2E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02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CE2EF"/>
          </w:tcPr>
          <w:p>
            <w:pPr>
              <w:spacing w:after="0"/>
              <w:rPr>
                <w:sz w:val="18"/>
                <w:szCs w:val="18"/>
                <w:color w:val="auto"/>
              </w:rPr>
            </w:pPr>
          </w:p>
        </w:tc>
        <w:tc>
          <w:tcPr>
            <w:tcW w:w="96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534.0</w:t>
            </w: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120"/>
              <w:spacing w:after="0" w:line="216" w:lineRule="exact"/>
              <w:rPr>
                <w:sz w:val="20"/>
                <w:szCs w:val="20"/>
                <w:color w:val="auto"/>
              </w:rPr>
            </w:pPr>
            <w:r>
              <w:rPr>
                <w:rFonts w:ascii="Arial" w:cs="Arial" w:eastAsia="Arial" w:hAnsi="Arial"/>
                <w:sz w:val="16"/>
                <w:szCs w:val="16"/>
                <w:color w:val="auto"/>
              </w:rPr>
              <w:t>Airline Services</w:t>
            </w:r>
            <w:r>
              <w:rPr>
                <w:rFonts w:ascii="Arial" w:cs="Arial" w:eastAsia="Arial" w:hAnsi="Arial"/>
                <w:sz w:val="21"/>
                <w:szCs w:val="21"/>
                <w:color w:val="auto"/>
                <w:vertAlign w:val="superscript"/>
              </w:rPr>
              <w:t>(5)</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261.4</w:t>
            </w:r>
          </w:p>
        </w:tc>
        <w:tc>
          <w:tcPr>
            <w:tcW w:w="0" w:type="dxa"/>
            <w:vAlign w:val="bottom"/>
          </w:tcPr>
          <w:p>
            <w:pPr>
              <w:spacing w:after="0"/>
              <w:rPr>
                <w:sz w:val="1"/>
                <w:szCs w:val="1"/>
                <w:color w:val="auto"/>
              </w:rPr>
            </w:pPr>
          </w:p>
        </w:tc>
      </w:tr>
      <w:tr>
        <w:trPr>
          <w:trHeight w:val="234"/>
        </w:trPr>
        <w:tc>
          <w:tcPr>
            <w:tcW w:w="20" w:type="dxa"/>
            <w:vAlign w:val="bottom"/>
            <w:tcBorders>
              <w:top w:val="single" w:sz="8" w:color="DCE2EF"/>
              <w:bottom w:val="single" w:sz="8" w:color="DCE2EF"/>
            </w:tcBorders>
            <w:shd w:val="clear" w:color="auto" w:fill="DCE2EF"/>
          </w:tcPr>
          <w:p>
            <w:pPr>
              <w:spacing w:after="0"/>
              <w:rPr>
                <w:sz w:val="19"/>
                <w:szCs w:val="19"/>
                <w:color w:val="auto"/>
              </w:rPr>
            </w:pPr>
          </w:p>
        </w:tc>
        <w:tc>
          <w:tcPr>
            <w:tcW w:w="660" w:type="dxa"/>
            <w:vAlign w:val="bottom"/>
            <w:tcBorders>
              <w:top w:val="single" w:sz="8" w:color="DCE2EF"/>
              <w:bottom w:val="single" w:sz="8" w:color="DCE2EF"/>
            </w:tcBorders>
            <w:shd w:val="clear" w:color="auto" w:fill="DCE2EF"/>
          </w:tcPr>
          <w:p>
            <w:pPr>
              <w:spacing w:after="0"/>
              <w:rPr>
                <w:sz w:val="19"/>
                <w:szCs w:val="19"/>
                <w:color w:val="auto"/>
              </w:rPr>
            </w:pPr>
          </w:p>
        </w:tc>
        <w:tc>
          <w:tcPr>
            <w:tcW w:w="3440" w:type="dxa"/>
            <w:vAlign w:val="bottom"/>
            <w:tcBorders>
              <w:top w:val="single" w:sz="8" w:color="DCE2EF"/>
              <w:bottom w:val="single" w:sz="8" w:color="DCE2EF"/>
            </w:tcBorders>
            <w:shd w:val="clear" w:color="auto" w:fill="DCE2EF"/>
          </w:tcPr>
          <w:p>
            <w:pPr>
              <w:spacing w:after="0"/>
              <w:rPr>
                <w:sz w:val="19"/>
                <w:szCs w:val="19"/>
                <w:color w:val="auto"/>
              </w:rPr>
            </w:pPr>
          </w:p>
        </w:tc>
        <w:tc>
          <w:tcPr>
            <w:tcW w:w="20" w:type="dxa"/>
            <w:vAlign w:val="bottom"/>
            <w:tcBorders>
              <w:top w:val="single" w:sz="8" w:color="DCE2EF"/>
              <w:bottom w:val="single" w:sz="8" w:color="DCE2EF"/>
            </w:tcBorders>
            <w:shd w:val="clear" w:color="auto" w:fill="DCE2EF"/>
          </w:tcPr>
          <w:p>
            <w:pPr>
              <w:spacing w:after="0"/>
              <w:rPr>
                <w:sz w:val="19"/>
                <w:szCs w:val="19"/>
                <w:color w:val="auto"/>
              </w:rPr>
            </w:pPr>
          </w:p>
        </w:tc>
        <w:tc>
          <w:tcPr>
            <w:tcW w:w="260" w:type="dxa"/>
            <w:vAlign w:val="bottom"/>
            <w:tcBorders>
              <w:top w:val="single" w:sz="8" w:color="auto"/>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3,346.5</w:t>
            </w:r>
          </w:p>
        </w:tc>
        <w:tc>
          <w:tcPr>
            <w:tcW w:w="20" w:type="dxa"/>
            <w:vAlign w:val="bottom"/>
            <w:tcBorders>
              <w:top w:val="single" w:sz="8" w:color="auto"/>
              <w:bottom w:val="single" w:sz="8" w:color="auto"/>
            </w:tcBorders>
            <w:shd w:val="clear" w:color="auto" w:fill="DCE2EF"/>
          </w:tcPr>
          <w:p>
            <w:pPr>
              <w:spacing w:after="0"/>
              <w:rPr>
                <w:sz w:val="19"/>
                <w:szCs w:val="19"/>
                <w:color w:val="auto"/>
              </w:rPr>
            </w:pPr>
          </w:p>
        </w:tc>
        <w:tc>
          <w:tcPr>
            <w:tcW w:w="80" w:type="dxa"/>
            <w:vAlign w:val="bottom"/>
            <w:tcBorders>
              <w:top w:val="single" w:sz="8" w:color="DCE2EF"/>
              <w:bottom w:val="single" w:sz="8" w:color="DCE2EF"/>
            </w:tcBorders>
            <w:shd w:val="clear" w:color="auto" w:fill="DCE2EF"/>
          </w:tcPr>
          <w:p>
            <w:pPr>
              <w:spacing w:after="0"/>
              <w:rPr>
                <w:sz w:val="19"/>
                <w:szCs w:val="19"/>
                <w:color w:val="auto"/>
              </w:rPr>
            </w:pPr>
          </w:p>
        </w:tc>
        <w:tc>
          <w:tcPr>
            <w:tcW w:w="20" w:type="dxa"/>
            <w:vAlign w:val="bottom"/>
            <w:tcBorders>
              <w:top w:val="single" w:sz="8" w:color="DCE2EF"/>
              <w:bottom w:val="single" w:sz="8" w:color="DCE2EF"/>
            </w:tcBorders>
            <w:shd w:val="clear" w:color="auto" w:fill="DCE2EF"/>
          </w:tcPr>
          <w:p>
            <w:pPr>
              <w:spacing w:after="0"/>
              <w:rPr>
                <w:sz w:val="19"/>
                <w:szCs w:val="19"/>
                <w:color w:val="auto"/>
              </w:rPr>
            </w:pPr>
          </w:p>
        </w:tc>
        <w:tc>
          <w:tcPr>
            <w:tcW w:w="240" w:type="dxa"/>
            <w:vAlign w:val="bottom"/>
            <w:tcBorders>
              <w:top w:val="single" w:sz="8" w:color="auto"/>
              <w:bottom w:val="single" w:sz="8" w:color="auto"/>
            </w:tcBorders>
            <w:shd w:val="clear" w:color="auto" w:fill="DCE2E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987.1</w:t>
            </w:r>
          </w:p>
        </w:tc>
        <w:tc>
          <w:tcPr>
            <w:tcW w:w="20" w:type="dxa"/>
            <w:vAlign w:val="bottom"/>
            <w:tcBorders>
              <w:top w:val="single" w:sz="8" w:color="auto"/>
              <w:bottom w:val="single" w:sz="8" w:color="auto"/>
            </w:tcBorders>
            <w:shd w:val="clear" w:color="auto" w:fill="DCE2EF"/>
          </w:tcPr>
          <w:p>
            <w:pPr>
              <w:spacing w:after="0"/>
              <w:rPr>
                <w:sz w:val="19"/>
                <w:szCs w:val="19"/>
                <w:color w:val="auto"/>
              </w:rPr>
            </w:pPr>
          </w:p>
        </w:tc>
        <w:tc>
          <w:tcPr>
            <w:tcW w:w="80" w:type="dxa"/>
            <w:vAlign w:val="bottom"/>
            <w:tcBorders>
              <w:top w:val="single" w:sz="8" w:color="DCE2EF"/>
              <w:bottom w:val="single" w:sz="8" w:color="DCE2EF"/>
            </w:tcBorders>
            <w:shd w:val="clear" w:color="auto" w:fill="DCE2EF"/>
          </w:tcPr>
          <w:p>
            <w:pPr>
              <w:spacing w:after="0"/>
              <w:rPr>
                <w:sz w:val="19"/>
                <w:szCs w:val="19"/>
                <w:color w:val="auto"/>
              </w:rPr>
            </w:pPr>
          </w:p>
        </w:tc>
        <w:tc>
          <w:tcPr>
            <w:tcW w:w="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836.4</w:t>
            </w:r>
          </w:p>
        </w:tc>
        <w:tc>
          <w:tcPr>
            <w:tcW w:w="80" w:type="dxa"/>
            <w:vAlign w:val="bottom"/>
            <w:tcBorders>
              <w:top w:val="single" w:sz="8" w:color="DCE2EF"/>
              <w:bottom w:val="single" w:sz="8" w:color="DCE2EF"/>
            </w:tcBorders>
            <w:shd w:val="clear" w:color="auto" w:fill="DCE2E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DCE2E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668.8</w:t>
            </w:r>
          </w:p>
        </w:tc>
        <w:tc>
          <w:tcPr>
            <w:tcW w:w="100" w:type="dxa"/>
            <w:vAlign w:val="bottom"/>
            <w:tcBorders>
              <w:top w:val="single" w:sz="8" w:color="DCE2EF"/>
              <w:bottom w:val="single" w:sz="8" w:color="DCE2EF"/>
            </w:tcBorders>
            <w:shd w:val="clear" w:color="auto" w:fill="DCE2EF"/>
          </w:tcPr>
          <w:p>
            <w:pPr>
              <w:spacing w:after="0"/>
              <w:rPr>
                <w:sz w:val="19"/>
                <w:szCs w:val="19"/>
                <w:color w:val="auto"/>
              </w:rPr>
            </w:pPr>
          </w:p>
        </w:tc>
        <w:tc>
          <w:tcPr>
            <w:tcW w:w="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DCE2EF"/>
          </w:tcPr>
          <w:p>
            <w:pPr>
              <w:jc w:val="right"/>
              <w:ind w:right="1"/>
              <w:spacing w:after="0"/>
              <w:rPr>
                <w:sz w:val="20"/>
                <w:szCs w:val="20"/>
                <w:color w:val="auto"/>
              </w:rPr>
            </w:pPr>
            <w:r>
              <w:rPr>
                <w:rFonts w:ascii="Arial" w:cs="Arial" w:eastAsia="Arial" w:hAnsi="Arial"/>
                <w:sz w:val="16"/>
                <w:szCs w:val="16"/>
                <w:color w:val="auto"/>
              </w:rPr>
              <w:t>534.0</w:t>
            </w:r>
          </w:p>
        </w:tc>
        <w:tc>
          <w:tcPr>
            <w:tcW w:w="100" w:type="dxa"/>
            <w:vAlign w:val="bottom"/>
            <w:tcBorders>
              <w:top w:val="single" w:sz="8" w:color="DCE2EF"/>
              <w:bottom w:val="single" w:sz="8" w:color="DCE2EF"/>
            </w:tcBorders>
            <w:shd w:val="clear" w:color="auto" w:fill="DCE2EF"/>
          </w:tcPr>
          <w:p>
            <w:pPr>
              <w:spacing w:after="0"/>
              <w:rPr>
                <w:sz w:val="19"/>
                <w:szCs w:val="19"/>
                <w:color w:val="auto"/>
              </w:rPr>
            </w:pPr>
          </w:p>
        </w:tc>
        <w:tc>
          <w:tcPr>
            <w:tcW w:w="240" w:type="dxa"/>
            <w:vAlign w:val="bottom"/>
            <w:tcBorders>
              <w:top w:val="single" w:sz="8" w:color="auto"/>
              <w:bottom w:val="single" w:sz="8" w:color="DCE2EF"/>
            </w:tcBorders>
            <w:shd w:val="clear" w:color="auto" w:fill="DCE2E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6,372.9</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4120" w:type="dxa"/>
            <w:vAlign w:val="bottom"/>
            <w:tcBorders>
              <w:top w:val="single" w:sz="8" w:color="DCE2EF"/>
              <w:bottom w:val="single" w:sz="8" w:color="DCE2EF"/>
            </w:tcBorders>
            <w:gridSpan w:val="3"/>
            <w:vMerge w:val="restart"/>
          </w:tcPr>
          <w:p>
            <w:pPr>
              <w:spacing w:after="0"/>
              <w:rPr>
                <w:sz w:val="20"/>
                <w:szCs w:val="20"/>
                <w:color w:val="auto"/>
              </w:rPr>
            </w:pPr>
            <w:r>
              <w:rPr>
                <w:rFonts w:ascii="Arial" w:cs="Arial" w:eastAsia="Arial" w:hAnsi="Arial"/>
                <w:sz w:val="16"/>
                <w:szCs w:val="16"/>
                <w:color w:val="auto"/>
              </w:rPr>
              <w:t>Elimination of inter-segment revenues</w:t>
            </w:r>
          </w:p>
        </w:tc>
        <w:tc>
          <w:tcPr>
            <w:tcW w:w="260" w:type="dxa"/>
            <w:vAlign w:val="bottom"/>
            <w:tcBorders>
              <w:top w:val="single" w:sz="8" w:color="DCE2EF"/>
              <w:bottom w:val="single" w:sz="8" w:color="auto"/>
            </w:tcBorders>
          </w:tcPr>
          <w:p>
            <w:pPr>
              <w:spacing w:after="0" w:line="20" w:lineRule="exact"/>
              <w:rPr>
                <w:sz w:val="1"/>
                <w:szCs w:val="1"/>
                <w:color w:val="auto"/>
              </w:rPr>
            </w:pPr>
          </w:p>
        </w:tc>
        <w:tc>
          <w:tcPr>
            <w:tcW w:w="820" w:type="dxa"/>
            <w:vAlign w:val="bottom"/>
            <w:tcBorders>
              <w:top w:val="single" w:sz="8" w:color="DCE2EF"/>
              <w:bottom w:val="single" w:sz="8" w:color="auto"/>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bottom w:val="single" w:sz="8" w:color="auto"/>
            </w:tcBorders>
          </w:tcPr>
          <w:p>
            <w:pPr>
              <w:spacing w:after="0" w:line="20" w:lineRule="exact"/>
              <w:rPr>
                <w:sz w:val="1"/>
                <w:szCs w:val="1"/>
                <w:color w:val="auto"/>
              </w:rPr>
            </w:pPr>
          </w:p>
        </w:tc>
        <w:tc>
          <w:tcPr>
            <w:tcW w:w="840" w:type="dxa"/>
            <w:vAlign w:val="bottom"/>
            <w:tcBorders>
              <w:top w:val="single" w:sz="8" w:color="DCE2EF"/>
              <w:bottom w:val="single" w:sz="8" w:color="auto"/>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98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180" w:type="dxa"/>
            <w:vAlign w:val="bottom"/>
            <w:tcBorders>
              <w:top w:val="single" w:sz="8" w:color="DCE2EF"/>
              <w:bottom w:val="single" w:sz="8" w:color="auto"/>
            </w:tcBorders>
          </w:tcPr>
          <w:p>
            <w:pPr>
              <w:spacing w:after="0" w:line="20" w:lineRule="exact"/>
              <w:rPr>
                <w:sz w:val="1"/>
                <w:szCs w:val="1"/>
                <w:color w:val="auto"/>
              </w:rPr>
            </w:pPr>
          </w:p>
        </w:tc>
        <w:tc>
          <w:tcPr>
            <w:tcW w:w="9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9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tcBorders>
          </w:tcPr>
          <w:p>
            <w:pPr>
              <w:spacing w:after="0" w:line="20" w:lineRule="exact"/>
              <w:rPr>
                <w:sz w:val="1"/>
                <w:szCs w:val="1"/>
                <w:color w:val="auto"/>
              </w:rPr>
            </w:pPr>
          </w:p>
        </w:tc>
        <w:tc>
          <w:tcPr>
            <w:tcW w:w="860" w:type="dxa"/>
            <w:vAlign w:val="bottom"/>
            <w:tcBorders>
              <w:top w:val="single" w:sz="8" w:color="DCE2EF"/>
              <w:bottom w:val="single" w:sz="8" w:color="DCE2EF"/>
            </w:tcBorders>
            <w:vMerge w:val="restart"/>
          </w:tcPr>
          <w:p>
            <w:pPr>
              <w:jc w:val="right"/>
              <w:spacing w:after="0"/>
              <w:rPr>
                <w:sz w:val="20"/>
                <w:szCs w:val="20"/>
                <w:color w:val="auto"/>
              </w:rPr>
            </w:pPr>
            <w:r>
              <w:rPr>
                <w:rFonts w:ascii="Arial" w:cs="Arial" w:eastAsia="Arial" w:hAnsi="Arial"/>
                <w:sz w:val="16"/>
                <w:szCs w:val="16"/>
                <w:color w:val="auto"/>
              </w:rPr>
              <w:t>(144.2)</w:t>
            </w:r>
          </w:p>
        </w:tc>
        <w:tc>
          <w:tcPr>
            <w:tcW w:w="0" w:type="dxa"/>
            <w:vAlign w:val="bottom"/>
          </w:tcPr>
          <w:p>
            <w:pPr>
              <w:spacing w:after="0" w:line="20" w:lineRule="exact"/>
              <w:rPr>
                <w:sz w:val="1"/>
                <w:szCs w:val="1"/>
                <w:color w:val="auto"/>
              </w:rPr>
            </w:pPr>
          </w:p>
        </w:tc>
      </w:tr>
      <w:tr>
        <w:trPr>
          <w:trHeight w:val="160"/>
        </w:trPr>
        <w:tc>
          <w:tcPr>
            <w:tcW w:w="20" w:type="dxa"/>
            <w:vAlign w:val="bottom"/>
            <w:tcBorders>
              <w:bottom w:val="single" w:sz="8" w:color="DCE2EF"/>
            </w:tcBorders>
          </w:tcPr>
          <w:p>
            <w:pPr>
              <w:spacing w:after="0"/>
              <w:rPr>
                <w:sz w:val="13"/>
                <w:szCs w:val="13"/>
                <w:color w:val="auto"/>
              </w:rPr>
            </w:pPr>
          </w:p>
        </w:tc>
        <w:tc>
          <w:tcPr>
            <w:tcW w:w="4120" w:type="dxa"/>
            <w:vAlign w:val="bottom"/>
            <w:tcBorders>
              <w:bottom w:val="single" w:sz="8" w:color="DCE2EF"/>
            </w:tcBorders>
            <w:gridSpan w:val="3"/>
            <w:vMerge w:val="continue"/>
          </w:tcPr>
          <w:p>
            <w:pPr>
              <w:spacing w:after="0"/>
              <w:rPr>
                <w:sz w:val="13"/>
                <w:szCs w:val="13"/>
                <w:color w:val="auto"/>
              </w:rPr>
            </w:pPr>
          </w:p>
        </w:tc>
        <w:tc>
          <w:tcPr>
            <w:tcW w:w="260" w:type="dxa"/>
            <w:vAlign w:val="bottom"/>
            <w:tcBorders>
              <w:bottom w:val="single" w:sz="8" w:color="DCE2EF"/>
            </w:tcBorders>
          </w:tcPr>
          <w:p>
            <w:pPr>
              <w:spacing w:after="0"/>
              <w:rPr>
                <w:sz w:val="13"/>
                <w:szCs w:val="13"/>
                <w:color w:val="auto"/>
              </w:rPr>
            </w:pPr>
          </w:p>
        </w:tc>
        <w:tc>
          <w:tcPr>
            <w:tcW w:w="820" w:type="dxa"/>
            <w:vAlign w:val="bottom"/>
            <w:tcBorders>
              <w:bottom w:val="single" w:sz="8" w:color="DCE2EF"/>
            </w:tcBorders>
          </w:tcPr>
          <w:p>
            <w:pPr>
              <w:spacing w:after="0"/>
              <w:rPr>
                <w:sz w:val="13"/>
                <w:szCs w:val="13"/>
                <w:color w:val="auto"/>
              </w:rPr>
            </w:pPr>
          </w:p>
        </w:tc>
        <w:tc>
          <w:tcPr>
            <w:tcW w:w="20" w:type="dxa"/>
            <w:vAlign w:val="bottom"/>
            <w:tcBorders>
              <w:bottom w:val="single" w:sz="8" w:color="DCE2EF"/>
            </w:tcBorders>
          </w:tcPr>
          <w:p>
            <w:pPr>
              <w:spacing w:after="0"/>
              <w:rPr>
                <w:sz w:val="13"/>
                <w:szCs w:val="13"/>
                <w:color w:val="auto"/>
              </w:rPr>
            </w:pPr>
          </w:p>
        </w:tc>
        <w:tc>
          <w:tcPr>
            <w:tcW w:w="80" w:type="dxa"/>
            <w:vAlign w:val="bottom"/>
            <w:tcBorders>
              <w:bottom w:val="single" w:sz="8" w:color="DCE2EF"/>
            </w:tcBorders>
          </w:tcPr>
          <w:p>
            <w:pPr>
              <w:spacing w:after="0"/>
              <w:rPr>
                <w:sz w:val="13"/>
                <w:szCs w:val="13"/>
                <w:color w:val="auto"/>
              </w:rPr>
            </w:pPr>
          </w:p>
        </w:tc>
        <w:tc>
          <w:tcPr>
            <w:tcW w:w="20" w:type="dxa"/>
            <w:vAlign w:val="bottom"/>
            <w:tcBorders>
              <w:bottom w:val="single" w:sz="8" w:color="DCE2EF"/>
            </w:tcBorders>
          </w:tcPr>
          <w:p>
            <w:pPr>
              <w:spacing w:after="0"/>
              <w:rPr>
                <w:sz w:val="13"/>
                <w:szCs w:val="13"/>
                <w:color w:val="auto"/>
              </w:rPr>
            </w:pPr>
          </w:p>
        </w:tc>
        <w:tc>
          <w:tcPr>
            <w:tcW w:w="240" w:type="dxa"/>
            <w:vAlign w:val="bottom"/>
            <w:tcBorders>
              <w:bottom w:val="single" w:sz="8" w:color="DCE2EF"/>
            </w:tcBorders>
          </w:tcPr>
          <w:p>
            <w:pPr>
              <w:spacing w:after="0"/>
              <w:rPr>
                <w:sz w:val="13"/>
                <w:szCs w:val="13"/>
                <w:color w:val="auto"/>
              </w:rPr>
            </w:pPr>
          </w:p>
        </w:tc>
        <w:tc>
          <w:tcPr>
            <w:tcW w:w="840" w:type="dxa"/>
            <w:vAlign w:val="bottom"/>
            <w:tcBorders>
              <w:bottom w:val="single" w:sz="8" w:color="DCE2EF"/>
            </w:tcBorders>
          </w:tcPr>
          <w:p>
            <w:pPr>
              <w:spacing w:after="0"/>
              <w:rPr>
                <w:sz w:val="13"/>
                <w:szCs w:val="13"/>
                <w:color w:val="auto"/>
              </w:rPr>
            </w:pPr>
          </w:p>
        </w:tc>
        <w:tc>
          <w:tcPr>
            <w:tcW w:w="20" w:type="dxa"/>
            <w:vAlign w:val="bottom"/>
            <w:tcBorders>
              <w:bottom w:val="single" w:sz="8" w:color="DCE2EF"/>
            </w:tcBorders>
          </w:tcPr>
          <w:p>
            <w:pPr>
              <w:spacing w:after="0"/>
              <w:rPr>
                <w:sz w:val="13"/>
                <w:szCs w:val="13"/>
                <w:color w:val="auto"/>
              </w:rPr>
            </w:pPr>
          </w:p>
        </w:tc>
        <w:tc>
          <w:tcPr>
            <w:tcW w:w="80" w:type="dxa"/>
            <w:vAlign w:val="bottom"/>
            <w:tcBorders>
              <w:bottom w:val="single" w:sz="8" w:color="DCE2EF"/>
            </w:tcBorders>
          </w:tcPr>
          <w:p>
            <w:pPr>
              <w:spacing w:after="0"/>
              <w:rPr>
                <w:sz w:val="13"/>
                <w:szCs w:val="13"/>
                <w:color w:val="auto"/>
              </w:rPr>
            </w:pPr>
          </w:p>
        </w:tc>
        <w:tc>
          <w:tcPr>
            <w:tcW w:w="140" w:type="dxa"/>
            <w:vAlign w:val="bottom"/>
            <w:tcBorders>
              <w:bottom w:val="single" w:sz="8" w:color="DCE2EF"/>
            </w:tcBorders>
          </w:tcPr>
          <w:p>
            <w:pPr>
              <w:spacing w:after="0"/>
              <w:rPr>
                <w:sz w:val="13"/>
                <w:szCs w:val="13"/>
                <w:color w:val="auto"/>
              </w:rPr>
            </w:pPr>
          </w:p>
        </w:tc>
        <w:tc>
          <w:tcPr>
            <w:tcW w:w="980" w:type="dxa"/>
            <w:vAlign w:val="bottom"/>
            <w:tcBorders>
              <w:bottom w:val="single" w:sz="8" w:color="DCE2EF"/>
            </w:tcBorders>
          </w:tcPr>
          <w:p>
            <w:pPr>
              <w:spacing w:after="0"/>
              <w:rPr>
                <w:sz w:val="13"/>
                <w:szCs w:val="13"/>
                <w:color w:val="auto"/>
              </w:rPr>
            </w:pPr>
          </w:p>
        </w:tc>
        <w:tc>
          <w:tcPr>
            <w:tcW w:w="80" w:type="dxa"/>
            <w:vAlign w:val="bottom"/>
            <w:tcBorders>
              <w:bottom w:val="single" w:sz="8" w:color="DCE2EF"/>
            </w:tcBorders>
          </w:tcPr>
          <w:p>
            <w:pPr>
              <w:spacing w:after="0"/>
              <w:rPr>
                <w:sz w:val="13"/>
                <w:szCs w:val="13"/>
                <w:color w:val="auto"/>
              </w:rPr>
            </w:pPr>
          </w:p>
        </w:tc>
        <w:tc>
          <w:tcPr>
            <w:tcW w:w="20" w:type="dxa"/>
            <w:vAlign w:val="bottom"/>
            <w:tcBorders>
              <w:bottom w:val="single" w:sz="8" w:color="DCE2EF"/>
            </w:tcBorders>
          </w:tcPr>
          <w:p>
            <w:pPr>
              <w:spacing w:after="0"/>
              <w:rPr>
                <w:sz w:val="13"/>
                <w:szCs w:val="13"/>
                <w:color w:val="auto"/>
              </w:rPr>
            </w:pPr>
          </w:p>
        </w:tc>
        <w:tc>
          <w:tcPr>
            <w:tcW w:w="180" w:type="dxa"/>
            <w:vAlign w:val="bottom"/>
            <w:tcBorders>
              <w:bottom w:val="single" w:sz="8" w:color="DCE2EF"/>
            </w:tcBorders>
          </w:tcPr>
          <w:p>
            <w:pPr>
              <w:spacing w:after="0"/>
              <w:rPr>
                <w:sz w:val="13"/>
                <w:szCs w:val="13"/>
                <w:color w:val="auto"/>
              </w:rPr>
            </w:pPr>
          </w:p>
        </w:tc>
        <w:tc>
          <w:tcPr>
            <w:tcW w:w="920" w:type="dxa"/>
            <w:vAlign w:val="bottom"/>
            <w:tcBorders>
              <w:bottom w:val="single" w:sz="8" w:color="DCE2EF"/>
            </w:tcBorders>
          </w:tcPr>
          <w:p>
            <w:pPr>
              <w:spacing w:after="0"/>
              <w:rPr>
                <w:sz w:val="13"/>
                <w:szCs w:val="13"/>
                <w:color w:val="auto"/>
              </w:rPr>
            </w:pPr>
          </w:p>
        </w:tc>
        <w:tc>
          <w:tcPr>
            <w:tcW w:w="100" w:type="dxa"/>
            <w:vAlign w:val="bottom"/>
            <w:tcBorders>
              <w:bottom w:val="single" w:sz="8" w:color="DCE2EF"/>
            </w:tcBorders>
          </w:tcPr>
          <w:p>
            <w:pPr>
              <w:spacing w:after="0"/>
              <w:rPr>
                <w:sz w:val="13"/>
                <w:szCs w:val="13"/>
                <w:color w:val="auto"/>
              </w:rPr>
            </w:pPr>
          </w:p>
        </w:tc>
        <w:tc>
          <w:tcPr>
            <w:tcW w:w="140" w:type="dxa"/>
            <w:vAlign w:val="bottom"/>
            <w:tcBorders>
              <w:bottom w:val="single" w:sz="8" w:color="DCE2EF"/>
            </w:tcBorders>
          </w:tcPr>
          <w:p>
            <w:pPr>
              <w:spacing w:after="0"/>
              <w:rPr>
                <w:sz w:val="13"/>
                <w:szCs w:val="13"/>
                <w:color w:val="auto"/>
              </w:rPr>
            </w:pPr>
          </w:p>
        </w:tc>
        <w:tc>
          <w:tcPr>
            <w:tcW w:w="960" w:type="dxa"/>
            <w:vAlign w:val="bottom"/>
            <w:tcBorders>
              <w:bottom w:val="single" w:sz="8" w:color="DCE2EF"/>
            </w:tcBorders>
          </w:tcPr>
          <w:p>
            <w:pPr>
              <w:spacing w:after="0"/>
              <w:rPr>
                <w:sz w:val="13"/>
                <w:szCs w:val="13"/>
                <w:color w:val="auto"/>
              </w:rPr>
            </w:pPr>
          </w:p>
        </w:tc>
        <w:tc>
          <w:tcPr>
            <w:tcW w:w="100" w:type="dxa"/>
            <w:vAlign w:val="bottom"/>
            <w:tcBorders>
              <w:bottom w:val="single" w:sz="8" w:color="DCE2E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DCE2EF"/>
            </w:tcBorders>
            <w:shd w:val="clear" w:color="auto" w:fill="DCE2EF"/>
          </w:tcPr>
          <w:p>
            <w:pPr>
              <w:spacing w:after="0"/>
              <w:rPr>
                <w:sz w:val="20"/>
                <w:szCs w:val="20"/>
                <w:color w:val="auto"/>
              </w:rPr>
            </w:pPr>
          </w:p>
        </w:tc>
        <w:tc>
          <w:tcPr>
            <w:tcW w:w="4120" w:type="dxa"/>
            <w:vAlign w:val="bottom"/>
            <w:tcBorders>
              <w:bottom w:val="single" w:sz="8" w:color="DCE2EF"/>
            </w:tcBorders>
            <w:gridSpan w:val="3"/>
            <w:shd w:val="clear" w:color="auto" w:fill="DCE2EF"/>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DCE2EF"/>
            </w:tcBorders>
            <w:shd w:val="clear" w:color="auto" w:fill="DCE2EF"/>
          </w:tcPr>
          <w:p>
            <w:pPr>
              <w:spacing w:after="0"/>
              <w:rPr>
                <w:sz w:val="20"/>
                <w:szCs w:val="20"/>
                <w:color w:val="auto"/>
              </w:rPr>
            </w:pPr>
          </w:p>
        </w:tc>
        <w:tc>
          <w:tcPr>
            <w:tcW w:w="820" w:type="dxa"/>
            <w:vAlign w:val="bottom"/>
            <w:tcBorders>
              <w:bottom w:val="single" w:sz="8" w:color="DCE2EF"/>
            </w:tcBorders>
            <w:shd w:val="clear" w:color="auto" w:fill="DCE2EF"/>
          </w:tcPr>
          <w:p>
            <w:pPr>
              <w:spacing w:after="0"/>
              <w:rPr>
                <w:sz w:val="20"/>
                <w:szCs w:val="20"/>
                <w:color w:val="auto"/>
              </w:rPr>
            </w:pPr>
          </w:p>
        </w:tc>
        <w:tc>
          <w:tcPr>
            <w:tcW w:w="20" w:type="dxa"/>
            <w:vAlign w:val="bottom"/>
            <w:tcBorders>
              <w:bottom w:val="single" w:sz="8" w:color="DCE2EF"/>
            </w:tcBorders>
            <w:shd w:val="clear" w:color="auto" w:fill="DCE2EF"/>
          </w:tcPr>
          <w:p>
            <w:pPr>
              <w:spacing w:after="0"/>
              <w:rPr>
                <w:sz w:val="20"/>
                <w:szCs w:val="20"/>
                <w:color w:val="auto"/>
              </w:rPr>
            </w:pPr>
          </w:p>
        </w:tc>
        <w:tc>
          <w:tcPr>
            <w:tcW w:w="80" w:type="dxa"/>
            <w:vAlign w:val="bottom"/>
            <w:tcBorders>
              <w:bottom w:val="single" w:sz="8" w:color="DCE2EF"/>
            </w:tcBorders>
            <w:shd w:val="clear" w:color="auto" w:fill="DCE2EF"/>
          </w:tcPr>
          <w:p>
            <w:pPr>
              <w:spacing w:after="0"/>
              <w:rPr>
                <w:sz w:val="20"/>
                <w:szCs w:val="20"/>
                <w:color w:val="auto"/>
              </w:rPr>
            </w:pPr>
          </w:p>
        </w:tc>
        <w:tc>
          <w:tcPr>
            <w:tcW w:w="20" w:type="dxa"/>
            <w:vAlign w:val="bottom"/>
            <w:tcBorders>
              <w:bottom w:val="single" w:sz="8" w:color="DCE2EF"/>
            </w:tcBorders>
            <w:shd w:val="clear" w:color="auto" w:fill="DCE2EF"/>
          </w:tcPr>
          <w:p>
            <w:pPr>
              <w:spacing w:after="0"/>
              <w:rPr>
                <w:sz w:val="20"/>
                <w:szCs w:val="20"/>
                <w:color w:val="auto"/>
              </w:rPr>
            </w:pPr>
          </w:p>
        </w:tc>
        <w:tc>
          <w:tcPr>
            <w:tcW w:w="240" w:type="dxa"/>
            <w:vAlign w:val="bottom"/>
            <w:tcBorders>
              <w:bottom w:val="single" w:sz="8" w:color="DCE2EF"/>
            </w:tcBorders>
            <w:shd w:val="clear" w:color="auto" w:fill="DCE2EF"/>
          </w:tcPr>
          <w:p>
            <w:pPr>
              <w:spacing w:after="0"/>
              <w:rPr>
                <w:sz w:val="20"/>
                <w:szCs w:val="20"/>
                <w:color w:val="auto"/>
              </w:rPr>
            </w:pPr>
          </w:p>
        </w:tc>
        <w:tc>
          <w:tcPr>
            <w:tcW w:w="840" w:type="dxa"/>
            <w:vAlign w:val="bottom"/>
            <w:tcBorders>
              <w:bottom w:val="single" w:sz="8" w:color="DCE2EF"/>
            </w:tcBorders>
            <w:shd w:val="clear" w:color="auto" w:fill="DCE2EF"/>
          </w:tcPr>
          <w:p>
            <w:pPr>
              <w:spacing w:after="0"/>
              <w:rPr>
                <w:sz w:val="20"/>
                <w:szCs w:val="20"/>
                <w:color w:val="auto"/>
              </w:rPr>
            </w:pPr>
          </w:p>
        </w:tc>
        <w:tc>
          <w:tcPr>
            <w:tcW w:w="20" w:type="dxa"/>
            <w:vAlign w:val="bottom"/>
            <w:tcBorders>
              <w:bottom w:val="single" w:sz="8" w:color="DCE2EF"/>
            </w:tcBorders>
            <w:shd w:val="clear" w:color="auto" w:fill="DCE2EF"/>
          </w:tcPr>
          <w:p>
            <w:pPr>
              <w:spacing w:after="0"/>
              <w:rPr>
                <w:sz w:val="20"/>
                <w:szCs w:val="20"/>
                <w:color w:val="auto"/>
              </w:rPr>
            </w:pPr>
          </w:p>
        </w:tc>
        <w:tc>
          <w:tcPr>
            <w:tcW w:w="80" w:type="dxa"/>
            <w:vAlign w:val="bottom"/>
            <w:tcBorders>
              <w:bottom w:val="single" w:sz="8" w:color="DCE2EF"/>
            </w:tcBorders>
            <w:shd w:val="clear" w:color="auto" w:fill="DCE2EF"/>
          </w:tcPr>
          <w:p>
            <w:pPr>
              <w:spacing w:after="0"/>
              <w:rPr>
                <w:sz w:val="20"/>
                <w:szCs w:val="20"/>
                <w:color w:val="auto"/>
              </w:rPr>
            </w:pPr>
          </w:p>
        </w:tc>
        <w:tc>
          <w:tcPr>
            <w:tcW w:w="140" w:type="dxa"/>
            <w:vAlign w:val="bottom"/>
            <w:tcBorders>
              <w:bottom w:val="single" w:sz="8" w:color="DCE2EF"/>
            </w:tcBorders>
            <w:shd w:val="clear" w:color="auto" w:fill="DCE2EF"/>
          </w:tcPr>
          <w:p>
            <w:pPr>
              <w:spacing w:after="0"/>
              <w:rPr>
                <w:sz w:val="20"/>
                <w:szCs w:val="20"/>
                <w:color w:val="auto"/>
              </w:rPr>
            </w:pPr>
          </w:p>
        </w:tc>
        <w:tc>
          <w:tcPr>
            <w:tcW w:w="980" w:type="dxa"/>
            <w:vAlign w:val="bottom"/>
            <w:tcBorders>
              <w:bottom w:val="single" w:sz="8" w:color="DCE2EF"/>
            </w:tcBorders>
            <w:shd w:val="clear" w:color="auto" w:fill="DCE2EF"/>
          </w:tcPr>
          <w:p>
            <w:pPr>
              <w:spacing w:after="0"/>
              <w:rPr>
                <w:sz w:val="20"/>
                <w:szCs w:val="20"/>
                <w:color w:val="auto"/>
              </w:rPr>
            </w:pPr>
          </w:p>
        </w:tc>
        <w:tc>
          <w:tcPr>
            <w:tcW w:w="80" w:type="dxa"/>
            <w:vAlign w:val="bottom"/>
            <w:tcBorders>
              <w:bottom w:val="single" w:sz="8" w:color="DCE2EF"/>
            </w:tcBorders>
            <w:shd w:val="clear" w:color="auto" w:fill="DCE2EF"/>
          </w:tcPr>
          <w:p>
            <w:pPr>
              <w:spacing w:after="0"/>
              <w:rPr>
                <w:sz w:val="20"/>
                <w:szCs w:val="20"/>
                <w:color w:val="auto"/>
              </w:rPr>
            </w:pPr>
          </w:p>
        </w:tc>
        <w:tc>
          <w:tcPr>
            <w:tcW w:w="20" w:type="dxa"/>
            <w:vAlign w:val="bottom"/>
            <w:tcBorders>
              <w:bottom w:val="single" w:sz="8" w:color="DCE2EF"/>
            </w:tcBorders>
            <w:shd w:val="clear" w:color="auto" w:fill="DCE2EF"/>
          </w:tcPr>
          <w:p>
            <w:pPr>
              <w:spacing w:after="0"/>
              <w:rPr>
                <w:sz w:val="20"/>
                <w:szCs w:val="20"/>
                <w:color w:val="auto"/>
              </w:rPr>
            </w:pPr>
          </w:p>
        </w:tc>
        <w:tc>
          <w:tcPr>
            <w:tcW w:w="180" w:type="dxa"/>
            <w:vAlign w:val="bottom"/>
            <w:tcBorders>
              <w:bottom w:val="single" w:sz="8" w:color="DCE2EF"/>
            </w:tcBorders>
            <w:shd w:val="clear" w:color="auto" w:fill="DCE2EF"/>
          </w:tcPr>
          <w:p>
            <w:pPr>
              <w:spacing w:after="0"/>
              <w:rPr>
                <w:sz w:val="20"/>
                <w:szCs w:val="20"/>
                <w:color w:val="auto"/>
              </w:rPr>
            </w:pPr>
          </w:p>
        </w:tc>
        <w:tc>
          <w:tcPr>
            <w:tcW w:w="92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140" w:type="dxa"/>
            <w:vAlign w:val="bottom"/>
            <w:tcBorders>
              <w:bottom w:val="single" w:sz="8" w:color="DCE2EF"/>
            </w:tcBorders>
            <w:shd w:val="clear" w:color="auto" w:fill="DCE2EF"/>
          </w:tcPr>
          <w:p>
            <w:pPr>
              <w:spacing w:after="0"/>
              <w:rPr>
                <w:sz w:val="20"/>
                <w:szCs w:val="20"/>
                <w:color w:val="auto"/>
              </w:rPr>
            </w:pPr>
          </w:p>
        </w:tc>
        <w:tc>
          <w:tcPr>
            <w:tcW w:w="96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240" w:type="dxa"/>
            <w:vAlign w:val="bottom"/>
            <w:tcBorders>
              <w:bottom w:val="single" w:sz="8" w:color="auto"/>
            </w:tcBorders>
            <w:shd w:val="clear" w:color="auto" w:fill="DCE2E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6,228.6</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60" w:type="dxa"/>
            <w:vAlign w:val="bottom"/>
            <w:tcBorders>
              <w:top w:val="single" w:sz="8" w:color="DCE2EF"/>
            </w:tcBorders>
          </w:tcPr>
          <w:p>
            <w:pPr>
              <w:spacing w:after="0" w:line="20" w:lineRule="exact"/>
              <w:rPr>
                <w:sz w:val="1"/>
                <w:szCs w:val="1"/>
                <w:color w:val="auto"/>
              </w:rPr>
            </w:pPr>
          </w:p>
        </w:tc>
        <w:tc>
          <w:tcPr>
            <w:tcW w:w="344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DCE2EF"/>
            </w:tcBorders>
          </w:tcPr>
          <w:p>
            <w:pPr>
              <w:spacing w:after="0" w:line="20" w:lineRule="exact"/>
              <w:rPr>
                <w:sz w:val="1"/>
                <w:szCs w:val="1"/>
                <w:color w:val="auto"/>
              </w:rPr>
            </w:pPr>
          </w:p>
        </w:tc>
        <w:tc>
          <w:tcPr>
            <w:tcW w:w="82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tcBorders>
          </w:tcPr>
          <w:p>
            <w:pPr>
              <w:spacing w:after="0" w:line="20" w:lineRule="exact"/>
              <w:rPr>
                <w:sz w:val="1"/>
                <w:szCs w:val="1"/>
                <w:color w:val="auto"/>
              </w:rPr>
            </w:pPr>
          </w:p>
        </w:tc>
        <w:tc>
          <w:tcPr>
            <w:tcW w:w="84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420" w:type="dxa"/>
            <w:vAlign w:val="bottom"/>
            <w:tcBorders>
              <w:top w:val="single" w:sz="8" w:color="DCE2EF"/>
              <w:bottom w:val="single" w:sz="8" w:color="DCE2EF"/>
            </w:tcBorders>
            <w:gridSpan w:val="7"/>
            <w:vMerge w:val="restart"/>
          </w:tcPr>
          <w:p>
            <w:pPr>
              <w:ind w:left="80"/>
              <w:spacing w:after="0"/>
              <w:rPr>
                <w:sz w:val="20"/>
                <w:szCs w:val="20"/>
                <w:color w:val="auto"/>
              </w:rPr>
            </w:pPr>
            <w:r>
              <w:rPr>
                <w:rFonts w:ascii="Arial" w:cs="Arial" w:eastAsia="Arial" w:hAnsi="Arial"/>
                <w:sz w:val="16"/>
                <w:szCs w:val="16"/>
                <w:b w:val="1"/>
                <w:bCs w:val="1"/>
                <w:color w:val="auto"/>
              </w:rPr>
              <w:t>Year Ended October 31, 2020</w:t>
            </w:r>
          </w:p>
        </w:tc>
        <w:tc>
          <w:tcPr>
            <w:tcW w:w="140" w:type="dxa"/>
            <w:vAlign w:val="bottom"/>
            <w:tcBorders>
              <w:top w:val="single" w:sz="8" w:color="DCE2EF"/>
            </w:tcBorders>
          </w:tcPr>
          <w:p>
            <w:pPr>
              <w:spacing w:after="0" w:line="20" w:lineRule="exact"/>
              <w:rPr>
                <w:sz w:val="1"/>
                <w:szCs w:val="1"/>
                <w:color w:val="auto"/>
              </w:rPr>
            </w:pPr>
          </w:p>
        </w:tc>
        <w:tc>
          <w:tcPr>
            <w:tcW w:w="96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bottom w:val="single" w:sz="8" w:color="auto"/>
            </w:tcBorders>
          </w:tcPr>
          <w:p>
            <w:pPr>
              <w:spacing w:after="0" w:line="20" w:lineRule="exact"/>
              <w:rPr>
                <w:sz w:val="1"/>
                <w:szCs w:val="1"/>
                <w:color w:val="auto"/>
              </w:rPr>
            </w:pPr>
          </w:p>
        </w:tc>
        <w:tc>
          <w:tcPr>
            <w:tcW w:w="86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4"/>
            <w:vMerge w:val="restart"/>
          </w:tcPr>
          <w:p>
            <w:pPr>
              <w:ind w:left="140"/>
              <w:spacing w:after="0"/>
              <w:rPr>
                <w:sz w:val="20"/>
                <w:szCs w:val="20"/>
                <w:color w:val="auto"/>
              </w:rPr>
            </w:pPr>
            <w:r>
              <w:rPr>
                <w:rFonts w:ascii="Arial" w:cs="Arial" w:eastAsia="Arial" w:hAnsi="Arial"/>
                <w:sz w:val="16"/>
                <w:szCs w:val="16"/>
                <w:b w:val="1"/>
                <w:bCs w:val="1"/>
                <w:color w:val="auto"/>
              </w:rPr>
              <w:t>B&amp;I</w:t>
            </w:r>
          </w:p>
        </w:tc>
        <w:tc>
          <w:tcPr>
            <w:tcW w:w="240" w:type="dxa"/>
            <w:vAlign w:val="bottom"/>
          </w:tcPr>
          <w:p>
            <w:pPr>
              <w:spacing w:after="0"/>
              <w:rPr>
                <w:sz w:val="13"/>
                <w:szCs w:val="13"/>
                <w:color w:val="auto"/>
              </w:rPr>
            </w:pPr>
          </w:p>
        </w:tc>
        <w:tc>
          <w:tcPr>
            <w:tcW w:w="94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T&amp;M</w:t>
            </w:r>
          </w:p>
        </w:tc>
        <w:tc>
          <w:tcPr>
            <w:tcW w:w="140" w:type="dxa"/>
            <w:vAlign w:val="bottom"/>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Education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Aviation</w:t>
            </w:r>
          </w:p>
        </w:tc>
        <w:tc>
          <w:tcPr>
            <w:tcW w:w="140" w:type="dxa"/>
            <w:vAlign w:val="bottom"/>
          </w:tcPr>
          <w:p>
            <w:pPr>
              <w:spacing w:after="0"/>
              <w:rPr>
                <w:sz w:val="13"/>
                <w:szCs w:val="13"/>
                <w:color w:val="auto"/>
              </w:rPr>
            </w:pPr>
          </w:p>
        </w:tc>
        <w:tc>
          <w:tcPr>
            <w:tcW w:w="106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Technical</w:t>
            </w:r>
          </w:p>
        </w:tc>
        <w:tc>
          <w:tcPr>
            <w:tcW w:w="240" w:type="dxa"/>
            <w:vAlign w:val="bottom"/>
          </w:tcPr>
          <w:p>
            <w:pPr>
              <w:spacing w:after="0"/>
              <w:rPr>
                <w:sz w:val="13"/>
                <w:szCs w:val="13"/>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tcPr>
          <w:p>
            <w:pPr>
              <w:spacing w:after="0" w:line="129" w:lineRule="exact"/>
              <w:rPr>
                <w:sz w:val="20"/>
                <w:szCs w:val="20"/>
                <w:color w:val="auto"/>
              </w:rPr>
            </w:pPr>
            <w:r>
              <w:rPr>
                <w:rFonts w:ascii="Arial" w:cs="Arial" w:eastAsia="Arial" w:hAnsi="Arial"/>
                <w:sz w:val="13"/>
                <w:szCs w:val="13"/>
                <w:i w:val="1"/>
                <w:iCs w:val="1"/>
                <w:color w:val="auto"/>
              </w:rPr>
              <w:t>(in millions)</w:t>
            </w:r>
          </w:p>
        </w:tc>
        <w:tc>
          <w:tcPr>
            <w:tcW w:w="26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Solutions</w:t>
            </w: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60" w:type="dxa"/>
            <w:vAlign w:val="bottom"/>
            <w:tcBorders>
              <w:top w:val="single" w:sz="8" w:color="auto"/>
              <w:bottom w:val="single" w:sz="8" w:color="DCE2EF"/>
            </w:tcBorders>
          </w:tcPr>
          <w:p>
            <w:pPr>
              <w:spacing w:after="0" w:line="20" w:lineRule="exact"/>
              <w:rPr>
                <w:sz w:val="1"/>
                <w:szCs w:val="1"/>
                <w:color w:val="auto"/>
              </w:rPr>
            </w:pPr>
          </w:p>
        </w:tc>
        <w:tc>
          <w:tcPr>
            <w:tcW w:w="344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DCE2EF"/>
          </w:tcPr>
          <w:p>
            <w:pPr>
              <w:spacing w:after="0"/>
              <w:rPr>
                <w:sz w:val="17"/>
                <w:szCs w:val="17"/>
                <w:color w:val="auto"/>
              </w:rPr>
            </w:pPr>
          </w:p>
        </w:tc>
        <w:tc>
          <w:tcPr>
            <w:tcW w:w="410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Major Service Line</w:t>
            </w:r>
          </w:p>
        </w:tc>
        <w:tc>
          <w:tcPr>
            <w:tcW w:w="20" w:type="dxa"/>
            <w:vAlign w:val="bottom"/>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82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84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98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80" w:type="dxa"/>
            <w:vAlign w:val="bottom"/>
            <w:shd w:val="clear" w:color="auto" w:fill="DCE2EF"/>
          </w:tcPr>
          <w:p>
            <w:pPr>
              <w:spacing w:after="0"/>
              <w:rPr>
                <w:sz w:val="17"/>
                <w:szCs w:val="17"/>
                <w:color w:val="auto"/>
              </w:rPr>
            </w:pPr>
          </w:p>
        </w:tc>
        <w:tc>
          <w:tcPr>
            <w:tcW w:w="9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9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8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120"/>
              <w:spacing w:after="0" w:line="216" w:lineRule="exact"/>
              <w:rPr>
                <w:sz w:val="20"/>
                <w:szCs w:val="20"/>
                <w:color w:val="auto"/>
              </w:rPr>
            </w:pPr>
            <w:r>
              <w:rPr>
                <w:rFonts w:ascii="Arial" w:cs="Arial" w:eastAsia="Arial" w:hAnsi="Arial"/>
                <w:sz w:val="16"/>
                <w:szCs w:val="16"/>
                <w:color w:val="auto"/>
              </w:rPr>
              <w:t>Janitorial</w:t>
            </w:r>
            <w:r>
              <w:rPr>
                <w:rFonts w:ascii="Arial" w:cs="Arial" w:eastAsia="Arial" w:hAnsi="Arial"/>
                <w:sz w:val="21"/>
                <w:szCs w:val="21"/>
                <w:color w:val="auto"/>
                <w:vertAlign w:val="superscript"/>
              </w:rPr>
              <w:t>(1)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2,420.4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770.9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716.5</w:t>
            </w:r>
          </w:p>
        </w:tc>
        <w:tc>
          <w:tcPr>
            <w:tcW w:w="8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121.2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4,029.0</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4120" w:type="dxa"/>
            <w:vAlign w:val="bottom"/>
            <w:gridSpan w:val="3"/>
            <w:shd w:val="clear" w:color="auto" w:fill="DCE2EF"/>
          </w:tcPr>
          <w:p>
            <w:pPr>
              <w:ind w:left="120"/>
              <w:spacing w:after="0" w:line="216" w:lineRule="exact"/>
              <w:rPr>
                <w:sz w:val="20"/>
                <w:szCs w:val="20"/>
                <w:color w:val="auto"/>
              </w:rPr>
            </w:pPr>
            <w:r>
              <w:rPr>
                <w:rFonts w:ascii="Arial" w:cs="Arial" w:eastAsia="Arial" w:hAnsi="Arial"/>
                <w:sz w:val="16"/>
                <w:szCs w:val="16"/>
                <w:color w:val="auto"/>
              </w:rPr>
              <w:t>Parking</w:t>
            </w:r>
            <w:r>
              <w:rPr>
                <w:rFonts w:ascii="Arial" w:cs="Arial" w:eastAsia="Arial" w:hAnsi="Arial"/>
                <w:sz w:val="21"/>
                <w:szCs w:val="21"/>
                <w:color w:val="auto"/>
                <w:vertAlign w:val="superscript"/>
              </w:rPr>
              <w:t>(2)</w:t>
            </w:r>
          </w:p>
        </w:tc>
        <w:tc>
          <w:tcPr>
            <w:tcW w:w="260" w:type="dxa"/>
            <w:vAlign w:val="bottom"/>
            <w:shd w:val="clear" w:color="auto" w:fill="DCE2EF"/>
          </w:tcPr>
          <w:p>
            <w:pPr>
              <w:spacing w:after="0"/>
              <w:rPr>
                <w:sz w:val="18"/>
                <w:szCs w:val="18"/>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362.8</w:t>
            </w:r>
          </w:p>
        </w:tc>
        <w:tc>
          <w:tcPr>
            <w:tcW w:w="2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33.5</w:t>
            </w:r>
          </w:p>
        </w:tc>
        <w:tc>
          <w:tcPr>
            <w:tcW w:w="2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255.9</w:t>
            </w: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DCE2EF"/>
          </w:tcPr>
          <w:p>
            <w:pPr>
              <w:spacing w:after="0"/>
              <w:rPr>
                <w:sz w:val="18"/>
                <w:szCs w:val="18"/>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120"/>
              <w:spacing w:after="0" w:line="216" w:lineRule="exact"/>
              <w:rPr>
                <w:sz w:val="20"/>
                <w:szCs w:val="20"/>
                <w:color w:val="auto"/>
              </w:rPr>
            </w:pPr>
            <w:r>
              <w:rPr>
                <w:rFonts w:ascii="Arial" w:cs="Arial" w:eastAsia="Arial" w:hAnsi="Arial"/>
                <w:sz w:val="16"/>
                <w:szCs w:val="16"/>
                <w:color w:val="auto"/>
              </w:rPr>
              <w:t>Facility Services</w:t>
            </w:r>
            <w:r>
              <w:rPr>
                <w:rFonts w:ascii="Arial" w:cs="Arial" w:eastAsia="Arial" w:hAnsi="Arial"/>
                <w:sz w:val="21"/>
                <w:szCs w:val="21"/>
                <w:color w:val="auto"/>
                <w:vertAlign w:val="superscript"/>
              </w:rPr>
              <w:t>(3)</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647.9</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4120" w:type="dxa"/>
            <w:vAlign w:val="bottom"/>
            <w:gridSpan w:val="3"/>
            <w:shd w:val="clear" w:color="auto" w:fill="DCE2EF"/>
          </w:tcPr>
          <w:p>
            <w:pPr>
              <w:ind w:left="120"/>
              <w:spacing w:after="0" w:line="216" w:lineRule="exact"/>
              <w:rPr>
                <w:sz w:val="20"/>
                <w:szCs w:val="20"/>
                <w:color w:val="auto"/>
              </w:rPr>
            </w:pPr>
            <w:r>
              <w:rPr>
                <w:rFonts w:ascii="Arial" w:cs="Arial" w:eastAsia="Arial" w:hAnsi="Arial"/>
                <w:sz w:val="16"/>
                <w:szCs w:val="16"/>
                <w:color w:val="auto"/>
              </w:rPr>
              <w:t>Building &amp; Energy Solutions</w:t>
            </w:r>
            <w:r>
              <w:rPr>
                <w:rFonts w:ascii="Arial" w:cs="Arial" w:eastAsia="Arial" w:hAnsi="Arial"/>
                <w:sz w:val="21"/>
                <w:szCs w:val="21"/>
                <w:color w:val="auto"/>
                <w:vertAlign w:val="superscript"/>
              </w:rPr>
              <w:t>(4)</w:t>
            </w:r>
          </w:p>
        </w:tc>
        <w:tc>
          <w:tcPr>
            <w:tcW w:w="260" w:type="dxa"/>
            <w:vAlign w:val="bottom"/>
            <w:shd w:val="clear" w:color="auto" w:fill="DCE2EF"/>
          </w:tcPr>
          <w:p>
            <w:pPr>
              <w:spacing w:after="0"/>
              <w:rPr>
                <w:sz w:val="18"/>
                <w:szCs w:val="18"/>
                <w:color w:val="auto"/>
              </w:rPr>
            </w:pPr>
          </w:p>
        </w:tc>
        <w:tc>
          <w:tcPr>
            <w:tcW w:w="940" w:type="dxa"/>
            <w:vAlign w:val="bottom"/>
            <w:gridSpan w:val="4"/>
            <w:shd w:val="clear" w:color="auto" w:fill="DCE2E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DCE2EF"/>
          </w:tcPr>
          <w:p>
            <w:pPr>
              <w:spacing w:after="0"/>
              <w:rPr>
                <w:sz w:val="18"/>
                <w:szCs w:val="18"/>
                <w:color w:val="auto"/>
              </w:rPr>
            </w:pPr>
          </w:p>
        </w:tc>
        <w:tc>
          <w:tcPr>
            <w:tcW w:w="940" w:type="dxa"/>
            <w:vAlign w:val="bottom"/>
            <w:gridSpan w:val="3"/>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02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CE2EF"/>
          </w:tcPr>
          <w:p>
            <w:pPr>
              <w:spacing w:after="0"/>
              <w:rPr>
                <w:sz w:val="18"/>
                <w:szCs w:val="18"/>
                <w:color w:val="auto"/>
              </w:rPr>
            </w:pPr>
          </w:p>
        </w:tc>
        <w:tc>
          <w:tcPr>
            <w:tcW w:w="96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506.6</w:t>
            </w: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506.6</w:t>
            </w:r>
          </w:p>
        </w:tc>
        <w:tc>
          <w:tcPr>
            <w:tcW w:w="0" w:type="dxa"/>
            <w:vAlign w:val="bottom"/>
          </w:tcPr>
          <w:p>
            <w:pPr>
              <w:spacing w:after="0"/>
              <w:rPr>
                <w:sz w:val="1"/>
                <w:szCs w:val="1"/>
                <w:color w:val="auto"/>
              </w:rPr>
            </w:pPr>
          </w:p>
        </w:tc>
      </w:tr>
      <w:tr>
        <w:trPr>
          <w:trHeight w:val="216"/>
        </w:trPr>
        <w:tc>
          <w:tcPr>
            <w:tcW w:w="20" w:type="dxa"/>
            <w:vAlign w:val="bottom"/>
            <w:tcBorders>
              <w:bottom w:val="single" w:sz="8" w:color="DCE2EF"/>
            </w:tcBorders>
          </w:tcPr>
          <w:p>
            <w:pPr>
              <w:spacing w:after="0"/>
              <w:rPr>
                <w:sz w:val="18"/>
                <w:szCs w:val="18"/>
                <w:color w:val="auto"/>
              </w:rPr>
            </w:pPr>
          </w:p>
        </w:tc>
        <w:tc>
          <w:tcPr>
            <w:tcW w:w="4100" w:type="dxa"/>
            <w:vAlign w:val="bottom"/>
            <w:tcBorders>
              <w:bottom w:val="single" w:sz="8" w:color="DCE2EF"/>
            </w:tcBorders>
            <w:gridSpan w:val="2"/>
          </w:tcPr>
          <w:p>
            <w:pPr>
              <w:ind w:left="120"/>
              <w:spacing w:after="0" w:line="216" w:lineRule="exact"/>
              <w:rPr>
                <w:sz w:val="20"/>
                <w:szCs w:val="20"/>
                <w:color w:val="auto"/>
              </w:rPr>
            </w:pPr>
            <w:r>
              <w:rPr>
                <w:rFonts w:ascii="Arial" w:cs="Arial" w:eastAsia="Arial" w:hAnsi="Arial"/>
                <w:sz w:val="16"/>
                <w:szCs w:val="16"/>
                <w:color w:val="auto"/>
              </w:rPr>
              <w:t>Airline Services</w:t>
            </w:r>
            <w:r>
              <w:rPr>
                <w:rFonts w:ascii="Arial" w:cs="Arial" w:eastAsia="Arial" w:hAnsi="Arial"/>
                <w:sz w:val="21"/>
                <w:szCs w:val="21"/>
                <w:color w:val="auto"/>
                <w:vertAlign w:val="superscript"/>
              </w:rPr>
              <w:t>(5)</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20" w:type="dxa"/>
            <w:vAlign w:val="bottom"/>
            <w:tcBorders>
              <w:bottom w:val="single" w:sz="8" w:color="DCE2EF"/>
            </w:tcBorders>
          </w:tcPr>
          <w:p>
            <w:pPr>
              <w:spacing w:after="0"/>
              <w:rPr>
                <w:sz w:val="18"/>
                <w:szCs w:val="18"/>
                <w:color w:val="auto"/>
              </w:rPr>
            </w:pPr>
          </w:p>
        </w:tc>
        <w:tc>
          <w:tcPr>
            <w:tcW w:w="80" w:type="dxa"/>
            <w:vAlign w:val="bottom"/>
            <w:tcBorders>
              <w:bottom w:val="single" w:sz="8" w:color="DCE2E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CE2EF"/>
            </w:tcBorders>
          </w:tcPr>
          <w:p>
            <w:pPr>
              <w:spacing w:after="0"/>
              <w:rPr>
                <w:sz w:val="18"/>
                <w:szCs w:val="18"/>
                <w:color w:val="auto"/>
              </w:rPr>
            </w:pPr>
          </w:p>
        </w:tc>
        <w:tc>
          <w:tcPr>
            <w:tcW w:w="20" w:type="dxa"/>
            <w:vAlign w:val="bottom"/>
            <w:tcBorders>
              <w:bottom w:val="single" w:sz="8" w:color="DCE2E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272.2</w:t>
            </w:r>
          </w:p>
        </w:tc>
        <w:tc>
          <w:tcPr>
            <w:tcW w:w="100" w:type="dxa"/>
            <w:vAlign w:val="bottom"/>
            <w:tcBorders>
              <w:bottom w:val="single" w:sz="8" w:color="DCE2E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272.6</w:t>
            </w: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660" w:type="dxa"/>
            <w:vAlign w:val="bottom"/>
            <w:shd w:val="clear" w:color="auto" w:fill="DCE2EF"/>
          </w:tcPr>
          <w:p>
            <w:pPr>
              <w:spacing w:after="0"/>
              <w:rPr>
                <w:sz w:val="19"/>
                <w:szCs w:val="19"/>
                <w:color w:val="auto"/>
              </w:rPr>
            </w:pPr>
          </w:p>
        </w:tc>
        <w:tc>
          <w:tcPr>
            <w:tcW w:w="344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3,157.8</w:t>
            </w:r>
          </w:p>
        </w:tc>
        <w:tc>
          <w:tcPr>
            <w:tcW w:w="2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240" w:type="dxa"/>
            <w:vAlign w:val="bottom"/>
            <w:shd w:val="clear" w:color="auto" w:fill="DCE2E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956.0</w:t>
            </w:r>
          </w:p>
        </w:tc>
        <w:tc>
          <w:tcPr>
            <w:tcW w:w="2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808.8</w:t>
            </w:r>
          </w:p>
        </w:tc>
        <w:tc>
          <w:tcPr>
            <w:tcW w:w="80" w:type="dxa"/>
            <w:vAlign w:val="bottom"/>
            <w:shd w:val="clear" w:color="auto" w:fill="DCE2EF"/>
          </w:tcPr>
          <w:p>
            <w:pPr>
              <w:spacing w:after="0"/>
              <w:rPr>
                <w:sz w:val="19"/>
                <w:szCs w:val="19"/>
                <w:color w:val="auto"/>
              </w:rPr>
            </w:pPr>
          </w:p>
        </w:tc>
        <w:tc>
          <w:tcPr>
            <w:tcW w:w="200" w:type="dxa"/>
            <w:vAlign w:val="bottom"/>
            <w:gridSpan w:val="2"/>
            <w:shd w:val="clear" w:color="auto" w:fill="DCE2E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680.9</w:t>
            </w:r>
          </w:p>
        </w:tc>
        <w:tc>
          <w:tcPr>
            <w:tcW w:w="100" w:type="dxa"/>
            <w:vAlign w:val="bottom"/>
            <w:shd w:val="clear" w:color="auto" w:fill="DCE2EF"/>
          </w:tcPr>
          <w:p>
            <w:pPr>
              <w:spacing w:after="0"/>
              <w:rPr>
                <w:sz w:val="19"/>
                <w:szCs w:val="19"/>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506.6</w:t>
            </w:r>
          </w:p>
        </w:tc>
        <w:tc>
          <w:tcPr>
            <w:tcW w:w="100" w:type="dxa"/>
            <w:vAlign w:val="bottom"/>
            <w:shd w:val="clear" w:color="auto" w:fill="DCE2EF"/>
          </w:tcPr>
          <w:p>
            <w:pPr>
              <w:spacing w:after="0"/>
              <w:rPr>
                <w:sz w:val="19"/>
                <w:szCs w:val="19"/>
                <w:color w:val="auto"/>
              </w:rPr>
            </w:pPr>
          </w:p>
        </w:tc>
        <w:tc>
          <w:tcPr>
            <w:tcW w:w="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6,110.0</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4100" w:type="dxa"/>
            <w:vAlign w:val="bottom"/>
            <w:tcBorders>
              <w:top w:val="single" w:sz="8" w:color="DCE2EF"/>
              <w:bottom w:val="single" w:sz="8" w:color="DCE2EF"/>
            </w:tcBorders>
            <w:gridSpan w:val="2"/>
            <w:vMerge w:val="restart"/>
          </w:tcPr>
          <w:p>
            <w:pPr>
              <w:spacing w:after="0"/>
              <w:rPr>
                <w:sz w:val="20"/>
                <w:szCs w:val="20"/>
                <w:color w:val="auto"/>
              </w:rPr>
            </w:pPr>
            <w:r>
              <w:rPr>
                <w:rFonts w:ascii="Arial" w:cs="Arial" w:eastAsia="Arial" w:hAnsi="Arial"/>
                <w:sz w:val="16"/>
                <w:szCs w:val="16"/>
                <w:color w:val="auto"/>
              </w:rPr>
              <w:t>Elimination of inter-segment revenues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tcBorders>
          </w:tcPr>
          <w:p>
            <w:pPr>
              <w:spacing w:after="0" w:line="20" w:lineRule="exact"/>
              <w:rPr>
                <w:sz w:val="1"/>
                <w:szCs w:val="1"/>
                <w:color w:val="auto"/>
              </w:rPr>
            </w:pPr>
          </w:p>
        </w:tc>
        <w:tc>
          <w:tcPr>
            <w:tcW w:w="860" w:type="dxa"/>
            <w:vAlign w:val="bottom"/>
            <w:tcBorders>
              <w:top w:val="single" w:sz="8" w:color="DCE2EF"/>
              <w:bottom w:val="single" w:sz="8" w:color="DCE2EF"/>
            </w:tcBorders>
            <w:vMerge w:val="restart"/>
          </w:tcPr>
          <w:p>
            <w:pPr>
              <w:jc w:val="right"/>
              <w:spacing w:after="0"/>
              <w:rPr>
                <w:sz w:val="20"/>
                <w:szCs w:val="20"/>
                <w:color w:val="auto"/>
              </w:rPr>
            </w:pPr>
            <w:r>
              <w:rPr>
                <w:rFonts w:ascii="Arial" w:cs="Arial" w:eastAsia="Arial" w:hAnsi="Arial"/>
                <w:sz w:val="16"/>
                <w:szCs w:val="16"/>
                <w:color w:val="auto"/>
              </w:rPr>
              <w:t>(122.4)</w:t>
            </w:r>
          </w:p>
        </w:tc>
        <w:tc>
          <w:tcPr>
            <w:tcW w:w="0" w:type="dxa"/>
            <w:vAlign w:val="bottom"/>
          </w:tcPr>
          <w:p>
            <w:pPr>
              <w:spacing w:after="0" w:line="20" w:lineRule="exact"/>
              <w:rPr>
                <w:sz w:val="1"/>
                <w:szCs w:val="1"/>
                <w:color w:val="auto"/>
              </w:rPr>
            </w:pPr>
          </w:p>
        </w:tc>
      </w:tr>
      <w:tr>
        <w:trPr>
          <w:trHeight w:val="160"/>
        </w:trPr>
        <w:tc>
          <w:tcPr>
            <w:tcW w:w="20" w:type="dxa"/>
            <w:vAlign w:val="bottom"/>
            <w:tcBorders>
              <w:bottom w:val="single" w:sz="8" w:color="DCE2EF"/>
            </w:tcBorders>
          </w:tcPr>
          <w:p>
            <w:pPr>
              <w:spacing w:after="0"/>
              <w:rPr>
                <w:sz w:val="13"/>
                <w:szCs w:val="13"/>
                <w:color w:val="auto"/>
              </w:rPr>
            </w:pPr>
          </w:p>
        </w:tc>
        <w:tc>
          <w:tcPr>
            <w:tcW w:w="4100" w:type="dxa"/>
            <w:vAlign w:val="bottom"/>
            <w:tcBorders>
              <w:bottom w:val="single" w:sz="8" w:color="DCE2EF"/>
            </w:tcBorders>
            <w:gridSpan w:val="2"/>
            <w:vMerge w:val="continue"/>
          </w:tcPr>
          <w:p>
            <w:pPr>
              <w:spacing w:after="0"/>
              <w:rPr>
                <w:sz w:val="13"/>
                <w:szCs w:val="13"/>
                <w:color w:val="auto"/>
              </w:rPr>
            </w:pPr>
          </w:p>
        </w:tc>
        <w:tc>
          <w:tcPr>
            <w:tcW w:w="20" w:type="dxa"/>
            <w:vAlign w:val="bottom"/>
            <w:tcBorders>
              <w:bottom w:val="single" w:sz="8" w:color="DCE2EF"/>
            </w:tcBorders>
          </w:tcPr>
          <w:p>
            <w:pPr>
              <w:spacing w:after="0"/>
              <w:rPr>
                <w:sz w:val="13"/>
                <w:szCs w:val="13"/>
                <w:color w:val="auto"/>
              </w:rPr>
            </w:pPr>
          </w:p>
        </w:tc>
        <w:tc>
          <w:tcPr>
            <w:tcW w:w="260" w:type="dxa"/>
            <w:vAlign w:val="bottom"/>
            <w:tcBorders>
              <w:bottom w:val="single" w:sz="8" w:color="DCE2EF"/>
            </w:tcBorders>
          </w:tcPr>
          <w:p>
            <w:pPr>
              <w:spacing w:after="0"/>
              <w:rPr>
                <w:sz w:val="13"/>
                <w:szCs w:val="13"/>
                <w:color w:val="auto"/>
              </w:rPr>
            </w:pPr>
          </w:p>
        </w:tc>
        <w:tc>
          <w:tcPr>
            <w:tcW w:w="820" w:type="dxa"/>
            <w:vAlign w:val="bottom"/>
            <w:tcBorders>
              <w:bottom w:val="single" w:sz="8" w:color="DCE2EF"/>
            </w:tcBorders>
          </w:tcPr>
          <w:p>
            <w:pPr>
              <w:spacing w:after="0"/>
              <w:rPr>
                <w:sz w:val="13"/>
                <w:szCs w:val="13"/>
                <w:color w:val="auto"/>
              </w:rPr>
            </w:pPr>
          </w:p>
        </w:tc>
        <w:tc>
          <w:tcPr>
            <w:tcW w:w="20" w:type="dxa"/>
            <w:vAlign w:val="bottom"/>
            <w:tcBorders>
              <w:bottom w:val="single" w:sz="8" w:color="DCE2EF"/>
            </w:tcBorders>
          </w:tcPr>
          <w:p>
            <w:pPr>
              <w:spacing w:after="0"/>
              <w:rPr>
                <w:sz w:val="13"/>
                <w:szCs w:val="13"/>
                <w:color w:val="auto"/>
              </w:rPr>
            </w:pPr>
          </w:p>
        </w:tc>
        <w:tc>
          <w:tcPr>
            <w:tcW w:w="80" w:type="dxa"/>
            <w:vAlign w:val="bottom"/>
            <w:tcBorders>
              <w:bottom w:val="single" w:sz="8" w:color="DCE2EF"/>
            </w:tcBorders>
          </w:tcPr>
          <w:p>
            <w:pPr>
              <w:spacing w:after="0"/>
              <w:rPr>
                <w:sz w:val="13"/>
                <w:szCs w:val="13"/>
                <w:color w:val="auto"/>
              </w:rPr>
            </w:pPr>
          </w:p>
        </w:tc>
        <w:tc>
          <w:tcPr>
            <w:tcW w:w="20" w:type="dxa"/>
            <w:vAlign w:val="bottom"/>
            <w:tcBorders>
              <w:bottom w:val="single" w:sz="8" w:color="DCE2EF"/>
            </w:tcBorders>
          </w:tcPr>
          <w:p>
            <w:pPr>
              <w:spacing w:after="0"/>
              <w:rPr>
                <w:sz w:val="13"/>
                <w:szCs w:val="13"/>
                <w:color w:val="auto"/>
              </w:rPr>
            </w:pPr>
          </w:p>
        </w:tc>
        <w:tc>
          <w:tcPr>
            <w:tcW w:w="240" w:type="dxa"/>
            <w:vAlign w:val="bottom"/>
            <w:tcBorders>
              <w:bottom w:val="single" w:sz="8" w:color="DCE2EF"/>
            </w:tcBorders>
          </w:tcPr>
          <w:p>
            <w:pPr>
              <w:spacing w:after="0"/>
              <w:rPr>
                <w:sz w:val="13"/>
                <w:szCs w:val="13"/>
                <w:color w:val="auto"/>
              </w:rPr>
            </w:pPr>
          </w:p>
        </w:tc>
        <w:tc>
          <w:tcPr>
            <w:tcW w:w="840" w:type="dxa"/>
            <w:vAlign w:val="bottom"/>
            <w:tcBorders>
              <w:bottom w:val="single" w:sz="8" w:color="DCE2EF"/>
            </w:tcBorders>
          </w:tcPr>
          <w:p>
            <w:pPr>
              <w:spacing w:after="0"/>
              <w:rPr>
                <w:sz w:val="13"/>
                <w:szCs w:val="13"/>
                <w:color w:val="auto"/>
              </w:rPr>
            </w:pPr>
          </w:p>
        </w:tc>
        <w:tc>
          <w:tcPr>
            <w:tcW w:w="20" w:type="dxa"/>
            <w:vAlign w:val="bottom"/>
            <w:tcBorders>
              <w:bottom w:val="single" w:sz="8" w:color="DCE2EF"/>
            </w:tcBorders>
          </w:tcPr>
          <w:p>
            <w:pPr>
              <w:spacing w:after="0"/>
              <w:rPr>
                <w:sz w:val="13"/>
                <w:szCs w:val="13"/>
                <w:color w:val="auto"/>
              </w:rPr>
            </w:pPr>
          </w:p>
        </w:tc>
        <w:tc>
          <w:tcPr>
            <w:tcW w:w="80" w:type="dxa"/>
            <w:vAlign w:val="bottom"/>
            <w:tcBorders>
              <w:bottom w:val="single" w:sz="8" w:color="DCE2EF"/>
            </w:tcBorders>
          </w:tcPr>
          <w:p>
            <w:pPr>
              <w:spacing w:after="0"/>
              <w:rPr>
                <w:sz w:val="13"/>
                <w:szCs w:val="13"/>
                <w:color w:val="auto"/>
              </w:rPr>
            </w:pPr>
          </w:p>
        </w:tc>
        <w:tc>
          <w:tcPr>
            <w:tcW w:w="140" w:type="dxa"/>
            <w:vAlign w:val="bottom"/>
            <w:tcBorders>
              <w:bottom w:val="single" w:sz="8" w:color="DCE2EF"/>
            </w:tcBorders>
          </w:tcPr>
          <w:p>
            <w:pPr>
              <w:spacing w:after="0"/>
              <w:rPr>
                <w:sz w:val="13"/>
                <w:szCs w:val="13"/>
                <w:color w:val="auto"/>
              </w:rPr>
            </w:pPr>
          </w:p>
        </w:tc>
        <w:tc>
          <w:tcPr>
            <w:tcW w:w="980" w:type="dxa"/>
            <w:vAlign w:val="bottom"/>
            <w:tcBorders>
              <w:bottom w:val="single" w:sz="8" w:color="DCE2EF"/>
            </w:tcBorders>
          </w:tcPr>
          <w:p>
            <w:pPr>
              <w:spacing w:after="0"/>
              <w:rPr>
                <w:sz w:val="13"/>
                <w:szCs w:val="13"/>
                <w:color w:val="auto"/>
              </w:rPr>
            </w:pPr>
          </w:p>
        </w:tc>
        <w:tc>
          <w:tcPr>
            <w:tcW w:w="80" w:type="dxa"/>
            <w:vAlign w:val="bottom"/>
            <w:tcBorders>
              <w:bottom w:val="single" w:sz="8" w:color="DCE2EF"/>
            </w:tcBorders>
          </w:tcPr>
          <w:p>
            <w:pPr>
              <w:spacing w:after="0"/>
              <w:rPr>
                <w:sz w:val="13"/>
                <w:szCs w:val="13"/>
                <w:color w:val="auto"/>
              </w:rPr>
            </w:pPr>
          </w:p>
        </w:tc>
        <w:tc>
          <w:tcPr>
            <w:tcW w:w="20" w:type="dxa"/>
            <w:vAlign w:val="bottom"/>
            <w:tcBorders>
              <w:bottom w:val="single" w:sz="8" w:color="DCE2EF"/>
            </w:tcBorders>
          </w:tcPr>
          <w:p>
            <w:pPr>
              <w:spacing w:after="0"/>
              <w:rPr>
                <w:sz w:val="13"/>
                <w:szCs w:val="13"/>
                <w:color w:val="auto"/>
              </w:rPr>
            </w:pPr>
          </w:p>
        </w:tc>
        <w:tc>
          <w:tcPr>
            <w:tcW w:w="180" w:type="dxa"/>
            <w:vAlign w:val="bottom"/>
            <w:tcBorders>
              <w:bottom w:val="single" w:sz="8" w:color="DCE2EF"/>
            </w:tcBorders>
          </w:tcPr>
          <w:p>
            <w:pPr>
              <w:spacing w:after="0"/>
              <w:rPr>
                <w:sz w:val="13"/>
                <w:szCs w:val="13"/>
                <w:color w:val="auto"/>
              </w:rPr>
            </w:pPr>
          </w:p>
        </w:tc>
        <w:tc>
          <w:tcPr>
            <w:tcW w:w="920" w:type="dxa"/>
            <w:vAlign w:val="bottom"/>
            <w:tcBorders>
              <w:bottom w:val="single" w:sz="8" w:color="DCE2EF"/>
            </w:tcBorders>
          </w:tcPr>
          <w:p>
            <w:pPr>
              <w:spacing w:after="0"/>
              <w:rPr>
                <w:sz w:val="13"/>
                <w:szCs w:val="13"/>
                <w:color w:val="auto"/>
              </w:rPr>
            </w:pPr>
          </w:p>
        </w:tc>
        <w:tc>
          <w:tcPr>
            <w:tcW w:w="100" w:type="dxa"/>
            <w:vAlign w:val="bottom"/>
            <w:tcBorders>
              <w:bottom w:val="single" w:sz="8" w:color="DCE2EF"/>
            </w:tcBorders>
          </w:tcPr>
          <w:p>
            <w:pPr>
              <w:spacing w:after="0"/>
              <w:rPr>
                <w:sz w:val="13"/>
                <w:szCs w:val="13"/>
                <w:color w:val="auto"/>
              </w:rPr>
            </w:pPr>
          </w:p>
        </w:tc>
        <w:tc>
          <w:tcPr>
            <w:tcW w:w="140" w:type="dxa"/>
            <w:vAlign w:val="bottom"/>
            <w:tcBorders>
              <w:bottom w:val="single" w:sz="8" w:color="DCE2EF"/>
            </w:tcBorders>
          </w:tcPr>
          <w:p>
            <w:pPr>
              <w:spacing w:after="0"/>
              <w:rPr>
                <w:sz w:val="13"/>
                <w:szCs w:val="13"/>
                <w:color w:val="auto"/>
              </w:rPr>
            </w:pPr>
          </w:p>
        </w:tc>
        <w:tc>
          <w:tcPr>
            <w:tcW w:w="960" w:type="dxa"/>
            <w:vAlign w:val="bottom"/>
            <w:tcBorders>
              <w:bottom w:val="single" w:sz="8" w:color="DCE2EF"/>
            </w:tcBorders>
          </w:tcPr>
          <w:p>
            <w:pPr>
              <w:spacing w:after="0"/>
              <w:rPr>
                <w:sz w:val="13"/>
                <w:szCs w:val="13"/>
                <w:color w:val="auto"/>
              </w:rPr>
            </w:pPr>
          </w:p>
        </w:tc>
        <w:tc>
          <w:tcPr>
            <w:tcW w:w="100" w:type="dxa"/>
            <w:vAlign w:val="bottom"/>
            <w:tcBorders>
              <w:bottom w:val="single" w:sz="8" w:color="DCE2E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DCE2EF"/>
            </w:tcBorders>
            <w:shd w:val="clear" w:color="auto" w:fill="DCE2EF"/>
          </w:tcPr>
          <w:p>
            <w:pPr>
              <w:spacing w:after="0"/>
              <w:rPr>
                <w:sz w:val="20"/>
                <w:szCs w:val="20"/>
                <w:color w:val="auto"/>
              </w:rPr>
            </w:pPr>
          </w:p>
        </w:tc>
        <w:tc>
          <w:tcPr>
            <w:tcW w:w="4120" w:type="dxa"/>
            <w:vAlign w:val="bottom"/>
            <w:tcBorders>
              <w:bottom w:val="single" w:sz="8" w:color="DCE2EF"/>
            </w:tcBorders>
            <w:gridSpan w:val="3"/>
            <w:shd w:val="clear" w:color="auto" w:fill="DCE2EF"/>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DCE2EF"/>
            </w:tcBorders>
            <w:shd w:val="clear" w:color="auto" w:fill="DCE2EF"/>
          </w:tcPr>
          <w:p>
            <w:pPr>
              <w:spacing w:after="0"/>
              <w:rPr>
                <w:sz w:val="20"/>
                <w:szCs w:val="20"/>
                <w:color w:val="auto"/>
              </w:rPr>
            </w:pPr>
          </w:p>
        </w:tc>
        <w:tc>
          <w:tcPr>
            <w:tcW w:w="820" w:type="dxa"/>
            <w:vAlign w:val="bottom"/>
            <w:tcBorders>
              <w:bottom w:val="single" w:sz="8" w:color="DCE2EF"/>
            </w:tcBorders>
            <w:shd w:val="clear" w:color="auto" w:fill="DCE2EF"/>
          </w:tcPr>
          <w:p>
            <w:pPr>
              <w:spacing w:after="0"/>
              <w:rPr>
                <w:sz w:val="20"/>
                <w:szCs w:val="20"/>
                <w:color w:val="auto"/>
              </w:rPr>
            </w:pPr>
          </w:p>
        </w:tc>
        <w:tc>
          <w:tcPr>
            <w:tcW w:w="20" w:type="dxa"/>
            <w:vAlign w:val="bottom"/>
            <w:tcBorders>
              <w:bottom w:val="single" w:sz="8" w:color="DCE2EF"/>
            </w:tcBorders>
            <w:shd w:val="clear" w:color="auto" w:fill="DCE2EF"/>
          </w:tcPr>
          <w:p>
            <w:pPr>
              <w:spacing w:after="0"/>
              <w:rPr>
                <w:sz w:val="20"/>
                <w:szCs w:val="20"/>
                <w:color w:val="auto"/>
              </w:rPr>
            </w:pPr>
          </w:p>
        </w:tc>
        <w:tc>
          <w:tcPr>
            <w:tcW w:w="80" w:type="dxa"/>
            <w:vAlign w:val="bottom"/>
            <w:tcBorders>
              <w:bottom w:val="single" w:sz="8" w:color="DCE2EF"/>
            </w:tcBorders>
            <w:shd w:val="clear" w:color="auto" w:fill="DCE2EF"/>
          </w:tcPr>
          <w:p>
            <w:pPr>
              <w:spacing w:after="0"/>
              <w:rPr>
                <w:sz w:val="20"/>
                <w:szCs w:val="20"/>
                <w:color w:val="auto"/>
              </w:rPr>
            </w:pPr>
          </w:p>
        </w:tc>
        <w:tc>
          <w:tcPr>
            <w:tcW w:w="20" w:type="dxa"/>
            <w:vAlign w:val="bottom"/>
            <w:tcBorders>
              <w:bottom w:val="single" w:sz="8" w:color="DCE2EF"/>
            </w:tcBorders>
            <w:shd w:val="clear" w:color="auto" w:fill="DCE2EF"/>
          </w:tcPr>
          <w:p>
            <w:pPr>
              <w:spacing w:after="0"/>
              <w:rPr>
                <w:sz w:val="20"/>
                <w:szCs w:val="20"/>
                <w:color w:val="auto"/>
              </w:rPr>
            </w:pPr>
          </w:p>
        </w:tc>
        <w:tc>
          <w:tcPr>
            <w:tcW w:w="240" w:type="dxa"/>
            <w:vAlign w:val="bottom"/>
            <w:tcBorders>
              <w:bottom w:val="single" w:sz="8" w:color="DCE2EF"/>
            </w:tcBorders>
            <w:shd w:val="clear" w:color="auto" w:fill="DCE2EF"/>
          </w:tcPr>
          <w:p>
            <w:pPr>
              <w:spacing w:after="0"/>
              <w:rPr>
                <w:sz w:val="20"/>
                <w:szCs w:val="20"/>
                <w:color w:val="auto"/>
              </w:rPr>
            </w:pPr>
          </w:p>
        </w:tc>
        <w:tc>
          <w:tcPr>
            <w:tcW w:w="840" w:type="dxa"/>
            <w:vAlign w:val="bottom"/>
            <w:tcBorders>
              <w:bottom w:val="single" w:sz="8" w:color="DCE2EF"/>
            </w:tcBorders>
            <w:shd w:val="clear" w:color="auto" w:fill="DCE2EF"/>
          </w:tcPr>
          <w:p>
            <w:pPr>
              <w:spacing w:after="0"/>
              <w:rPr>
                <w:sz w:val="20"/>
                <w:szCs w:val="20"/>
                <w:color w:val="auto"/>
              </w:rPr>
            </w:pPr>
          </w:p>
        </w:tc>
        <w:tc>
          <w:tcPr>
            <w:tcW w:w="20" w:type="dxa"/>
            <w:vAlign w:val="bottom"/>
            <w:tcBorders>
              <w:bottom w:val="single" w:sz="8" w:color="DCE2EF"/>
            </w:tcBorders>
            <w:shd w:val="clear" w:color="auto" w:fill="DCE2EF"/>
          </w:tcPr>
          <w:p>
            <w:pPr>
              <w:spacing w:after="0"/>
              <w:rPr>
                <w:sz w:val="20"/>
                <w:szCs w:val="20"/>
                <w:color w:val="auto"/>
              </w:rPr>
            </w:pPr>
          </w:p>
        </w:tc>
        <w:tc>
          <w:tcPr>
            <w:tcW w:w="80" w:type="dxa"/>
            <w:vAlign w:val="bottom"/>
            <w:tcBorders>
              <w:bottom w:val="single" w:sz="8" w:color="DCE2EF"/>
            </w:tcBorders>
            <w:shd w:val="clear" w:color="auto" w:fill="DCE2EF"/>
          </w:tcPr>
          <w:p>
            <w:pPr>
              <w:spacing w:after="0"/>
              <w:rPr>
                <w:sz w:val="20"/>
                <w:szCs w:val="20"/>
                <w:color w:val="auto"/>
              </w:rPr>
            </w:pPr>
          </w:p>
        </w:tc>
        <w:tc>
          <w:tcPr>
            <w:tcW w:w="140" w:type="dxa"/>
            <w:vAlign w:val="bottom"/>
            <w:tcBorders>
              <w:bottom w:val="single" w:sz="8" w:color="DCE2EF"/>
            </w:tcBorders>
            <w:shd w:val="clear" w:color="auto" w:fill="DCE2EF"/>
          </w:tcPr>
          <w:p>
            <w:pPr>
              <w:spacing w:after="0"/>
              <w:rPr>
                <w:sz w:val="20"/>
                <w:szCs w:val="20"/>
                <w:color w:val="auto"/>
              </w:rPr>
            </w:pPr>
          </w:p>
        </w:tc>
        <w:tc>
          <w:tcPr>
            <w:tcW w:w="980" w:type="dxa"/>
            <w:vAlign w:val="bottom"/>
            <w:tcBorders>
              <w:bottom w:val="single" w:sz="8" w:color="DCE2EF"/>
            </w:tcBorders>
            <w:shd w:val="clear" w:color="auto" w:fill="DCE2EF"/>
          </w:tcPr>
          <w:p>
            <w:pPr>
              <w:spacing w:after="0"/>
              <w:rPr>
                <w:sz w:val="20"/>
                <w:szCs w:val="20"/>
                <w:color w:val="auto"/>
              </w:rPr>
            </w:pPr>
          </w:p>
        </w:tc>
        <w:tc>
          <w:tcPr>
            <w:tcW w:w="80" w:type="dxa"/>
            <w:vAlign w:val="bottom"/>
            <w:tcBorders>
              <w:bottom w:val="single" w:sz="8" w:color="DCE2EF"/>
            </w:tcBorders>
            <w:shd w:val="clear" w:color="auto" w:fill="DCE2EF"/>
          </w:tcPr>
          <w:p>
            <w:pPr>
              <w:spacing w:after="0"/>
              <w:rPr>
                <w:sz w:val="20"/>
                <w:szCs w:val="20"/>
                <w:color w:val="auto"/>
              </w:rPr>
            </w:pPr>
          </w:p>
        </w:tc>
        <w:tc>
          <w:tcPr>
            <w:tcW w:w="20" w:type="dxa"/>
            <w:vAlign w:val="bottom"/>
            <w:tcBorders>
              <w:bottom w:val="single" w:sz="8" w:color="DCE2EF"/>
            </w:tcBorders>
            <w:shd w:val="clear" w:color="auto" w:fill="DCE2EF"/>
          </w:tcPr>
          <w:p>
            <w:pPr>
              <w:spacing w:after="0"/>
              <w:rPr>
                <w:sz w:val="20"/>
                <w:szCs w:val="20"/>
                <w:color w:val="auto"/>
              </w:rPr>
            </w:pPr>
          </w:p>
        </w:tc>
        <w:tc>
          <w:tcPr>
            <w:tcW w:w="180" w:type="dxa"/>
            <w:vAlign w:val="bottom"/>
            <w:tcBorders>
              <w:bottom w:val="single" w:sz="8" w:color="DCE2EF"/>
            </w:tcBorders>
            <w:shd w:val="clear" w:color="auto" w:fill="DCE2EF"/>
          </w:tcPr>
          <w:p>
            <w:pPr>
              <w:spacing w:after="0"/>
              <w:rPr>
                <w:sz w:val="20"/>
                <w:szCs w:val="20"/>
                <w:color w:val="auto"/>
              </w:rPr>
            </w:pPr>
          </w:p>
        </w:tc>
        <w:tc>
          <w:tcPr>
            <w:tcW w:w="92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140" w:type="dxa"/>
            <w:vAlign w:val="bottom"/>
            <w:tcBorders>
              <w:bottom w:val="single" w:sz="8" w:color="DCE2EF"/>
            </w:tcBorders>
            <w:shd w:val="clear" w:color="auto" w:fill="DCE2EF"/>
          </w:tcPr>
          <w:p>
            <w:pPr>
              <w:spacing w:after="0"/>
              <w:rPr>
                <w:sz w:val="20"/>
                <w:szCs w:val="20"/>
                <w:color w:val="auto"/>
              </w:rPr>
            </w:pPr>
          </w:p>
        </w:tc>
        <w:tc>
          <w:tcPr>
            <w:tcW w:w="96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24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5,987.6</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60" w:type="dxa"/>
            <w:vAlign w:val="bottom"/>
            <w:tcBorders>
              <w:top w:val="single" w:sz="8" w:color="DCE2EF"/>
            </w:tcBorders>
          </w:tcPr>
          <w:p>
            <w:pPr>
              <w:spacing w:after="0" w:line="20" w:lineRule="exact"/>
              <w:rPr>
                <w:sz w:val="1"/>
                <w:szCs w:val="1"/>
                <w:color w:val="auto"/>
              </w:rPr>
            </w:pPr>
          </w:p>
        </w:tc>
        <w:tc>
          <w:tcPr>
            <w:tcW w:w="344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DCE2EF"/>
            </w:tcBorders>
          </w:tcPr>
          <w:p>
            <w:pPr>
              <w:spacing w:after="0" w:line="20" w:lineRule="exact"/>
              <w:rPr>
                <w:sz w:val="1"/>
                <w:szCs w:val="1"/>
                <w:color w:val="auto"/>
              </w:rPr>
            </w:pPr>
          </w:p>
        </w:tc>
        <w:tc>
          <w:tcPr>
            <w:tcW w:w="82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tcBorders>
          </w:tcPr>
          <w:p>
            <w:pPr>
              <w:spacing w:after="0" w:line="20" w:lineRule="exact"/>
              <w:rPr>
                <w:sz w:val="1"/>
                <w:szCs w:val="1"/>
                <w:color w:val="auto"/>
              </w:rPr>
            </w:pPr>
          </w:p>
        </w:tc>
        <w:tc>
          <w:tcPr>
            <w:tcW w:w="84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tcBorders>
          </w:tcPr>
          <w:p>
            <w:pPr>
              <w:spacing w:after="0" w:line="20" w:lineRule="exact"/>
              <w:rPr>
                <w:sz w:val="1"/>
                <w:szCs w:val="1"/>
                <w:color w:val="auto"/>
              </w:rPr>
            </w:pPr>
          </w:p>
        </w:tc>
        <w:tc>
          <w:tcPr>
            <w:tcW w:w="98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DCE2EF"/>
            </w:tcBorders>
          </w:tcPr>
          <w:p>
            <w:pPr>
              <w:spacing w:after="0" w:line="20" w:lineRule="exact"/>
              <w:rPr>
                <w:sz w:val="1"/>
                <w:szCs w:val="1"/>
                <w:color w:val="auto"/>
              </w:rPr>
            </w:pPr>
          </w:p>
        </w:tc>
        <w:tc>
          <w:tcPr>
            <w:tcW w:w="92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tcBorders>
          </w:tcPr>
          <w:p>
            <w:pPr>
              <w:spacing w:after="0" w:line="20" w:lineRule="exact"/>
              <w:rPr>
                <w:sz w:val="1"/>
                <w:szCs w:val="1"/>
                <w:color w:val="auto"/>
              </w:rPr>
            </w:pPr>
          </w:p>
        </w:tc>
        <w:tc>
          <w:tcPr>
            <w:tcW w:w="96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bottom w:val="single" w:sz="8" w:color="auto"/>
            </w:tcBorders>
          </w:tcPr>
          <w:p>
            <w:pPr>
              <w:spacing w:after="0" w:line="20" w:lineRule="exact"/>
              <w:rPr>
                <w:sz w:val="1"/>
                <w:szCs w:val="1"/>
                <w:color w:val="auto"/>
              </w:rPr>
            </w:pPr>
          </w:p>
        </w:tc>
        <w:tc>
          <w:tcPr>
            <w:tcW w:w="86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left="180" w:hanging="172"/>
        <w:spacing w:after="0" w:line="225" w:lineRule="auto"/>
        <w:tabs>
          <w:tab w:leader="none" w:pos="213"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Janitorial arrangements provide a wide range of essential cleaning services for commercial office buildings, airports and other transportation centers, educational institutions, government buildings, health facilities, industrial buildings, retail stores, and stadiums and arenas. These arrangements are often structured as monthly fixed-price, square-foot, cost-plus, and work order contracts.</w:t>
      </w:r>
    </w:p>
    <w:p>
      <w:pPr>
        <w:spacing w:after="0" w:line="103" w:lineRule="exact"/>
        <w:rPr>
          <w:rFonts w:ascii="Arial" w:cs="Arial" w:eastAsia="Arial" w:hAnsi="Arial"/>
          <w:sz w:val="21"/>
          <w:szCs w:val="21"/>
          <w:color w:val="auto"/>
          <w:vertAlign w:val="superscript"/>
        </w:rPr>
      </w:pPr>
    </w:p>
    <w:p>
      <w:pPr>
        <w:jc w:val="both"/>
        <w:ind w:left="180" w:hanging="172"/>
        <w:spacing w:after="0" w:line="233" w:lineRule="auto"/>
        <w:tabs>
          <w:tab w:leader="none" w:pos="216"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Parking arrangements provide parking and transportation services for clients at various locations, including airports and other transportation centers, commercial office buildings, educational institutions, health facilities, hotels, and stadiums and arenas. These arrangements are structured as management reimbursement, leased location, and allowance contracts. Certain of these arrangements are considered service concession agreements and are accounted for under the guidance of Topic 853; accordingly, rent expense related to these arrangements is recorded as a reduction of the related parking service revenues.</w:t>
      </w:r>
    </w:p>
    <w:p>
      <w:pPr>
        <w:spacing w:after="0" w:line="104" w:lineRule="exact"/>
        <w:rPr>
          <w:rFonts w:ascii="Arial" w:cs="Arial" w:eastAsia="Arial" w:hAnsi="Arial"/>
          <w:sz w:val="21"/>
          <w:szCs w:val="21"/>
          <w:color w:val="auto"/>
          <w:vertAlign w:val="superscript"/>
        </w:rPr>
      </w:pPr>
    </w:p>
    <w:p>
      <w:pPr>
        <w:jc w:val="both"/>
        <w:ind w:left="180" w:hanging="172"/>
        <w:spacing w:after="0" w:line="230" w:lineRule="auto"/>
        <w:tabs>
          <w:tab w:leader="none" w:pos="214"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Facility Services arrangements provide onsite mechanical engineering and technical services and solutions relating to a broad range of facilities and infrastructure systems that are designed to extend the useful life of facility fixed assets, improve equipment operating efficiencies, reduce energy consumption, lower overall operational costs for clients, and enhance the sustainability of client locations. These arrangements are generally structured as monthly fixed-price, cost-plus, and work order contracts.</w:t>
      </w:r>
    </w:p>
    <w:p>
      <w:pPr>
        <w:spacing w:after="0" w:line="103" w:lineRule="exact"/>
        <w:rPr>
          <w:rFonts w:ascii="Arial" w:cs="Arial" w:eastAsia="Arial" w:hAnsi="Arial"/>
          <w:sz w:val="21"/>
          <w:szCs w:val="21"/>
          <w:color w:val="auto"/>
          <w:vertAlign w:val="superscript"/>
        </w:rPr>
      </w:pPr>
    </w:p>
    <w:p>
      <w:pPr>
        <w:jc w:val="both"/>
        <w:ind w:left="180" w:hanging="172"/>
        <w:spacing w:after="0" w:line="230" w:lineRule="auto"/>
        <w:tabs>
          <w:tab w:leader="none" w:pos="206"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Building &amp; Energy Solutions arrangements provide custom energy solutions, electrical, HVAC, lighting, electric vehicle charging station installation, and other general maintenance and repair services for clients in the public and private sectors and are generally structured as Energy Savings and Fixed-Price Repair and Refurbishment contracts. We also franchise certain operations under franchise agreements relating to our Linc Network and TEGG brands pursuant to franchise contracts.</w:t>
      </w:r>
    </w:p>
    <w:p>
      <w:pPr>
        <w:sectPr>
          <w:pgSz w:w="11900" w:h="16838" w:orient="portrait"/>
          <w:cols w:equalWidth="0" w:num="1">
            <w:col w:w="11240"/>
          </w:cols>
          <w:pgMar w:left="320" w:top="1210"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type w:val="continuous"/>
        </w:sectPr>
      </w:pPr>
    </w:p>
    <w:bookmarkStart w:id="69" w:name="page70"/>
    <w:bookmarkEnd w:id="69"/>
    <w:p>
      <w:pPr>
        <w:ind w:left="180" w:hanging="172"/>
        <w:spacing w:after="0" w:line="216" w:lineRule="auto"/>
        <w:tabs>
          <w:tab w:leader="none" w:pos="245"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Airline Services arrangements support airlines and airports with services such as passenger assistance, catering logistics, and airplane cabin maintenance. These arrangements are often structured as monthly fixed-price, cost-plus, transaction price, and hourly contracts.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Remaining Performance Obligations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2021, performance obligations that were unsatisfied or partially unsatisfied for which we expect to recognize revenue totaled $307.2 million. We expect to recognize revenue on approximately 79% of the remaining performance obligations over the next 12 months, with the remainder recognized thereafter, based on our estimates of project timing.</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These amounts exclude variable consideration primarily related to: (i) contracts where we have determined that the contract consists of a series of distinct service periods and revenues are based on future performance that cannot be estimated at contract inception; (ii) parking contracts where we and the customer share the gross revenues or operating profit for the location; and (iii) contracts where transaction prices include performance incentives that are based on future performance and therefore cannot be estimated at contract inception. We apply the practical expedient that permits exclusion of information about the remaining performance obligations with original expected durations of one year or less.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164FA2"/>
        </w:rPr>
        <w:t>Contract Balances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balances in our contract assets and contract liabilities: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7"/>
                <w:szCs w:val="17"/>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 31, 2021</w:t>
            </w:r>
          </w:p>
        </w:tc>
        <w:tc>
          <w:tcPr>
            <w:tcW w:w="220" w:type="dxa"/>
            <w:vAlign w:val="bottom"/>
          </w:tcPr>
          <w:p>
            <w:pPr>
              <w:spacing w:after="0"/>
              <w:rPr>
                <w:sz w:val="17"/>
                <w:szCs w:val="17"/>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b w:val="1"/>
                <w:bCs w:val="1"/>
                <w:color w:val="auto"/>
              </w:rPr>
              <w:t>October 31, 2020</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63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Contract assets</w:t>
            </w:r>
          </w:p>
        </w:tc>
        <w:tc>
          <w:tcPr>
            <w:tcW w:w="220" w:type="dxa"/>
            <w:vAlign w:val="bottom"/>
            <w:shd w:val="clear" w:color="auto" w:fill="DCE2EF"/>
          </w:tcPr>
          <w:p>
            <w:pPr>
              <w:spacing w:after="0"/>
              <w:rPr>
                <w:sz w:val="18"/>
                <w:szCs w:val="18"/>
                <w:color w:val="auto"/>
              </w:rPr>
            </w:pPr>
          </w:p>
        </w:tc>
        <w:tc>
          <w:tcPr>
            <w:tcW w:w="18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1820" w:type="dxa"/>
            <w:vAlign w:val="bottom"/>
            <w:shd w:val="clear" w:color="auto" w:fill="DCE2E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040" w:type="dxa"/>
            <w:vAlign w:val="bottom"/>
            <w:gridSpan w:val="2"/>
          </w:tcPr>
          <w:p>
            <w:pPr>
              <w:ind w:left="200"/>
              <w:spacing w:after="0" w:line="230" w:lineRule="exact"/>
              <w:rPr>
                <w:sz w:val="20"/>
                <w:szCs w:val="20"/>
                <w:color w:val="auto"/>
              </w:rPr>
            </w:pPr>
            <w:r>
              <w:rPr>
                <w:rFonts w:ascii="Arial" w:cs="Arial" w:eastAsia="Arial" w:hAnsi="Arial"/>
                <w:sz w:val="18"/>
                <w:szCs w:val="18"/>
                <w:color w:val="auto"/>
              </w:rPr>
              <w:t>Billed trade receivables</w:t>
            </w:r>
            <w:r>
              <w:rPr>
                <w:rFonts w:ascii="Arial" w:cs="Arial" w:eastAsia="Arial" w:hAnsi="Arial"/>
                <w:sz w:val="23"/>
                <w:szCs w:val="23"/>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1,057.6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835.8</w:t>
            </w:r>
          </w:p>
        </w:tc>
      </w:tr>
      <w:tr>
        <w:trPr>
          <w:trHeight w:val="230"/>
        </w:trPr>
        <w:tc>
          <w:tcPr>
            <w:tcW w:w="20" w:type="dxa"/>
            <w:vAlign w:val="bottom"/>
            <w:shd w:val="clear" w:color="auto" w:fill="DCE2EF"/>
          </w:tcPr>
          <w:p>
            <w:pPr>
              <w:spacing w:after="0"/>
              <w:rPr>
                <w:sz w:val="19"/>
                <w:szCs w:val="19"/>
                <w:color w:val="auto"/>
              </w:rPr>
            </w:pPr>
          </w:p>
        </w:tc>
        <w:tc>
          <w:tcPr>
            <w:tcW w:w="7040" w:type="dxa"/>
            <w:vAlign w:val="bottom"/>
            <w:gridSpan w:val="2"/>
            <w:shd w:val="clear" w:color="auto" w:fill="DCE2EF"/>
          </w:tcPr>
          <w:p>
            <w:pPr>
              <w:ind w:left="200"/>
              <w:spacing w:after="0" w:line="230" w:lineRule="exact"/>
              <w:rPr>
                <w:sz w:val="20"/>
                <w:szCs w:val="20"/>
                <w:color w:val="auto"/>
              </w:rPr>
            </w:pPr>
            <w:r>
              <w:rPr>
                <w:rFonts w:ascii="Arial" w:cs="Arial" w:eastAsia="Arial" w:hAnsi="Arial"/>
                <w:sz w:val="18"/>
                <w:szCs w:val="18"/>
                <w:color w:val="auto"/>
              </w:rPr>
              <w:t>Unbilled trade receivables</w:t>
            </w:r>
            <w:r>
              <w:rPr>
                <w:rFonts w:ascii="Arial" w:cs="Arial" w:eastAsia="Arial" w:hAnsi="Arial"/>
                <w:sz w:val="23"/>
                <w:szCs w:val="23"/>
                <w:color w:val="auto"/>
                <w:vertAlign w:val="superscript"/>
              </w:rPr>
              <w:t>(1)</w:t>
            </w:r>
          </w:p>
        </w:tc>
        <w:tc>
          <w:tcPr>
            <w:tcW w:w="220" w:type="dxa"/>
            <w:vAlign w:val="bottom"/>
            <w:shd w:val="clear" w:color="auto" w:fill="DCE2EF"/>
          </w:tcPr>
          <w:p>
            <w:pPr>
              <w:spacing w:after="0"/>
              <w:rPr>
                <w:sz w:val="19"/>
                <w:szCs w:val="19"/>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53.9</w:t>
            </w:r>
          </w:p>
        </w:tc>
      </w:tr>
      <w:tr>
        <w:trPr>
          <w:trHeight w:val="229"/>
        </w:trPr>
        <w:tc>
          <w:tcPr>
            <w:tcW w:w="20" w:type="dxa"/>
            <w:vAlign w:val="bottom"/>
          </w:tcPr>
          <w:p>
            <w:pPr>
              <w:spacing w:after="0"/>
              <w:rPr>
                <w:sz w:val="19"/>
                <w:szCs w:val="19"/>
                <w:color w:val="auto"/>
              </w:rPr>
            </w:pPr>
          </w:p>
        </w:tc>
        <w:tc>
          <w:tcPr>
            <w:tcW w:w="7040" w:type="dxa"/>
            <w:vAlign w:val="bottom"/>
            <w:gridSpan w:val="2"/>
          </w:tcPr>
          <w:p>
            <w:pPr>
              <w:ind w:left="200"/>
              <w:spacing w:after="0" w:line="230" w:lineRule="exact"/>
              <w:rPr>
                <w:sz w:val="20"/>
                <w:szCs w:val="20"/>
                <w:color w:val="auto"/>
              </w:rPr>
            </w:pPr>
            <w:r>
              <w:rPr>
                <w:rFonts w:ascii="Arial" w:cs="Arial" w:eastAsia="Arial" w:hAnsi="Arial"/>
                <w:sz w:val="18"/>
                <w:szCs w:val="18"/>
                <w:color w:val="auto"/>
              </w:rPr>
              <w:t>Costs incurred in excess of amounts billed</w:t>
            </w:r>
            <w:r>
              <w:rPr>
                <w:rFonts w:ascii="Arial" w:cs="Arial" w:eastAsia="Arial" w:hAnsi="Arial"/>
                <w:sz w:val="23"/>
                <w:szCs w:val="23"/>
                <w:color w:val="auto"/>
                <w:vertAlign w:val="superscript"/>
              </w:rPr>
              <w:t>(2)</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30"/>
        </w:trPr>
        <w:tc>
          <w:tcPr>
            <w:tcW w:w="20" w:type="dxa"/>
            <w:vAlign w:val="bottom"/>
            <w:shd w:val="clear" w:color="auto" w:fill="DCE2EF"/>
          </w:tcPr>
          <w:p>
            <w:pPr>
              <w:spacing w:after="0"/>
              <w:rPr>
                <w:sz w:val="19"/>
                <w:szCs w:val="19"/>
                <w:color w:val="auto"/>
              </w:rPr>
            </w:pPr>
          </w:p>
        </w:tc>
        <w:tc>
          <w:tcPr>
            <w:tcW w:w="7040" w:type="dxa"/>
            <w:vAlign w:val="bottom"/>
            <w:gridSpan w:val="2"/>
            <w:shd w:val="clear" w:color="auto" w:fill="DCE2EF"/>
          </w:tcPr>
          <w:p>
            <w:pPr>
              <w:ind w:left="200"/>
              <w:spacing w:after="0" w:line="230" w:lineRule="exact"/>
              <w:rPr>
                <w:sz w:val="20"/>
                <w:szCs w:val="20"/>
                <w:color w:val="auto"/>
              </w:rPr>
            </w:pPr>
            <w:r>
              <w:rPr>
                <w:rFonts w:ascii="Arial" w:cs="Arial" w:eastAsia="Arial" w:hAnsi="Arial"/>
                <w:sz w:val="18"/>
                <w:szCs w:val="18"/>
                <w:color w:val="auto"/>
              </w:rPr>
              <w:t>Capitalized commissions</w:t>
            </w:r>
            <w:r>
              <w:rPr>
                <w:rFonts w:ascii="Arial" w:cs="Arial" w:eastAsia="Arial" w:hAnsi="Arial"/>
                <w:sz w:val="23"/>
                <w:szCs w:val="23"/>
                <w:color w:val="auto"/>
                <w:vertAlign w:val="superscript"/>
              </w:rPr>
              <w:t>(3)</w:t>
            </w:r>
          </w:p>
        </w:tc>
        <w:tc>
          <w:tcPr>
            <w:tcW w:w="220" w:type="dxa"/>
            <w:vAlign w:val="bottom"/>
            <w:shd w:val="clear" w:color="auto" w:fill="DCE2EF"/>
          </w:tcPr>
          <w:p>
            <w:pPr>
              <w:spacing w:after="0"/>
              <w:rPr>
                <w:sz w:val="19"/>
                <w:szCs w:val="19"/>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25.2</w:t>
            </w:r>
          </w:p>
        </w:tc>
      </w:tr>
    </w:tbl>
    <w:p>
      <w:pPr>
        <w:spacing w:after="0" w:line="218" w:lineRule="exact"/>
        <w:rPr>
          <w:sz w:val="20"/>
          <w:szCs w:val="20"/>
          <w:color w:val="auto"/>
        </w:rPr>
      </w:pPr>
    </w:p>
    <w:p>
      <w:pPr>
        <w:ind w:left="180" w:hanging="172"/>
        <w:spacing w:after="0" w:line="216" w:lineRule="auto"/>
        <w:tabs>
          <w:tab w:leader="none" w:pos="213"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Included in trade accounts receivable, net, on the Consolidated Balance Sheets. The fluctuations correlate directly to the execution of new customer contracts and to invoicing and collections from customers in the normal course of business.</w:t>
      </w:r>
    </w:p>
    <w:p>
      <w:pPr>
        <w:spacing w:after="0" w:line="2"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Fluctuation is primarily due to the timing of payments on our contracts measured using the cost-to-cost method of revenue recognition.</w:t>
      </w:r>
    </w:p>
    <w:p>
      <w:pPr>
        <w:spacing w:after="0" w:line="102" w:lineRule="exact"/>
        <w:rPr>
          <w:rFonts w:ascii="Arial" w:cs="Arial" w:eastAsia="Arial" w:hAnsi="Arial"/>
          <w:sz w:val="21"/>
          <w:szCs w:val="21"/>
          <w:color w:val="auto"/>
          <w:vertAlign w:val="superscript"/>
        </w:rPr>
      </w:pPr>
    </w:p>
    <w:p>
      <w:pPr>
        <w:jc w:val="both"/>
        <w:ind w:left="180" w:hanging="172"/>
        <w:spacing w:after="0"/>
        <w:tabs>
          <w:tab w:leader="none" w:pos="227"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Included in other current assets and other noncurrent assets on the Consolidated Balance Sheets. During the year ended October 31, 2021, we capitalized $16.3 million of new costs and amortized $13.7 million of previously capitalized costs. There was no impairment loss recorded on the costs capitalized.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ind w:right="450"/>
              <w:spacing w:after="0"/>
              <w:rPr>
                <w:sz w:val="20"/>
                <w:szCs w:val="20"/>
                <w:color w:val="auto"/>
              </w:rPr>
            </w:pPr>
            <w:r>
              <w:rPr>
                <w:rFonts w:ascii="Arial" w:cs="Arial" w:eastAsia="Arial" w:hAnsi="Arial"/>
                <w:sz w:val="18"/>
                <w:szCs w:val="18"/>
                <w:b w:val="1"/>
                <w:bCs w:val="1"/>
                <w:color w:val="auto"/>
              </w:rPr>
              <w:t>Year Ended</w:t>
            </w:r>
          </w:p>
        </w:tc>
      </w:tr>
      <w:tr>
        <w:trPr>
          <w:trHeight w:val="189"/>
        </w:trPr>
        <w:tc>
          <w:tcPr>
            <w:tcW w:w="20" w:type="dxa"/>
            <w:vAlign w:val="bottom"/>
          </w:tcPr>
          <w:p>
            <w:pPr>
              <w:spacing w:after="0"/>
              <w:rPr>
                <w:sz w:val="16"/>
                <w:szCs w:val="16"/>
                <w:color w:val="auto"/>
              </w:rPr>
            </w:pPr>
          </w:p>
        </w:tc>
        <w:tc>
          <w:tcPr>
            <w:tcW w:w="91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1840" w:type="dxa"/>
            <w:vAlign w:val="bottom"/>
          </w:tcPr>
          <w:p>
            <w:pPr>
              <w:jc w:val="right"/>
              <w:ind w:right="210"/>
              <w:spacing w:after="0" w:line="189" w:lineRule="exact"/>
              <w:rPr>
                <w:sz w:val="20"/>
                <w:szCs w:val="20"/>
                <w:color w:val="auto"/>
              </w:rPr>
            </w:pPr>
            <w:r>
              <w:rPr>
                <w:rFonts w:ascii="Arial" w:cs="Arial" w:eastAsia="Arial" w:hAnsi="Arial"/>
                <w:sz w:val="18"/>
                <w:szCs w:val="18"/>
                <w:b w:val="1"/>
                <w:bCs w:val="1"/>
                <w:color w:val="auto"/>
              </w:rPr>
              <w:t>October 31, 2021</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84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9120" w:type="dxa"/>
            <w:vAlign w:val="bottom"/>
            <w:gridSpan w:val="2"/>
            <w:shd w:val="clear" w:color="auto" w:fill="DCE2EF"/>
          </w:tcPr>
          <w:p>
            <w:pPr>
              <w:spacing w:after="0" w:line="210" w:lineRule="exact"/>
              <w:rPr>
                <w:sz w:val="20"/>
                <w:szCs w:val="20"/>
                <w:color w:val="auto"/>
              </w:rPr>
            </w:pPr>
            <w:r>
              <w:rPr>
                <w:rFonts w:ascii="Arial" w:cs="Arial" w:eastAsia="Arial" w:hAnsi="Arial"/>
                <w:sz w:val="18"/>
                <w:szCs w:val="18"/>
                <w:b w:val="1"/>
                <w:bCs w:val="1"/>
                <w:color w:val="auto"/>
              </w:rPr>
              <w:t>Contract liabilities</w:t>
            </w:r>
            <w:r>
              <w:rPr>
                <w:rFonts w:ascii="Arial" w:cs="Arial" w:eastAsia="Arial" w:hAnsi="Arial"/>
                <w:sz w:val="23"/>
                <w:szCs w:val="23"/>
                <w:color w:val="auto"/>
                <w:vertAlign w:val="superscript"/>
              </w:rPr>
              <w:t>(1)</w:t>
            </w:r>
          </w:p>
        </w:tc>
        <w:tc>
          <w:tcPr>
            <w:tcW w:w="220" w:type="dxa"/>
            <w:vAlign w:val="bottom"/>
            <w:shd w:val="clear" w:color="auto" w:fill="DCE2EF"/>
          </w:tcPr>
          <w:p>
            <w:pPr>
              <w:spacing w:after="0"/>
              <w:rPr>
                <w:sz w:val="18"/>
                <w:szCs w:val="18"/>
                <w:color w:val="auto"/>
              </w:rPr>
            </w:pPr>
          </w:p>
        </w:tc>
        <w:tc>
          <w:tcPr>
            <w:tcW w:w="1840" w:type="dxa"/>
            <w:vAlign w:val="bottom"/>
            <w:shd w:val="clear" w:color="auto" w:fill="DCE2E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9120" w:type="dxa"/>
            <w:vAlign w:val="bottom"/>
            <w:gridSpan w:val="2"/>
          </w:tcPr>
          <w:p>
            <w:pPr>
              <w:ind w:left="200"/>
              <w:spacing w:after="0"/>
              <w:rPr>
                <w:sz w:val="20"/>
                <w:szCs w:val="20"/>
                <w:color w:val="auto"/>
              </w:rPr>
            </w:pPr>
            <w:r>
              <w:rPr>
                <w:rFonts w:ascii="Arial" w:cs="Arial" w:eastAsia="Arial" w:hAnsi="Arial"/>
                <w:sz w:val="18"/>
                <w:szCs w:val="18"/>
                <w:color w:val="auto"/>
              </w:rPr>
              <w:t>Balance at beginning of year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29"/>
        </w:trPr>
        <w:tc>
          <w:tcPr>
            <w:tcW w:w="20" w:type="dxa"/>
            <w:vAlign w:val="bottom"/>
            <w:shd w:val="clear" w:color="auto" w:fill="DCE2EF"/>
          </w:tcPr>
          <w:p>
            <w:pPr>
              <w:spacing w:after="0"/>
              <w:rPr>
                <w:sz w:val="19"/>
                <w:szCs w:val="19"/>
                <w:color w:val="auto"/>
              </w:rPr>
            </w:pPr>
          </w:p>
        </w:tc>
        <w:tc>
          <w:tcPr>
            <w:tcW w:w="9120" w:type="dxa"/>
            <w:vAlign w:val="bottom"/>
            <w:gridSpan w:val="2"/>
            <w:shd w:val="clear" w:color="auto" w:fill="DCE2EF"/>
          </w:tcPr>
          <w:p>
            <w:pPr>
              <w:ind w:left="200"/>
              <w:spacing w:after="0"/>
              <w:rPr>
                <w:sz w:val="20"/>
                <w:szCs w:val="20"/>
                <w:color w:val="auto"/>
              </w:rPr>
            </w:pPr>
            <w:r>
              <w:rPr>
                <w:rFonts w:ascii="Arial" w:cs="Arial" w:eastAsia="Arial" w:hAnsi="Arial"/>
                <w:sz w:val="18"/>
                <w:szCs w:val="18"/>
                <w:color w:val="auto"/>
              </w:rPr>
              <w:t>Additional contract liabilities</w:t>
            </w:r>
          </w:p>
        </w:tc>
        <w:tc>
          <w:tcPr>
            <w:tcW w:w="220" w:type="dxa"/>
            <w:vAlign w:val="bottom"/>
            <w:shd w:val="clear" w:color="auto" w:fill="DCE2EF"/>
          </w:tcPr>
          <w:p>
            <w:pPr>
              <w:spacing w:after="0"/>
              <w:rPr>
                <w:sz w:val="19"/>
                <w:szCs w:val="19"/>
                <w:color w:val="auto"/>
              </w:rPr>
            </w:pPr>
          </w:p>
        </w:tc>
        <w:tc>
          <w:tcPr>
            <w:tcW w:w="18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248.9</w:t>
            </w:r>
          </w:p>
        </w:tc>
      </w:tr>
      <w:tr>
        <w:trPr>
          <w:trHeight w:val="284"/>
        </w:trPr>
        <w:tc>
          <w:tcPr>
            <w:tcW w:w="20" w:type="dxa"/>
            <w:vAlign w:val="bottom"/>
            <w:tcBorders>
              <w:bottom w:val="single" w:sz="8" w:color="DCE2EF"/>
            </w:tcBorders>
          </w:tcPr>
          <w:p>
            <w:pPr>
              <w:spacing w:after="0"/>
              <w:rPr>
                <w:sz w:val="24"/>
                <w:szCs w:val="24"/>
                <w:color w:val="auto"/>
              </w:rPr>
            </w:pPr>
          </w:p>
        </w:tc>
        <w:tc>
          <w:tcPr>
            <w:tcW w:w="9120" w:type="dxa"/>
            <w:vAlign w:val="bottom"/>
            <w:tcBorders>
              <w:bottom w:val="single" w:sz="8" w:color="DCE2EF"/>
            </w:tcBorders>
            <w:gridSpan w:val="2"/>
          </w:tcPr>
          <w:p>
            <w:pPr>
              <w:ind w:left="200"/>
              <w:spacing w:after="0"/>
              <w:rPr>
                <w:sz w:val="20"/>
                <w:szCs w:val="20"/>
                <w:color w:val="auto"/>
              </w:rPr>
            </w:pPr>
            <w:r>
              <w:rPr>
                <w:rFonts w:ascii="Arial" w:cs="Arial" w:eastAsia="Arial" w:hAnsi="Arial"/>
                <w:sz w:val="18"/>
                <w:szCs w:val="18"/>
                <w:color w:val="auto"/>
              </w:rPr>
              <w:t>Recognition of deferred revenue</w:t>
            </w: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w:t>
            </w:r>
          </w:p>
        </w:tc>
      </w:tr>
      <w:tr>
        <w:trPr>
          <w:trHeight w:val="261"/>
        </w:trPr>
        <w:tc>
          <w:tcPr>
            <w:tcW w:w="20" w:type="dxa"/>
            <w:vAlign w:val="bottom"/>
            <w:tcBorders>
              <w:bottom w:val="single" w:sz="8" w:color="DCE2EF"/>
            </w:tcBorders>
            <w:shd w:val="clear" w:color="auto" w:fill="DCE2EF"/>
          </w:tcPr>
          <w:p>
            <w:pPr>
              <w:spacing w:after="0"/>
              <w:rPr>
                <w:sz w:val="22"/>
                <w:szCs w:val="22"/>
                <w:color w:val="auto"/>
              </w:rPr>
            </w:pPr>
          </w:p>
        </w:tc>
        <w:tc>
          <w:tcPr>
            <w:tcW w:w="9120" w:type="dxa"/>
            <w:vAlign w:val="bottom"/>
            <w:tcBorders>
              <w:bottom w:val="single" w:sz="8" w:color="DCE2EF"/>
            </w:tcBorders>
            <w:gridSpan w:val="2"/>
            <w:shd w:val="clear" w:color="auto" w:fill="DCE2EF"/>
          </w:tcPr>
          <w:p>
            <w:pPr>
              <w:ind w:left="200"/>
              <w:spacing w:after="0"/>
              <w:rPr>
                <w:sz w:val="20"/>
                <w:szCs w:val="20"/>
                <w:color w:val="auto"/>
              </w:rPr>
            </w:pPr>
            <w:r>
              <w:rPr>
                <w:rFonts w:ascii="Arial" w:cs="Arial" w:eastAsia="Arial" w:hAnsi="Arial"/>
                <w:sz w:val="18"/>
                <w:szCs w:val="18"/>
                <w:color w:val="auto"/>
              </w:rPr>
              <w:t>Balance at end of year</w:t>
            </w:r>
          </w:p>
        </w:tc>
        <w:tc>
          <w:tcPr>
            <w:tcW w:w="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58.5</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840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DCE2EF"/>
              <w:bottom w:val="single" w:sz="8" w:color="auto"/>
            </w:tcBorders>
          </w:tcPr>
          <w:p>
            <w:pPr>
              <w:spacing w:after="0" w:line="20" w:lineRule="exact"/>
              <w:rPr>
                <w:sz w:val="1"/>
                <w:szCs w:val="1"/>
                <w:color w:val="auto"/>
              </w:rPr>
            </w:pPr>
          </w:p>
        </w:tc>
        <w:tc>
          <w:tcPr>
            <w:tcW w:w="1840" w:type="dxa"/>
            <w:vAlign w:val="bottom"/>
            <w:tcBorders>
              <w:top w:val="single" w:sz="8" w:color="DCE2E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Included in other accrued liabilities on the Consolidated Balance Sheets.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0046AD"/>
        </w:rPr>
        <w:t>4.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Acquisition of Able</w:t>
      </w:r>
    </w:p>
    <w:p>
      <w:pPr>
        <w:spacing w:after="0" w:line="180"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On September 30, 2021, we completed the Able Acquisition for a net cash purchase price of $741.7 million. Pursuant to the terms of the purchase agreement, approximately $12.1 million of the cash consideration was placed into escrow accounts, of which approximately $8.2 million was placed into escrow to satisfy any applicable indemnification claims for a period of 12 months. To fund the cash purchase price, we used cash on hand and borrowed $325.0 million on September 30, 2021, at an average interest rate of 1.58% from our revolving line of credit.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Preliminary Acquisition Accounting</w:t>
      </w:r>
    </w:p>
    <w:p>
      <w:pPr>
        <w:spacing w:after="0" w:line="180"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The assets acquired and liabilities assumed were recognized at their acquisition date fair values. The acquisition accounting is subject to change as the Company obtains additional information during the measurement period about the facts and circumstances that existed as of the acquisition date. The final acquisition accounting may include changes to customer relationships, goodwill, deferred taxes, legal matters, insurance claims reserves, and other liabilities. Goodwill arising from the Able Acquisition is not deductible for tax reporting purposes.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preliminary acquisition accounting based on currently available information: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9"/>
        </w:trPr>
        <w:tc>
          <w:tcPr>
            <w:tcW w:w="20" w:type="dxa"/>
            <w:vAlign w:val="bottom"/>
            <w:shd w:val="clear" w:color="auto" w:fill="DCE2EF"/>
          </w:tcPr>
          <w:p>
            <w:pPr>
              <w:spacing w:after="0"/>
              <w:rPr>
                <w:sz w:val="19"/>
                <w:szCs w:val="19"/>
                <w:color w:val="auto"/>
              </w:rPr>
            </w:pPr>
          </w:p>
        </w:tc>
        <w:tc>
          <w:tcPr>
            <w:tcW w:w="924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31.5</w:t>
            </w:r>
          </w:p>
        </w:tc>
      </w:tr>
      <w:tr>
        <w:trPr>
          <w:trHeight w:val="229"/>
        </w:trPr>
        <w:tc>
          <w:tcPr>
            <w:tcW w:w="20" w:type="dxa"/>
            <w:vAlign w:val="bottom"/>
          </w:tcPr>
          <w:p>
            <w:pPr>
              <w:spacing w:after="0"/>
              <w:rPr>
                <w:sz w:val="19"/>
                <w:szCs w:val="19"/>
                <w:color w:val="auto"/>
              </w:rPr>
            </w:pPr>
          </w:p>
        </w:tc>
        <w:tc>
          <w:tcPr>
            <w:tcW w:w="9240" w:type="dxa"/>
            <w:vAlign w:val="bottom"/>
            <w:gridSpan w:val="2"/>
          </w:tcPr>
          <w:p>
            <w:pPr>
              <w:spacing w:after="0" w:line="230" w:lineRule="exact"/>
              <w:rPr>
                <w:sz w:val="20"/>
                <w:szCs w:val="20"/>
                <w:color w:val="auto"/>
              </w:rPr>
            </w:pPr>
            <w:r>
              <w:rPr>
                <w:rFonts w:ascii="Arial" w:cs="Arial" w:eastAsia="Arial" w:hAnsi="Arial"/>
                <w:sz w:val="18"/>
                <w:szCs w:val="18"/>
                <w:color w:val="auto"/>
              </w:rPr>
              <w:t>Trade accounts receivable</w:t>
            </w:r>
            <w:r>
              <w:rPr>
                <w:rFonts w:ascii="Arial" w:cs="Arial" w:eastAsia="Arial" w:hAnsi="Arial"/>
                <w:sz w:val="23"/>
                <w:szCs w:val="23"/>
                <w:color w:val="auto"/>
                <w:vertAlign w:val="superscript"/>
              </w:rPr>
              <w:t>(1)</w:t>
            </w: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159.3</w:t>
            </w:r>
          </w:p>
        </w:tc>
      </w:tr>
      <w:tr>
        <w:trPr>
          <w:trHeight w:val="230"/>
        </w:trPr>
        <w:tc>
          <w:tcPr>
            <w:tcW w:w="20" w:type="dxa"/>
            <w:vAlign w:val="bottom"/>
            <w:shd w:val="clear" w:color="auto" w:fill="DCE2EF"/>
          </w:tcPr>
          <w:p>
            <w:pPr>
              <w:spacing w:after="0"/>
              <w:rPr>
                <w:sz w:val="19"/>
                <w:szCs w:val="19"/>
                <w:color w:val="auto"/>
              </w:rPr>
            </w:pPr>
          </w:p>
        </w:tc>
        <w:tc>
          <w:tcPr>
            <w:tcW w:w="924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Other assets</w:t>
            </w:r>
          </w:p>
        </w:tc>
        <w:tc>
          <w:tcPr>
            <w:tcW w:w="76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24.9</w:t>
            </w:r>
          </w:p>
        </w:tc>
      </w:tr>
      <w:tr>
        <w:trPr>
          <w:trHeight w:val="229"/>
        </w:trPr>
        <w:tc>
          <w:tcPr>
            <w:tcW w:w="20" w:type="dxa"/>
            <w:vAlign w:val="bottom"/>
          </w:tcPr>
          <w:p>
            <w:pPr>
              <w:spacing w:after="0"/>
              <w:rPr>
                <w:sz w:val="19"/>
                <w:szCs w:val="19"/>
                <w:color w:val="auto"/>
              </w:rPr>
            </w:pPr>
          </w:p>
        </w:tc>
        <w:tc>
          <w:tcPr>
            <w:tcW w:w="9240" w:type="dxa"/>
            <w:vAlign w:val="bottom"/>
            <w:gridSpan w:val="2"/>
          </w:tcPr>
          <w:p>
            <w:pPr>
              <w:spacing w:after="0" w:line="230" w:lineRule="exact"/>
              <w:rPr>
                <w:sz w:val="20"/>
                <w:szCs w:val="20"/>
                <w:color w:val="auto"/>
              </w:rPr>
            </w:pPr>
            <w:r>
              <w:rPr>
                <w:rFonts w:ascii="Arial" w:cs="Arial" w:eastAsia="Arial" w:hAnsi="Arial"/>
                <w:sz w:val="18"/>
                <w:szCs w:val="18"/>
                <w:color w:val="auto"/>
              </w:rPr>
              <w:t>Customer relationships</w:t>
            </w:r>
            <w:r>
              <w:rPr>
                <w:rFonts w:ascii="Arial" w:cs="Arial" w:eastAsia="Arial" w:hAnsi="Arial"/>
                <w:sz w:val="23"/>
                <w:szCs w:val="23"/>
                <w:color w:val="auto"/>
                <w:vertAlign w:val="superscript"/>
              </w:rPr>
              <w:t>(2)</w:t>
            </w: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220.0</w:t>
            </w:r>
          </w:p>
        </w:tc>
      </w:tr>
      <w:tr>
        <w:trPr>
          <w:trHeight w:val="229"/>
        </w:trPr>
        <w:tc>
          <w:tcPr>
            <w:tcW w:w="20" w:type="dxa"/>
            <w:vAlign w:val="bottom"/>
            <w:shd w:val="clear" w:color="auto" w:fill="DCE2EF"/>
          </w:tcPr>
          <w:p>
            <w:pPr>
              <w:spacing w:after="0"/>
              <w:rPr>
                <w:sz w:val="19"/>
                <w:szCs w:val="19"/>
                <w:color w:val="auto"/>
              </w:rPr>
            </w:pPr>
          </w:p>
        </w:tc>
        <w:tc>
          <w:tcPr>
            <w:tcW w:w="9240" w:type="dxa"/>
            <w:vAlign w:val="bottom"/>
            <w:gridSpan w:val="2"/>
            <w:shd w:val="clear" w:color="auto" w:fill="DCE2EF"/>
          </w:tcPr>
          <w:p>
            <w:pPr>
              <w:spacing w:after="0" w:line="230" w:lineRule="exact"/>
              <w:rPr>
                <w:sz w:val="20"/>
                <w:szCs w:val="20"/>
                <w:color w:val="auto"/>
              </w:rPr>
            </w:pPr>
            <w:r>
              <w:rPr>
                <w:rFonts w:ascii="Arial" w:cs="Arial" w:eastAsia="Arial" w:hAnsi="Arial"/>
                <w:sz w:val="18"/>
                <w:szCs w:val="18"/>
                <w:color w:val="auto"/>
              </w:rPr>
              <w:t>Trade names</w:t>
            </w:r>
            <w:r>
              <w:rPr>
                <w:rFonts w:ascii="Arial" w:cs="Arial" w:eastAsia="Arial" w:hAnsi="Arial"/>
                <w:sz w:val="23"/>
                <w:szCs w:val="23"/>
                <w:color w:val="auto"/>
                <w:vertAlign w:val="superscript"/>
              </w:rPr>
              <w:t>(2)</w:t>
            </w:r>
          </w:p>
        </w:tc>
        <w:tc>
          <w:tcPr>
            <w:tcW w:w="76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19"/>
                <w:szCs w:val="19"/>
                <w:color w:val="auto"/>
              </w:rPr>
            </w:pPr>
          </w:p>
        </w:tc>
        <w:tc>
          <w:tcPr>
            <w:tcW w:w="9240" w:type="dxa"/>
            <w:vAlign w:val="bottom"/>
            <w:gridSpan w:val="2"/>
          </w:tcPr>
          <w:p>
            <w:pPr>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(3)</w:t>
            </w: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554.0</w:t>
            </w:r>
          </w:p>
        </w:tc>
      </w:tr>
      <w:tr>
        <w:trPr>
          <w:trHeight w:val="229"/>
        </w:trPr>
        <w:tc>
          <w:tcPr>
            <w:tcW w:w="20" w:type="dxa"/>
            <w:vAlign w:val="bottom"/>
            <w:shd w:val="clear" w:color="auto" w:fill="DCE2EF"/>
          </w:tcPr>
          <w:p>
            <w:pPr>
              <w:spacing w:after="0"/>
              <w:rPr>
                <w:sz w:val="19"/>
                <w:szCs w:val="19"/>
                <w:color w:val="auto"/>
              </w:rPr>
            </w:pPr>
          </w:p>
        </w:tc>
        <w:tc>
          <w:tcPr>
            <w:tcW w:w="924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Trade accounts payable</w:t>
            </w:r>
          </w:p>
        </w:tc>
        <w:tc>
          <w:tcPr>
            <w:tcW w:w="76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20" w:type="dxa"/>
            <w:vAlign w:val="bottom"/>
          </w:tcPr>
          <w:p>
            <w:pPr>
              <w:spacing w:after="0"/>
              <w:rPr>
                <w:sz w:val="19"/>
                <w:szCs w:val="19"/>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Accrued compensation</w:t>
            </w: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30"/>
        </w:trPr>
        <w:tc>
          <w:tcPr>
            <w:tcW w:w="20" w:type="dxa"/>
            <w:vAlign w:val="bottom"/>
            <w:shd w:val="clear" w:color="auto" w:fill="DCE2EF"/>
          </w:tcPr>
          <w:p>
            <w:pPr>
              <w:spacing w:after="0"/>
              <w:rPr>
                <w:sz w:val="19"/>
                <w:szCs w:val="19"/>
                <w:color w:val="auto"/>
              </w:rPr>
            </w:pPr>
          </w:p>
        </w:tc>
        <w:tc>
          <w:tcPr>
            <w:tcW w:w="924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Insurance claims</w:t>
            </w:r>
          </w:p>
        </w:tc>
        <w:tc>
          <w:tcPr>
            <w:tcW w:w="76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(91.6)</w:t>
            </w:r>
          </w:p>
        </w:tc>
      </w:tr>
      <w:tr>
        <w:trPr>
          <w:trHeight w:val="230"/>
        </w:trPr>
        <w:tc>
          <w:tcPr>
            <w:tcW w:w="20" w:type="dxa"/>
            <w:vAlign w:val="bottom"/>
          </w:tcPr>
          <w:p>
            <w:pPr>
              <w:spacing w:after="0"/>
              <w:rPr>
                <w:sz w:val="19"/>
                <w:szCs w:val="19"/>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29"/>
        </w:trPr>
        <w:tc>
          <w:tcPr>
            <w:tcW w:w="20" w:type="dxa"/>
            <w:vAlign w:val="bottom"/>
            <w:shd w:val="clear" w:color="auto" w:fill="DCE2EF"/>
          </w:tcPr>
          <w:p>
            <w:pPr>
              <w:spacing w:after="0"/>
              <w:rPr>
                <w:sz w:val="19"/>
                <w:szCs w:val="19"/>
                <w:color w:val="auto"/>
              </w:rPr>
            </w:pPr>
          </w:p>
        </w:tc>
        <w:tc>
          <w:tcPr>
            <w:tcW w:w="924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Deferred income tax liability, net</w:t>
            </w:r>
          </w:p>
        </w:tc>
        <w:tc>
          <w:tcPr>
            <w:tcW w:w="76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(59.5)</w:t>
            </w:r>
          </w:p>
        </w:tc>
      </w:tr>
      <w:tr>
        <w:trPr>
          <w:trHeight w:val="223"/>
        </w:trPr>
        <w:tc>
          <w:tcPr>
            <w:tcW w:w="20" w:type="dxa"/>
            <w:vAlign w:val="bottom"/>
          </w:tcPr>
          <w:p>
            <w:pPr>
              <w:spacing w:after="0"/>
              <w:rPr>
                <w:sz w:val="19"/>
                <w:szCs w:val="19"/>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741.7</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The gross amount of trade accounts receivable was $160.6 million, of which $1.4 million was deemed uncollectible at October 31, 2021.</w:t>
      </w:r>
    </w:p>
    <w:p>
      <w:pPr>
        <w:spacing w:after="0" w:line="144" w:lineRule="exact"/>
        <w:rPr>
          <w:rFonts w:ascii="Arial" w:cs="Arial" w:eastAsia="Arial" w:hAnsi="Arial"/>
          <w:sz w:val="21"/>
          <w:szCs w:val="21"/>
          <w:color w:val="auto"/>
          <w:vertAlign w:val="superscript"/>
        </w:rPr>
      </w:pPr>
    </w:p>
    <w:p>
      <w:pPr>
        <w:ind w:left="160" w:hanging="152"/>
        <w:spacing w:after="0"/>
        <w:tabs>
          <w:tab w:leader="none" w:pos="1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The amortization periods for the acquired intangible assets are 15 years for customer relationships and 2 years for trade names.</w:t>
      </w:r>
    </w:p>
    <w:p>
      <w:pPr>
        <w:spacing w:after="0" w:line="156" w:lineRule="exact"/>
        <w:rPr>
          <w:rFonts w:ascii="Arial" w:cs="Arial" w:eastAsia="Arial" w:hAnsi="Arial"/>
          <w:sz w:val="18"/>
          <w:szCs w:val="18"/>
          <w:color w:val="auto"/>
          <w:vertAlign w:val="superscript"/>
        </w:rPr>
      </w:pPr>
    </w:p>
    <w:p>
      <w:pPr>
        <w:ind w:left="180" w:hanging="172"/>
        <w:spacing w:after="0" w:line="228" w:lineRule="auto"/>
        <w:tabs>
          <w:tab w:leader="none" w:pos="176" w:val="left"/>
        </w:tabs>
        <w:numPr>
          <w:ilvl w:val="0"/>
          <w:numId w:val="25"/>
        </w:numPr>
        <w:rPr>
          <w:rFonts w:ascii="Arial" w:cs="Arial" w:eastAsia="Arial" w:hAnsi="Arial"/>
          <w:sz w:val="20"/>
          <w:szCs w:val="20"/>
          <w:color w:val="auto"/>
          <w:vertAlign w:val="superscript"/>
        </w:rPr>
      </w:pPr>
      <w:r>
        <w:rPr>
          <w:rFonts w:ascii="Arial" w:cs="Arial" w:eastAsia="Arial" w:hAnsi="Arial"/>
          <w:sz w:val="15"/>
          <w:szCs w:val="15"/>
          <w:color w:val="auto"/>
        </w:rPr>
        <w:t>Goodwill is largely attributable to value we expect to obtain from long-term business growth, the established workforce, and buyer-specific synergies. This goodwill is not deductible for income tax purposes.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Information</w:t>
      </w:r>
    </w:p>
    <w:p>
      <w:pPr>
        <w:spacing w:after="0" w:line="180"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The Consolidated Statements of Comprehensive Income (Loss) for the fiscal year ended October 31, 2021, includes $101.1 million of revenue and $4.4 million of net income attributable to the operations of Able since the acquisition date. The operations of Able are included in our B&amp;I segment.</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following table presents our unaudited pro forma results for 2021 and 2020 as though the Able Acquisition occurred on November 1, 2019. These results include adjustments for the estimated amortization of intangible assets, interest expense, and the income tax impact of the pro forma adjustments at the statutory rate of 28%. These unaudited pro forma results do not reflect the cost of integration activities or benefits from expected revenue enhancements and synergies.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71" w:name="page72"/>
    <w:bookmarkEnd w:id="71"/>
    <w:p>
      <w:pPr>
        <w:ind w:left="8240"/>
        <w:spacing w:after="0"/>
        <w:rPr>
          <w:sz w:val="20"/>
          <w:szCs w:val="20"/>
          <w:color w:val="auto"/>
        </w:rPr>
      </w:pPr>
      <w:r>
        <w:rPr>
          <w:rFonts w:ascii="Arial" w:cs="Arial" w:eastAsia="Arial" w:hAnsi="Arial"/>
          <w:sz w:val="18"/>
          <w:szCs w:val="18"/>
          <w:b w:val="1"/>
          <w:bCs w:val="1"/>
          <w:color w:val="auto"/>
        </w:rPr>
        <w:t>Years Ended October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3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4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650"/>
              <w:spacing w:after="0" w:line="182" w:lineRule="exact"/>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690"/>
              <w:spacing w:after="0" w:line="182" w:lineRule="exact"/>
              <w:rPr>
                <w:sz w:val="20"/>
                <w:szCs w:val="20"/>
                <w:color w:val="auto"/>
              </w:rPr>
            </w:pPr>
            <w:r>
              <w:rPr>
                <w:rFonts w:ascii="Arial" w:cs="Arial" w:eastAsia="Arial" w:hAnsi="Arial"/>
                <w:sz w:val="18"/>
                <w:szCs w:val="18"/>
                <w:b w:val="1"/>
                <w:bCs w:val="1"/>
                <w:color w:val="auto"/>
              </w:rPr>
              <w:t>2020</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662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734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Pro forma revenue</w:t>
            </w: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7,223.2</w:t>
            </w:r>
          </w:p>
        </w:tc>
        <w:tc>
          <w:tcPr>
            <w:tcW w:w="48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7,078.2</w:t>
            </w:r>
          </w:p>
        </w:tc>
      </w:tr>
      <w:tr>
        <w:trPr>
          <w:trHeight w:val="301"/>
        </w:trPr>
        <w:tc>
          <w:tcPr>
            <w:tcW w:w="20" w:type="dxa"/>
            <w:vAlign w:val="bottom"/>
          </w:tcPr>
          <w:p>
            <w:pPr>
              <w:spacing w:after="0"/>
              <w:rPr>
                <w:sz w:val="24"/>
                <w:szCs w:val="24"/>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Pro forma income (loss) from continuing operations</w:t>
            </w:r>
            <w:r>
              <w:rPr>
                <w:rFonts w:ascii="Arial" w:cs="Arial" w:eastAsia="Arial" w:hAnsi="Arial"/>
                <w:sz w:val="23"/>
                <w:szCs w:val="23"/>
                <w:color w:val="auto"/>
                <w:vertAlign w:val="superscript"/>
              </w:rPr>
              <w:t>(1)</w:t>
            </w: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139.1</w:t>
            </w:r>
          </w:p>
        </w:tc>
        <w:tc>
          <w:tcPr>
            <w:tcW w:w="4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66" w:lineRule="exact"/>
        <w:rPr>
          <w:sz w:val="20"/>
          <w:szCs w:val="20"/>
          <w:color w:val="auto"/>
        </w:rPr>
      </w:pPr>
    </w:p>
    <w:p>
      <w:pPr>
        <w:jc w:val="both"/>
        <w:ind w:left="180" w:hanging="161"/>
        <w:spacing w:after="0" w:line="219" w:lineRule="auto"/>
        <w:rPr>
          <w:sz w:val="20"/>
          <w:szCs w:val="20"/>
          <w:color w:val="auto"/>
        </w:rPr>
      </w:pPr>
      <w:r>
        <w:rPr>
          <w:rFonts w:ascii="Arial" w:cs="Arial" w:eastAsia="Arial" w:hAnsi="Arial"/>
          <w:sz w:val="23"/>
          <w:szCs w:val="23"/>
          <w:color w:val="auto"/>
          <w:vertAlign w:val="superscript"/>
        </w:rPr>
        <w: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These results were adjusted to exclude $17.3 million of acquisition-related costs incurred during 2021, which are included in selling, general and administrative expenses in the accompanying Consolidated Statements of Comprehensive Income (Loss).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5.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assets and liabilities and their classification on our Consolidated Balance Sheets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740" w:type="dxa"/>
            <w:vAlign w:val="bottom"/>
            <w:gridSpan w:val="2"/>
          </w:tcPr>
          <w:p>
            <w:pPr>
              <w:ind w:left="1220"/>
              <w:spacing w:after="0"/>
              <w:rPr>
                <w:sz w:val="20"/>
                <w:szCs w:val="20"/>
                <w:color w:val="auto"/>
              </w:rPr>
            </w:pPr>
            <w:r>
              <w:rPr>
                <w:rFonts w:ascii="Arial" w:cs="Arial" w:eastAsia="Arial" w:hAnsi="Arial"/>
                <w:sz w:val="18"/>
                <w:szCs w:val="18"/>
                <w:b w:val="1"/>
                <w:bCs w:val="1"/>
                <w:color w:val="auto"/>
              </w:rPr>
              <w:t>Classification</w:t>
            </w:r>
          </w:p>
        </w:tc>
        <w:tc>
          <w:tcPr>
            <w:tcW w:w="260" w:type="dxa"/>
            <w:vAlign w:val="bottom"/>
          </w:tcPr>
          <w:p>
            <w:pPr>
              <w:spacing w:after="0"/>
              <w:rPr>
                <w:sz w:val="17"/>
                <w:szCs w:val="17"/>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October 31, 2021</w:t>
            </w:r>
          </w:p>
        </w:tc>
        <w:tc>
          <w:tcPr>
            <w:tcW w:w="260" w:type="dxa"/>
            <w:vAlign w:val="bottom"/>
          </w:tcPr>
          <w:p>
            <w:pPr>
              <w:spacing w:after="0"/>
              <w:rPr>
                <w:sz w:val="17"/>
                <w:szCs w:val="17"/>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b w:val="1"/>
                <w:bCs w:val="1"/>
                <w:color w:val="auto"/>
              </w:rPr>
              <w:t>October 31, 2020</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2120" w:type="dxa"/>
            <w:vAlign w:val="bottom"/>
            <w:tcBorders>
              <w:bottom w:val="single" w:sz="8" w:color="DCE2EF"/>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284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Lease assets</w:t>
            </w:r>
          </w:p>
        </w:tc>
        <w:tc>
          <w:tcPr>
            <w:tcW w:w="36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20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2000" w:type="dxa"/>
            <w:vAlign w:val="bottom"/>
            <w:shd w:val="clear" w:color="auto" w:fill="DCE2E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3740" w:type="dxa"/>
            <w:vAlign w:val="bottom"/>
            <w:gridSpan w:val="2"/>
          </w:tcPr>
          <w:p>
            <w:pPr>
              <w:ind w:left="20"/>
              <w:spacing w:after="0"/>
              <w:rPr>
                <w:sz w:val="20"/>
                <w:szCs w:val="20"/>
                <w:color w:val="auto"/>
              </w:rPr>
            </w:pPr>
            <w:r>
              <w:rPr>
                <w:rFonts w:ascii="Arial" w:cs="Arial" w:eastAsia="Arial" w:hAnsi="Arial"/>
                <w:sz w:val="18"/>
                <w:szCs w:val="18"/>
                <w:color w:val="auto"/>
              </w:rPr>
              <w:t>Right-of-use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143.1</w:t>
            </w:r>
          </w:p>
        </w:tc>
      </w:tr>
      <w:tr>
        <w:trPr>
          <w:trHeight w:val="229"/>
        </w:trPr>
        <w:tc>
          <w:tcPr>
            <w:tcW w:w="20" w:type="dxa"/>
            <w:vAlign w:val="bottom"/>
            <w:shd w:val="clear" w:color="auto" w:fill="DCE2EF"/>
          </w:tcPr>
          <w:p>
            <w:pPr>
              <w:spacing w:after="0"/>
              <w:rPr>
                <w:sz w:val="19"/>
                <w:szCs w:val="19"/>
                <w:color w:val="auto"/>
              </w:rPr>
            </w:pPr>
          </w:p>
        </w:tc>
        <w:tc>
          <w:tcPr>
            <w:tcW w:w="284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Finance leases</w:t>
            </w:r>
          </w:p>
        </w:tc>
        <w:tc>
          <w:tcPr>
            <w:tcW w:w="3740" w:type="dxa"/>
            <w:vAlign w:val="bottom"/>
            <w:gridSpan w:val="2"/>
            <w:shd w:val="clear" w:color="auto" w:fill="DCE2EF"/>
          </w:tcPr>
          <w:p>
            <w:pPr>
              <w:ind w:left="20"/>
              <w:spacing w:after="0" w:line="230" w:lineRule="exact"/>
              <w:rPr>
                <w:sz w:val="20"/>
                <w:szCs w:val="20"/>
                <w:color w:val="auto"/>
              </w:rPr>
            </w:pPr>
            <w:r>
              <w:rPr>
                <w:rFonts w:ascii="Arial" w:cs="Arial" w:eastAsia="Arial" w:hAnsi="Arial"/>
                <w:sz w:val="18"/>
                <w:szCs w:val="18"/>
                <w:color w:val="auto"/>
              </w:rPr>
              <w:t>Property, plant and equipment, net</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DCE2EF"/>
          </w:tcPr>
          <w:p>
            <w:pPr>
              <w:spacing w:after="0"/>
              <w:rPr>
                <w:sz w:val="19"/>
                <w:szCs w:val="19"/>
                <w:color w:val="auto"/>
              </w:rPr>
            </w:pPr>
          </w:p>
        </w:tc>
        <w:tc>
          <w:tcPr>
            <w:tcW w:w="2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DCE2EF"/>
          </w:tcPr>
          <w:p>
            <w:pPr>
              <w:spacing w:after="0"/>
              <w:rPr>
                <w:sz w:val="19"/>
                <w:szCs w:val="19"/>
                <w:color w:val="auto"/>
              </w:rPr>
            </w:pPr>
          </w:p>
        </w:tc>
        <w:tc>
          <w:tcPr>
            <w:tcW w:w="260" w:type="dxa"/>
            <w:vAlign w:val="bottom"/>
            <w:tcBorders>
              <w:bottom w:val="single" w:sz="8" w:color="auto"/>
            </w:tcBorders>
            <w:shd w:val="clear" w:color="auto" w:fill="DCE2EF"/>
          </w:tcPr>
          <w:p>
            <w:pPr>
              <w:spacing w:after="0"/>
              <w:rPr>
                <w:sz w:val="19"/>
                <w:szCs w:val="19"/>
                <w:color w:val="auto"/>
              </w:rPr>
            </w:pPr>
          </w:p>
        </w:tc>
        <w:tc>
          <w:tcPr>
            <w:tcW w:w="2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20" w:type="dxa"/>
            <w:vAlign w:val="bottom"/>
            <w:tcBorders>
              <w:bottom w:val="single" w:sz="8" w:color="DCE2EF"/>
            </w:tcBorders>
          </w:tcPr>
          <w:p>
            <w:pPr>
              <w:spacing w:after="0"/>
              <w:rPr>
                <w:sz w:val="19"/>
                <w:szCs w:val="19"/>
                <w:color w:val="auto"/>
              </w:rPr>
            </w:pPr>
          </w:p>
        </w:tc>
        <w:tc>
          <w:tcPr>
            <w:tcW w:w="2840" w:type="dxa"/>
            <w:vAlign w:val="bottom"/>
            <w:tcBorders>
              <w:bottom w:val="single" w:sz="8" w:color="DCE2EF"/>
            </w:tcBorders>
            <w:gridSpan w:val="2"/>
          </w:tcPr>
          <w:p>
            <w:pPr>
              <w:ind w:left="440"/>
              <w:spacing w:after="0"/>
              <w:rPr>
                <w:sz w:val="20"/>
                <w:szCs w:val="20"/>
                <w:color w:val="auto"/>
              </w:rPr>
            </w:pPr>
            <w:r>
              <w:rPr>
                <w:rFonts w:ascii="Arial" w:cs="Arial" w:eastAsia="Arial" w:hAnsi="Arial"/>
                <w:sz w:val="18"/>
                <w:szCs w:val="18"/>
                <w:b w:val="1"/>
                <w:bCs w:val="1"/>
                <w:color w:val="auto"/>
              </w:rPr>
              <w:t>Total lease assets</w:t>
            </w:r>
          </w:p>
        </w:tc>
        <w:tc>
          <w:tcPr>
            <w:tcW w:w="3620" w:type="dxa"/>
            <w:vAlign w:val="bottom"/>
            <w:tcBorders>
              <w:bottom w:val="single" w:sz="8" w:color="DCE2EF"/>
            </w:tcBorders>
          </w:tcPr>
          <w:p>
            <w:pPr>
              <w:spacing w:after="0"/>
              <w:rPr>
                <w:sz w:val="19"/>
                <w:szCs w:val="19"/>
                <w:color w:val="auto"/>
              </w:rPr>
            </w:pPr>
          </w:p>
        </w:tc>
        <w:tc>
          <w:tcPr>
            <w:tcW w:w="120" w:type="dxa"/>
            <w:vAlign w:val="bottom"/>
            <w:tcBorders>
              <w:bottom w:val="single" w:sz="8" w:color="DCE2E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120" w:type="dxa"/>
            <w:vAlign w:val="bottom"/>
            <w:tcBorders>
              <w:bottom w:val="single" w:sz="8" w:color="DCE2E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r>
      <w:tr>
        <w:trPr>
          <w:trHeight w:val="250"/>
        </w:trPr>
        <w:tc>
          <w:tcPr>
            <w:tcW w:w="20" w:type="dxa"/>
            <w:vAlign w:val="bottom"/>
            <w:shd w:val="clear" w:color="auto" w:fill="DCE2EF"/>
          </w:tcPr>
          <w:p>
            <w:pPr>
              <w:spacing w:after="0"/>
              <w:rPr>
                <w:sz w:val="21"/>
                <w:szCs w:val="21"/>
                <w:color w:val="auto"/>
              </w:rPr>
            </w:pPr>
          </w:p>
        </w:tc>
        <w:tc>
          <w:tcPr>
            <w:tcW w:w="720" w:type="dxa"/>
            <w:vAlign w:val="bottom"/>
            <w:shd w:val="clear" w:color="auto" w:fill="DCE2EF"/>
          </w:tcPr>
          <w:p>
            <w:pPr>
              <w:spacing w:after="0"/>
              <w:rPr>
                <w:sz w:val="21"/>
                <w:szCs w:val="21"/>
                <w:color w:val="auto"/>
              </w:rPr>
            </w:pPr>
          </w:p>
        </w:tc>
        <w:tc>
          <w:tcPr>
            <w:tcW w:w="2120" w:type="dxa"/>
            <w:vAlign w:val="bottom"/>
            <w:shd w:val="clear" w:color="auto" w:fill="DCE2EF"/>
          </w:tcPr>
          <w:p>
            <w:pPr>
              <w:spacing w:after="0"/>
              <w:rPr>
                <w:sz w:val="21"/>
                <w:szCs w:val="21"/>
                <w:color w:val="auto"/>
              </w:rPr>
            </w:pPr>
          </w:p>
        </w:tc>
        <w:tc>
          <w:tcPr>
            <w:tcW w:w="3620" w:type="dxa"/>
            <w:vAlign w:val="bottom"/>
            <w:shd w:val="clear" w:color="auto" w:fill="DCE2EF"/>
          </w:tcPr>
          <w:p>
            <w:pPr>
              <w:spacing w:after="0"/>
              <w:rPr>
                <w:sz w:val="21"/>
                <w:szCs w:val="21"/>
                <w:color w:val="auto"/>
              </w:rPr>
            </w:pPr>
          </w:p>
        </w:tc>
        <w:tc>
          <w:tcPr>
            <w:tcW w:w="120" w:type="dxa"/>
            <w:vAlign w:val="bottom"/>
            <w:shd w:val="clear" w:color="auto" w:fill="DCE2EF"/>
          </w:tcPr>
          <w:p>
            <w:pPr>
              <w:spacing w:after="0"/>
              <w:rPr>
                <w:sz w:val="21"/>
                <w:szCs w:val="21"/>
                <w:color w:val="auto"/>
              </w:rPr>
            </w:pPr>
          </w:p>
        </w:tc>
        <w:tc>
          <w:tcPr>
            <w:tcW w:w="260" w:type="dxa"/>
            <w:vAlign w:val="bottom"/>
            <w:shd w:val="clear" w:color="auto" w:fill="DCE2EF"/>
          </w:tcPr>
          <w:p>
            <w:pPr>
              <w:spacing w:after="0"/>
              <w:rPr>
                <w:sz w:val="21"/>
                <w:szCs w:val="21"/>
                <w:color w:val="auto"/>
              </w:rPr>
            </w:pPr>
          </w:p>
        </w:tc>
        <w:tc>
          <w:tcPr>
            <w:tcW w:w="2000" w:type="dxa"/>
            <w:vAlign w:val="bottom"/>
            <w:shd w:val="clear" w:color="auto" w:fill="DCE2EF"/>
          </w:tcPr>
          <w:p>
            <w:pPr>
              <w:spacing w:after="0"/>
              <w:rPr>
                <w:sz w:val="21"/>
                <w:szCs w:val="21"/>
                <w:color w:val="auto"/>
              </w:rPr>
            </w:pPr>
          </w:p>
        </w:tc>
        <w:tc>
          <w:tcPr>
            <w:tcW w:w="120" w:type="dxa"/>
            <w:vAlign w:val="bottom"/>
            <w:shd w:val="clear" w:color="auto" w:fill="DCE2EF"/>
          </w:tcPr>
          <w:p>
            <w:pPr>
              <w:spacing w:after="0"/>
              <w:rPr>
                <w:sz w:val="21"/>
                <w:szCs w:val="21"/>
                <w:color w:val="auto"/>
              </w:rPr>
            </w:pPr>
          </w:p>
        </w:tc>
        <w:tc>
          <w:tcPr>
            <w:tcW w:w="260" w:type="dxa"/>
            <w:vAlign w:val="bottom"/>
            <w:shd w:val="clear" w:color="auto" w:fill="DCE2EF"/>
          </w:tcPr>
          <w:p>
            <w:pPr>
              <w:spacing w:after="0"/>
              <w:rPr>
                <w:sz w:val="21"/>
                <w:szCs w:val="21"/>
                <w:color w:val="auto"/>
              </w:rPr>
            </w:pPr>
          </w:p>
        </w:tc>
        <w:tc>
          <w:tcPr>
            <w:tcW w:w="2000" w:type="dxa"/>
            <w:vAlign w:val="bottom"/>
            <w:shd w:val="clear" w:color="auto" w:fill="DCE2E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Lease liabilities</w:t>
            </w: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20" w:type="dxa"/>
            <w:vAlign w:val="bottom"/>
            <w:shd w:val="clear" w:color="auto" w:fill="DCE2EF"/>
          </w:tcPr>
          <w:p>
            <w:pPr>
              <w:spacing w:after="0"/>
              <w:rPr>
                <w:sz w:val="19"/>
                <w:szCs w:val="19"/>
                <w:color w:val="auto"/>
              </w:rPr>
            </w:pPr>
          </w:p>
        </w:tc>
        <w:tc>
          <w:tcPr>
            <w:tcW w:w="284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Current liabilities</w:t>
            </w:r>
          </w:p>
        </w:tc>
        <w:tc>
          <w:tcPr>
            <w:tcW w:w="362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20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2000" w:type="dxa"/>
            <w:vAlign w:val="bottom"/>
            <w:shd w:val="clear" w:color="auto" w:fill="DCE2E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840" w:type="dxa"/>
            <w:vAlign w:val="bottom"/>
            <w:gridSpan w:val="2"/>
          </w:tcPr>
          <w:p>
            <w:pPr>
              <w:ind w:left="220"/>
              <w:spacing w:after="0"/>
              <w:rPr>
                <w:sz w:val="20"/>
                <w:szCs w:val="20"/>
                <w:color w:val="auto"/>
              </w:rPr>
            </w:pPr>
            <w:r>
              <w:rPr>
                <w:rFonts w:ascii="Arial" w:cs="Arial" w:eastAsia="Arial" w:hAnsi="Arial"/>
                <w:sz w:val="18"/>
                <w:szCs w:val="18"/>
                <w:color w:val="auto"/>
              </w:rPr>
              <w:t>Operating leases</w:t>
            </w:r>
          </w:p>
        </w:tc>
        <w:tc>
          <w:tcPr>
            <w:tcW w:w="3740" w:type="dxa"/>
            <w:vAlign w:val="bottom"/>
            <w:gridSpan w:val="2"/>
          </w:tcPr>
          <w:p>
            <w:pPr>
              <w:ind w:left="20"/>
              <w:spacing w:after="0"/>
              <w:rPr>
                <w:sz w:val="20"/>
                <w:szCs w:val="20"/>
                <w:color w:val="auto"/>
              </w:rPr>
            </w:pPr>
            <w:r>
              <w:rPr>
                <w:rFonts w:ascii="Arial" w:cs="Arial" w:eastAsia="Arial" w:hAnsi="Arial"/>
                <w:sz w:val="18"/>
                <w:szCs w:val="18"/>
                <w:color w:val="auto"/>
              </w:rPr>
              <w:t>Current portion of lease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20" w:type="dxa"/>
            <w:vAlign w:val="bottom"/>
            <w:shd w:val="clear" w:color="auto" w:fill="DCE2EF"/>
          </w:tcPr>
          <w:p>
            <w:pPr>
              <w:spacing w:after="0"/>
              <w:rPr>
                <w:sz w:val="19"/>
                <w:szCs w:val="19"/>
                <w:color w:val="auto"/>
              </w:rPr>
            </w:pPr>
          </w:p>
        </w:tc>
        <w:tc>
          <w:tcPr>
            <w:tcW w:w="2840" w:type="dxa"/>
            <w:vAlign w:val="bottom"/>
            <w:gridSpan w:val="2"/>
            <w:shd w:val="clear" w:color="auto" w:fill="DCE2EF"/>
          </w:tcPr>
          <w:p>
            <w:pPr>
              <w:ind w:left="220"/>
              <w:spacing w:after="0"/>
              <w:rPr>
                <w:sz w:val="20"/>
                <w:szCs w:val="20"/>
                <w:color w:val="auto"/>
              </w:rPr>
            </w:pPr>
            <w:r>
              <w:rPr>
                <w:rFonts w:ascii="Arial" w:cs="Arial" w:eastAsia="Arial" w:hAnsi="Arial"/>
                <w:sz w:val="18"/>
                <w:szCs w:val="18"/>
                <w:color w:val="auto"/>
              </w:rPr>
              <w:t>Finance leases</w:t>
            </w:r>
          </w:p>
        </w:tc>
        <w:tc>
          <w:tcPr>
            <w:tcW w:w="374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Other accrued liabilities</w:t>
            </w:r>
          </w:p>
        </w:tc>
        <w:tc>
          <w:tcPr>
            <w:tcW w:w="260" w:type="dxa"/>
            <w:vAlign w:val="bottom"/>
            <w:shd w:val="clear" w:color="auto" w:fill="DCE2EF"/>
          </w:tcPr>
          <w:p>
            <w:pPr>
              <w:spacing w:after="0"/>
              <w:rPr>
                <w:sz w:val="19"/>
                <w:szCs w:val="19"/>
                <w:color w:val="auto"/>
              </w:rPr>
            </w:pPr>
          </w:p>
        </w:tc>
        <w:tc>
          <w:tcPr>
            <w:tcW w:w="20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20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9"/>
        </w:trPr>
        <w:tc>
          <w:tcPr>
            <w:tcW w:w="20" w:type="dxa"/>
            <w:vAlign w:val="bottom"/>
            <w:shd w:val="clear" w:color="auto" w:fill="DCE2EF"/>
          </w:tcPr>
          <w:p>
            <w:pPr>
              <w:spacing w:after="0"/>
              <w:rPr>
                <w:sz w:val="19"/>
                <w:szCs w:val="19"/>
                <w:color w:val="auto"/>
              </w:rPr>
            </w:pPr>
          </w:p>
        </w:tc>
        <w:tc>
          <w:tcPr>
            <w:tcW w:w="2840" w:type="dxa"/>
            <w:vAlign w:val="bottom"/>
            <w:gridSpan w:val="2"/>
            <w:shd w:val="clear" w:color="auto" w:fill="DCE2EF"/>
          </w:tcPr>
          <w:p>
            <w:pPr>
              <w:ind w:left="220"/>
              <w:spacing w:after="0"/>
              <w:rPr>
                <w:sz w:val="20"/>
                <w:szCs w:val="20"/>
                <w:color w:val="auto"/>
              </w:rPr>
            </w:pPr>
            <w:r>
              <w:rPr>
                <w:rFonts w:ascii="Arial" w:cs="Arial" w:eastAsia="Arial" w:hAnsi="Arial"/>
                <w:sz w:val="18"/>
                <w:szCs w:val="18"/>
                <w:color w:val="auto"/>
              </w:rPr>
              <w:t>Operating leases</w:t>
            </w:r>
          </w:p>
        </w:tc>
        <w:tc>
          <w:tcPr>
            <w:tcW w:w="374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Long-term lease liabilities</w:t>
            </w:r>
          </w:p>
        </w:tc>
        <w:tc>
          <w:tcPr>
            <w:tcW w:w="260" w:type="dxa"/>
            <w:vAlign w:val="bottom"/>
            <w:shd w:val="clear" w:color="auto" w:fill="DCE2EF"/>
          </w:tcPr>
          <w:p>
            <w:pPr>
              <w:spacing w:after="0"/>
              <w:rPr>
                <w:sz w:val="19"/>
                <w:szCs w:val="19"/>
                <w:color w:val="auto"/>
              </w:rPr>
            </w:pPr>
          </w:p>
        </w:tc>
        <w:tc>
          <w:tcPr>
            <w:tcW w:w="20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116.6</w:t>
            </w:r>
          </w:p>
        </w:tc>
        <w:tc>
          <w:tcPr>
            <w:tcW w:w="12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20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131.4</w:t>
            </w:r>
          </w:p>
        </w:tc>
      </w:tr>
      <w:tr>
        <w:trPr>
          <w:trHeight w:val="230"/>
        </w:trPr>
        <w:tc>
          <w:tcPr>
            <w:tcW w:w="20" w:type="dxa"/>
            <w:vAlign w:val="bottom"/>
            <w:tcBorders>
              <w:bottom w:val="single" w:sz="8" w:color="DCE2EF"/>
            </w:tcBorders>
          </w:tcPr>
          <w:p>
            <w:pPr>
              <w:spacing w:after="0"/>
              <w:rPr>
                <w:sz w:val="19"/>
                <w:szCs w:val="19"/>
                <w:color w:val="auto"/>
              </w:rPr>
            </w:pPr>
          </w:p>
        </w:tc>
        <w:tc>
          <w:tcPr>
            <w:tcW w:w="2840" w:type="dxa"/>
            <w:vAlign w:val="bottom"/>
            <w:tcBorders>
              <w:bottom w:val="single" w:sz="8" w:color="DCE2EF"/>
            </w:tcBorders>
            <w:gridSpan w:val="2"/>
          </w:tcPr>
          <w:p>
            <w:pPr>
              <w:ind w:left="220"/>
              <w:spacing w:after="0"/>
              <w:rPr>
                <w:sz w:val="20"/>
                <w:szCs w:val="20"/>
                <w:color w:val="auto"/>
              </w:rPr>
            </w:pPr>
            <w:r>
              <w:rPr>
                <w:rFonts w:ascii="Arial" w:cs="Arial" w:eastAsia="Arial" w:hAnsi="Arial"/>
                <w:sz w:val="18"/>
                <w:szCs w:val="18"/>
                <w:color w:val="auto"/>
              </w:rPr>
              <w:t>Finance leases</w:t>
            </w:r>
          </w:p>
        </w:tc>
        <w:tc>
          <w:tcPr>
            <w:tcW w:w="3740" w:type="dxa"/>
            <w:vAlign w:val="bottom"/>
            <w:tcBorders>
              <w:bottom w:val="single" w:sz="8" w:color="DCE2E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DCE2E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20" w:type="dxa"/>
            <w:vAlign w:val="bottom"/>
            <w:shd w:val="clear" w:color="auto" w:fill="DCE2EF"/>
          </w:tcPr>
          <w:p>
            <w:pPr>
              <w:spacing w:after="0"/>
              <w:rPr>
                <w:sz w:val="19"/>
                <w:szCs w:val="19"/>
                <w:color w:val="auto"/>
              </w:rPr>
            </w:pPr>
          </w:p>
        </w:tc>
        <w:tc>
          <w:tcPr>
            <w:tcW w:w="2840" w:type="dxa"/>
            <w:vAlign w:val="bottom"/>
            <w:gridSpan w:val="2"/>
            <w:shd w:val="clear" w:color="auto" w:fill="DCE2EF"/>
          </w:tcPr>
          <w:p>
            <w:pPr>
              <w:ind w:left="440"/>
              <w:spacing w:after="0"/>
              <w:rPr>
                <w:sz w:val="20"/>
                <w:szCs w:val="20"/>
                <w:color w:val="auto"/>
              </w:rPr>
            </w:pPr>
            <w:r>
              <w:rPr>
                <w:rFonts w:ascii="Arial" w:cs="Arial" w:eastAsia="Arial" w:hAnsi="Arial"/>
                <w:sz w:val="18"/>
                <w:szCs w:val="18"/>
                <w:b w:val="1"/>
                <w:bCs w:val="1"/>
                <w:color w:val="auto"/>
              </w:rPr>
              <w:t>Total lease liabilities</w:t>
            </w:r>
          </w:p>
        </w:tc>
        <w:tc>
          <w:tcPr>
            <w:tcW w:w="362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60" w:type="dxa"/>
            <w:vAlign w:val="bottom"/>
            <w:tcBorders>
              <w:bottom w:val="single" w:sz="8" w:color="auto"/>
            </w:tcBorders>
            <w:shd w:val="clear" w:color="auto" w:fill="DCE2E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150.8</w:t>
            </w:r>
          </w:p>
        </w:tc>
        <w:tc>
          <w:tcPr>
            <w:tcW w:w="120" w:type="dxa"/>
            <w:vAlign w:val="bottom"/>
            <w:shd w:val="clear" w:color="auto" w:fill="DCE2EF"/>
          </w:tcPr>
          <w:p>
            <w:pPr>
              <w:spacing w:after="0"/>
              <w:rPr>
                <w:sz w:val="19"/>
                <w:szCs w:val="19"/>
                <w:color w:val="auto"/>
              </w:rPr>
            </w:pPr>
          </w:p>
        </w:tc>
        <w:tc>
          <w:tcPr>
            <w:tcW w:w="260" w:type="dxa"/>
            <w:vAlign w:val="bottom"/>
            <w:tcBorders>
              <w:bottom w:val="single" w:sz="8" w:color="auto"/>
            </w:tcBorders>
            <w:shd w:val="clear" w:color="auto" w:fill="DCE2E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171.4</w:t>
            </w:r>
          </w:p>
        </w:tc>
      </w:tr>
    </w:tbl>
    <w:p>
      <w:pPr>
        <w:spacing w:after="0" w:line="218" w:lineRule="exact"/>
        <w:rPr>
          <w:sz w:val="20"/>
          <w:szCs w:val="20"/>
          <w:color w:val="auto"/>
        </w:rPr>
      </w:pPr>
    </w:p>
    <w:p>
      <w:pPr>
        <w:ind w:left="180" w:hanging="172"/>
        <w:spacing w:after="0" w:line="216" w:lineRule="auto"/>
        <w:tabs>
          <w:tab w:leader="none" w:pos="211"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Finance lease assets are recorded net of accumulated amortization of $16.3 million and $13.6 million as of October 31, 2021 and October 31, 2020, respectively.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costs and classification within the Consolidated Statements of Comprehensive Income (Loss) were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b w:val="1"/>
                <w:bCs w:val="1"/>
                <w:color w:val="auto"/>
              </w:rPr>
              <w:t>Year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tcPr>
          <w:p>
            <w:pPr>
              <w:jc w:val="right"/>
              <w:ind w:right="570"/>
              <w:spacing w:after="0"/>
              <w:rPr>
                <w:sz w:val="20"/>
                <w:szCs w:val="20"/>
                <w:color w:val="auto"/>
              </w:rPr>
            </w:pPr>
            <w:r>
              <w:rPr>
                <w:rFonts w:ascii="Arial" w:cs="Arial" w:eastAsia="Arial" w:hAnsi="Arial"/>
                <w:sz w:val="18"/>
                <w:szCs w:val="18"/>
                <w:b w:val="1"/>
                <w:bCs w:val="1"/>
                <w:color w:val="auto"/>
              </w:rPr>
              <w:t>Years Ended</w:t>
            </w:r>
          </w:p>
        </w:tc>
      </w:tr>
      <w:tr>
        <w:trPr>
          <w:trHeight w:val="189"/>
        </w:trPr>
        <w:tc>
          <w:tcPr>
            <w:tcW w:w="20" w:type="dxa"/>
            <w:vAlign w:val="bottom"/>
          </w:tcPr>
          <w:p>
            <w:pPr>
              <w:spacing w:after="0"/>
              <w:rPr>
                <w:sz w:val="16"/>
                <w:szCs w:val="16"/>
                <w:color w:val="auto"/>
              </w:rPr>
            </w:pPr>
          </w:p>
        </w:tc>
        <w:tc>
          <w:tcPr>
            <w:tcW w:w="62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9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October 31, 2021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20" w:type="dxa"/>
            <w:vAlign w:val="bottom"/>
          </w:tcPr>
          <w:p>
            <w:pPr>
              <w:jc w:val="right"/>
              <w:ind w:right="390"/>
              <w:spacing w:after="0" w:line="189" w:lineRule="exact"/>
              <w:rPr>
                <w:sz w:val="20"/>
                <w:szCs w:val="20"/>
                <w:color w:val="auto"/>
              </w:rPr>
            </w:pPr>
            <w:r>
              <w:rPr>
                <w:rFonts w:ascii="Arial" w:cs="Arial" w:eastAsia="Arial" w:hAnsi="Arial"/>
                <w:sz w:val="18"/>
                <w:szCs w:val="18"/>
                <w:b w:val="1"/>
                <w:bCs w:val="1"/>
                <w:color w:val="auto"/>
              </w:rPr>
              <w:t>October 31, 2020</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5560" w:type="dxa"/>
            <w:vAlign w:val="bottom"/>
            <w:tcBorders>
              <w:bottom w:val="single" w:sz="8" w:color="DCE2E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62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Operating lease costs:</w:t>
            </w:r>
          </w:p>
        </w:tc>
        <w:tc>
          <w:tcPr>
            <w:tcW w:w="1960" w:type="dxa"/>
            <w:vAlign w:val="bottom"/>
            <w:shd w:val="clear" w:color="auto" w:fill="DCE2EF"/>
          </w:tcPr>
          <w:p>
            <w:pPr>
              <w:spacing w:after="0"/>
              <w:rPr>
                <w:sz w:val="18"/>
                <w:szCs w:val="18"/>
                <w:color w:val="auto"/>
              </w:rPr>
            </w:pPr>
          </w:p>
        </w:tc>
        <w:tc>
          <w:tcPr>
            <w:tcW w:w="4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2120" w:type="dxa"/>
            <w:vAlign w:val="bottom"/>
            <w:shd w:val="clear" w:color="auto" w:fill="DCE2E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28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(1)(2)</w:t>
            </w:r>
          </w:p>
        </w:tc>
        <w:tc>
          <w:tcPr>
            <w:tcW w:w="1960" w:type="dxa"/>
            <w:vAlign w:val="bottom"/>
          </w:tcPr>
          <w:p>
            <w:pPr>
              <w:jc w:val="right"/>
              <w:ind w:right="175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30"/>
        </w:trPr>
        <w:tc>
          <w:tcPr>
            <w:tcW w:w="20" w:type="dxa"/>
            <w:vAlign w:val="bottom"/>
            <w:shd w:val="clear" w:color="auto" w:fill="DCE2EF"/>
          </w:tcPr>
          <w:p>
            <w:pPr>
              <w:spacing w:after="0"/>
              <w:rPr>
                <w:sz w:val="19"/>
                <w:szCs w:val="19"/>
                <w:color w:val="auto"/>
              </w:rPr>
            </w:pPr>
          </w:p>
        </w:tc>
        <w:tc>
          <w:tcPr>
            <w:tcW w:w="6280" w:type="dxa"/>
            <w:vAlign w:val="bottom"/>
            <w:gridSpan w:val="2"/>
            <w:shd w:val="clear" w:color="auto" w:fill="DCE2EF"/>
          </w:tcPr>
          <w:p>
            <w:pPr>
              <w:ind w:left="220"/>
              <w:spacing w:after="0" w:line="230" w:lineRule="exact"/>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23"/>
                <w:szCs w:val="23"/>
                <w:color w:val="auto"/>
                <w:vertAlign w:val="superscript"/>
              </w:rPr>
              <w:t>(3)</w:t>
            </w:r>
          </w:p>
        </w:tc>
        <w:tc>
          <w:tcPr>
            <w:tcW w:w="1960" w:type="dxa"/>
            <w:vAlign w:val="bottom"/>
            <w:shd w:val="clear" w:color="auto" w:fill="DCE2EF"/>
          </w:tcPr>
          <w:p>
            <w:pPr>
              <w:spacing w:after="0"/>
              <w:rPr>
                <w:sz w:val="19"/>
                <w:szCs w:val="19"/>
                <w:color w:val="auto"/>
              </w:rPr>
            </w:pPr>
          </w:p>
        </w:tc>
        <w:tc>
          <w:tcPr>
            <w:tcW w:w="4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DCE2EF"/>
          </w:tcPr>
          <w:p>
            <w:pPr>
              <w:spacing w:after="0"/>
              <w:rPr>
                <w:sz w:val="19"/>
                <w:szCs w:val="19"/>
                <w:color w:val="auto"/>
              </w:rPr>
            </w:pPr>
          </w:p>
        </w:tc>
        <w:tc>
          <w:tcPr>
            <w:tcW w:w="300" w:type="dxa"/>
            <w:vAlign w:val="bottom"/>
            <w:shd w:val="clear" w:color="auto" w:fill="DCE2EF"/>
          </w:tcPr>
          <w:p>
            <w:pPr>
              <w:spacing w:after="0"/>
              <w:rPr>
                <w:sz w:val="19"/>
                <w:szCs w:val="19"/>
                <w:color w:val="auto"/>
              </w:rPr>
            </w:pPr>
          </w:p>
        </w:tc>
        <w:tc>
          <w:tcPr>
            <w:tcW w:w="21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28.5</w:t>
            </w:r>
          </w:p>
        </w:tc>
      </w:tr>
      <w:tr>
        <w:trPr>
          <w:trHeight w:val="230"/>
        </w:trPr>
        <w:tc>
          <w:tcPr>
            <w:tcW w:w="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Finance lease costs:</w:t>
            </w:r>
          </w:p>
        </w:tc>
        <w:tc>
          <w:tcPr>
            <w:tcW w:w="1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30"/>
        </w:trPr>
        <w:tc>
          <w:tcPr>
            <w:tcW w:w="20" w:type="dxa"/>
            <w:vAlign w:val="bottom"/>
            <w:shd w:val="clear" w:color="auto" w:fill="DCE2EF"/>
          </w:tcPr>
          <w:p>
            <w:pPr>
              <w:spacing w:after="0"/>
              <w:rPr>
                <w:sz w:val="19"/>
                <w:szCs w:val="19"/>
                <w:color w:val="auto"/>
              </w:rPr>
            </w:pPr>
          </w:p>
        </w:tc>
        <w:tc>
          <w:tcPr>
            <w:tcW w:w="6280" w:type="dxa"/>
            <w:vAlign w:val="bottom"/>
            <w:gridSpan w:val="2"/>
            <w:shd w:val="clear" w:color="auto" w:fill="DCE2EF"/>
          </w:tcPr>
          <w:p>
            <w:pPr>
              <w:ind w:left="220"/>
              <w:spacing w:after="0" w:line="23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(4)</w:t>
            </w:r>
          </w:p>
        </w:tc>
        <w:tc>
          <w:tcPr>
            <w:tcW w:w="1960" w:type="dxa"/>
            <w:vAlign w:val="bottom"/>
            <w:shd w:val="clear" w:color="auto" w:fill="DCE2EF"/>
          </w:tcPr>
          <w:p>
            <w:pPr>
              <w:spacing w:after="0"/>
              <w:rPr>
                <w:sz w:val="19"/>
                <w:szCs w:val="19"/>
                <w:color w:val="auto"/>
              </w:rPr>
            </w:pPr>
          </w:p>
        </w:tc>
        <w:tc>
          <w:tcPr>
            <w:tcW w:w="4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DCE2EF"/>
          </w:tcPr>
          <w:p>
            <w:pPr>
              <w:spacing w:after="0"/>
              <w:rPr>
                <w:sz w:val="19"/>
                <w:szCs w:val="19"/>
                <w:color w:val="auto"/>
              </w:rPr>
            </w:pPr>
          </w:p>
        </w:tc>
        <w:tc>
          <w:tcPr>
            <w:tcW w:w="300" w:type="dxa"/>
            <w:vAlign w:val="bottom"/>
            <w:shd w:val="clear" w:color="auto" w:fill="DCE2EF"/>
          </w:tcPr>
          <w:p>
            <w:pPr>
              <w:spacing w:after="0"/>
              <w:rPr>
                <w:sz w:val="19"/>
                <w:szCs w:val="19"/>
                <w:color w:val="auto"/>
              </w:rPr>
            </w:pPr>
          </w:p>
        </w:tc>
        <w:tc>
          <w:tcPr>
            <w:tcW w:w="21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20" w:type="dxa"/>
            <w:vAlign w:val="bottom"/>
            <w:tcBorders>
              <w:bottom w:val="single" w:sz="8" w:color="DCE2EF"/>
            </w:tcBorders>
          </w:tcPr>
          <w:p>
            <w:pPr>
              <w:spacing w:after="0"/>
              <w:rPr>
                <w:sz w:val="19"/>
                <w:szCs w:val="19"/>
                <w:color w:val="auto"/>
              </w:rPr>
            </w:pPr>
          </w:p>
        </w:tc>
        <w:tc>
          <w:tcPr>
            <w:tcW w:w="6280" w:type="dxa"/>
            <w:vAlign w:val="bottom"/>
            <w:tcBorders>
              <w:bottom w:val="single" w:sz="8" w:color="DCE2EF"/>
            </w:tcBorders>
            <w:gridSpan w:val="2"/>
          </w:tcPr>
          <w:p>
            <w:pPr>
              <w:ind w:left="220"/>
              <w:spacing w:after="0" w:line="230" w:lineRule="exact"/>
              <w:rPr>
                <w:sz w:val="20"/>
                <w:szCs w:val="20"/>
                <w:color w:val="auto"/>
              </w:rPr>
            </w:pPr>
            <w:r>
              <w:rPr>
                <w:rFonts w:ascii="Arial" w:cs="Arial" w:eastAsia="Arial" w:hAnsi="Arial"/>
                <w:sz w:val="18"/>
                <w:szCs w:val="18"/>
                <w:color w:val="auto"/>
              </w:rPr>
              <w:t>Interest expense</w:t>
            </w:r>
            <w:r>
              <w:rPr>
                <w:rFonts w:ascii="Arial" w:cs="Arial" w:eastAsia="Arial" w:hAnsi="Arial"/>
                <w:sz w:val="23"/>
                <w:szCs w:val="23"/>
                <w:color w:val="auto"/>
                <w:vertAlign w:val="superscript"/>
              </w:rPr>
              <w:t>(5)</w:t>
            </w:r>
          </w:p>
        </w:tc>
        <w:tc>
          <w:tcPr>
            <w:tcW w:w="1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DCE2E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20" w:type="dxa"/>
            <w:vAlign w:val="bottom"/>
            <w:shd w:val="clear" w:color="auto" w:fill="DCE2EF"/>
          </w:tcPr>
          <w:p>
            <w:pPr>
              <w:spacing w:after="0"/>
              <w:rPr>
                <w:sz w:val="19"/>
                <w:szCs w:val="19"/>
                <w:color w:val="auto"/>
              </w:rPr>
            </w:pPr>
          </w:p>
        </w:tc>
        <w:tc>
          <w:tcPr>
            <w:tcW w:w="6280" w:type="dxa"/>
            <w:vAlign w:val="bottom"/>
            <w:gridSpan w:val="2"/>
            <w:shd w:val="clear" w:color="auto" w:fill="DCE2EF"/>
          </w:tcPr>
          <w:p>
            <w:pPr>
              <w:ind w:left="440"/>
              <w:spacing w:after="0"/>
              <w:rPr>
                <w:sz w:val="20"/>
                <w:szCs w:val="20"/>
                <w:color w:val="auto"/>
              </w:rPr>
            </w:pPr>
            <w:r>
              <w:rPr>
                <w:rFonts w:ascii="Arial" w:cs="Arial" w:eastAsia="Arial" w:hAnsi="Arial"/>
                <w:sz w:val="18"/>
                <w:szCs w:val="18"/>
                <w:b w:val="1"/>
                <w:bCs w:val="1"/>
                <w:color w:val="auto"/>
              </w:rPr>
              <w:t>Total lease costs</w:t>
            </w:r>
          </w:p>
        </w:tc>
        <w:tc>
          <w:tcPr>
            <w:tcW w:w="1960" w:type="dxa"/>
            <w:vAlign w:val="bottom"/>
            <w:tcBorders>
              <w:bottom w:val="single" w:sz="8" w:color="auto"/>
            </w:tcBorders>
            <w:shd w:val="clear" w:color="auto" w:fill="DCE2EF"/>
          </w:tcPr>
          <w:p>
            <w:pPr>
              <w:jc w:val="right"/>
              <w:ind w:right="17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DCE2EF"/>
          </w:tcPr>
          <w:p>
            <w:pPr>
              <w:spacing w:after="0"/>
              <w:rPr>
                <w:sz w:val="19"/>
                <w:szCs w:val="19"/>
                <w:color w:val="auto"/>
              </w:rPr>
            </w:pPr>
          </w:p>
        </w:tc>
        <w:tc>
          <w:tcPr>
            <w:tcW w:w="300" w:type="dxa"/>
            <w:vAlign w:val="bottom"/>
            <w:tcBorders>
              <w:bottom w:val="single" w:sz="8" w:color="auto"/>
            </w:tcBorders>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100.4</w:t>
            </w:r>
          </w:p>
        </w:tc>
      </w:tr>
    </w:tbl>
    <w:p>
      <w:pPr>
        <w:spacing w:after="0" w:line="171"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Related to certain parking arrangements.</w:t>
      </w:r>
    </w:p>
    <w:p>
      <w:pPr>
        <w:spacing w:after="0" w:line="70" w:lineRule="exact"/>
        <w:rPr>
          <w:rFonts w:ascii="Arial" w:cs="Arial" w:eastAsia="Arial" w:hAnsi="Arial"/>
          <w:sz w:val="21"/>
          <w:szCs w:val="21"/>
          <w:color w:val="auto"/>
          <w:vertAlign w:val="superscript"/>
        </w:rPr>
      </w:pPr>
    </w:p>
    <w:p>
      <w:pPr>
        <w:ind w:left="180" w:hanging="172"/>
        <w:spacing w:after="0" w:line="224" w:lineRule="auto"/>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Includes short-term lease costs and variable lease costs.</w:t>
      </w:r>
    </w:p>
    <w:p>
      <w:pPr>
        <w:spacing w:after="0" w:line="71" w:lineRule="exact"/>
        <w:rPr>
          <w:rFonts w:ascii="Arial" w:cs="Arial" w:eastAsia="Arial" w:hAnsi="Arial"/>
          <w:sz w:val="21"/>
          <w:szCs w:val="21"/>
          <w:color w:val="auto"/>
          <w:vertAlign w:val="superscript"/>
        </w:rPr>
      </w:pPr>
    </w:p>
    <w:p>
      <w:pPr>
        <w:ind w:left="180" w:hanging="172"/>
        <w:spacing w:after="0" w:line="224" w:lineRule="auto"/>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Includes short-term lease costs.</w:t>
      </w:r>
    </w:p>
    <w:p>
      <w:pPr>
        <w:spacing w:after="0" w:line="71" w:lineRule="exact"/>
        <w:rPr>
          <w:rFonts w:ascii="Arial" w:cs="Arial" w:eastAsia="Arial" w:hAnsi="Arial"/>
          <w:sz w:val="21"/>
          <w:szCs w:val="21"/>
          <w:color w:val="auto"/>
          <w:vertAlign w:val="superscript"/>
        </w:rPr>
      </w:pPr>
    </w:p>
    <w:p>
      <w:pPr>
        <w:ind w:left="180" w:hanging="172"/>
        <w:spacing w:after="0" w:line="224" w:lineRule="auto"/>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Represents amortization of leased assets.</w:t>
      </w:r>
    </w:p>
    <w:p>
      <w:pPr>
        <w:spacing w:after="0" w:line="71" w:lineRule="exact"/>
        <w:rPr>
          <w:rFonts w:ascii="Arial" w:cs="Arial" w:eastAsia="Arial" w:hAnsi="Arial"/>
          <w:sz w:val="21"/>
          <w:szCs w:val="21"/>
          <w:color w:val="auto"/>
          <w:vertAlign w:val="superscript"/>
        </w:rPr>
      </w:pPr>
    </w:p>
    <w:p>
      <w:pPr>
        <w:ind w:left="180" w:hanging="172"/>
        <w:spacing w:after="0" w:line="224" w:lineRule="auto"/>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Interest on lease liabilities.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color w:val="auto"/>
        </w:rPr>
        <w:t>The following table presents information on short-term and variable lease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b w:val="1"/>
                <w:bCs w:val="1"/>
                <w:color w:val="auto"/>
              </w:rPr>
              <w:t>Year Ended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20" w:type="dxa"/>
            <w:vAlign w:val="bottom"/>
          </w:tcPr>
          <w:p>
            <w:pPr>
              <w:jc w:val="right"/>
              <w:ind w:right="630"/>
              <w:spacing w:after="0"/>
              <w:rPr>
                <w:sz w:val="20"/>
                <w:szCs w:val="20"/>
                <w:color w:val="auto"/>
              </w:rPr>
            </w:pPr>
            <w:r>
              <w:rPr>
                <w:rFonts w:ascii="Arial" w:cs="Arial" w:eastAsia="Arial" w:hAnsi="Arial"/>
                <w:sz w:val="18"/>
                <w:szCs w:val="18"/>
                <w:b w:val="1"/>
                <w:bCs w:val="1"/>
                <w:color w:val="auto"/>
              </w:rPr>
              <w:t>Year Ended</w:t>
            </w:r>
          </w:p>
        </w:tc>
      </w:tr>
      <w:tr>
        <w:trPr>
          <w:trHeight w:val="189"/>
        </w:trPr>
        <w:tc>
          <w:tcPr>
            <w:tcW w:w="20" w:type="dxa"/>
            <w:vAlign w:val="bottom"/>
          </w:tcPr>
          <w:p>
            <w:pPr>
              <w:spacing w:after="0"/>
              <w:rPr>
                <w:sz w:val="16"/>
                <w:szCs w:val="16"/>
                <w:color w:val="auto"/>
              </w:rPr>
            </w:pPr>
          </w:p>
        </w:tc>
        <w:tc>
          <w:tcPr>
            <w:tcW w:w="63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9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October 31, 2021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20" w:type="dxa"/>
            <w:vAlign w:val="bottom"/>
          </w:tcPr>
          <w:p>
            <w:pPr>
              <w:jc w:val="right"/>
              <w:ind w:right="390"/>
              <w:spacing w:after="0" w:line="189" w:lineRule="exact"/>
              <w:rPr>
                <w:sz w:val="20"/>
                <w:szCs w:val="20"/>
                <w:color w:val="auto"/>
              </w:rPr>
            </w:pPr>
            <w:r>
              <w:rPr>
                <w:rFonts w:ascii="Arial" w:cs="Arial" w:eastAsia="Arial" w:hAnsi="Arial"/>
                <w:sz w:val="18"/>
                <w:szCs w:val="18"/>
                <w:b w:val="1"/>
                <w:bCs w:val="1"/>
                <w:color w:val="auto"/>
              </w:rPr>
              <w:t>October 31, 2020</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5580" w:type="dxa"/>
            <w:vAlign w:val="bottom"/>
            <w:tcBorders>
              <w:bottom w:val="single" w:sz="8" w:color="DCE2E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63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Short-term lease costs</w:t>
            </w:r>
          </w:p>
        </w:tc>
        <w:tc>
          <w:tcPr>
            <w:tcW w:w="1960" w:type="dxa"/>
            <w:vAlign w:val="bottom"/>
            <w:shd w:val="clear" w:color="auto" w:fill="DCE2EF"/>
          </w:tcPr>
          <w:p>
            <w:pPr>
              <w:jc w:val="right"/>
              <w:ind w:right="17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DCE2EF"/>
          </w:tcPr>
          <w:p>
            <w:pPr>
              <w:spacing w:after="0"/>
              <w:rPr>
                <w:sz w:val="19"/>
                <w:szCs w:val="19"/>
                <w:color w:val="auto"/>
              </w:rPr>
            </w:pPr>
          </w:p>
        </w:tc>
        <w:tc>
          <w:tcPr>
            <w:tcW w:w="3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47.0</w:t>
            </w:r>
          </w:p>
        </w:tc>
      </w:tr>
      <w:tr>
        <w:trPr>
          <w:trHeight w:val="229"/>
        </w:trPr>
        <w:tc>
          <w:tcPr>
            <w:tcW w:w="20" w:type="dxa"/>
            <w:vAlign w:val="bottom"/>
            <w:tcBorders>
              <w:bottom w:val="single" w:sz="8" w:color="DCE2EF"/>
            </w:tcBorders>
          </w:tcPr>
          <w:p>
            <w:pPr>
              <w:spacing w:after="0"/>
              <w:rPr>
                <w:sz w:val="19"/>
                <w:szCs w:val="19"/>
                <w:color w:val="auto"/>
              </w:rPr>
            </w:pPr>
          </w:p>
        </w:tc>
        <w:tc>
          <w:tcPr>
            <w:tcW w:w="6300" w:type="dxa"/>
            <w:vAlign w:val="bottom"/>
            <w:tcBorders>
              <w:bottom w:val="single" w:sz="8" w:color="DCE2EF"/>
            </w:tcBorders>
            <w:gridSpan w:val="2"/>
          </w:tcPr>
          <w:p>
            <w:pPr>
              <w:spacing w:after="0"/>
              <w:rPr>
                <w:sz w:val="20"/>
                <w:szCs w:val="20"/>
                <w:color w:val="auto"/>
              </w:rPr>
            </w:pPr>
            <w:r>
              <w:rPr>
                <w:rFonts w:ascii="Arial" w:cs="Arial" w:eastAsia="Arial" w:hAnsi="Arial"/>
                <w:sz w:val="18"/>
                <w:szCs w:val="18"/>
                <w:color w:val="auto"/>
              </w:rPr>
              <w:t>Variable lease costs</w:t>
            </w:r>
          </w:p>
        </w:tc>
        <w:tc>
          <w:tcPr>
            <w:tcW w:w="1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DCE2E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20" w:type="dxa"/>
            <w:vAlign w:val="bottom"/>
            <w:shd w:val="clear" w:color="auto" w:fill="DCE2EF"/>
          </w:tcPr>
          <w:p>
            <w:pPr>
              <w:spacing w:after="0"/>
              <w:rPr>
                <w:sz w:val="19"/>
                <w:szCs w:val="19"/>
                <w:color w:val="auto"/>
              </w:rPr>
            </w:pPr>
          </w:p>
        </w:tc>
        <w:tc>
          <w:tcPr>
            <w:tcW w:w="630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Total short-term and variable lease costs</w:t>
            </w:r>
          </w:p>
        </w:tc>
        <w:tc>
          <w:tcPr>
            <w:tcW w:w="1960" w:type="dxa"/>
            <w:vAlign w:val="bottom"/>
            <w:tcBorders>
              <w:bottom w:val="single" w:sz="8" w:color="auto"/>
            </w:tcBorders>
            <w:shd w:val="clear" w:color="auto" w:fill="DCE2EF"/>
          </w:tcPr>
          <w:p>
            <w:pPr>
              <w:jc w:val="right"/>
              <w:ind w:right="17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DCE2EF"/>
          </w:tcPr>
          <w:p>
            <w:pPr>
              <w:spacing w:after="0"/>
              <w:rPr>
                <w:sz w:val="19"/>
                <w:szCs w:val="19"/>
                <w:color w:val="auto"/>
              </w:rPr>
            </w:pPr>
          </w:p>
        </w:tc>
        <w:tc>
          <w:tcPr>
            <w:tcW w:w="300" w:type="dxa"/>
            <w:vAlign w:val="bottom"/>
            <w:tcBorders>
              <w:bottom w:val="single" w:sz="8" w:color="auto"/>
            </w:tcBorders>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50.5</w:t>
            </w:r>
          </w:p>
        </w:tc>
      </w:tr>
    </w:tbl>
    <w:p>
      <w:pPr>
        <w:spacing w:after="0" w:line="2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Sublease income generated during the year ended October 31, 2021, was immaterial. We continue to monitor the impact of the Pandemic on our subleases; however, we do not expect a significant impact.</w:t>
      </w:r>
    </w:p>
    <w:p>
      <w:pPr>
        <w:spacing w:after="0" w:line="198"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amounts of future undiscounted cash flows related to the lease payments over the lease terms and the reconciliation to the present value of the lease liabilities as recorded on our Consolidated Balance Sheets as of October 31, 2021,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0" w:type="dxa"/>
            <w:vAlign w:val="bottom"/>
            <w:gridSpan w:val="2"/>
          </w:tcPr>
          <w:p>
            <w:pPr>
              <w:ind w:left="440"/>
              <w:spacing w:after="0"/>
              <w:rPr>
                <w:sz w:val="20"/>
                <w:szCs w:val="20"/>
                <w:color w:val="auto"/>
              </w:rPr>
            </w:pPr>
            <w:r>
              <w:rPr>
                <w:rFonts w:ascii="Arial" w:cs="Arial" w:eastAsia="Arial" w:hAnsi="Arial"/>
                <w:sz w:val="18"/>
                <w:szCs w:val="18"/>
                <w:b w:val="1"/>
                <w:bCs w:val="1"/>
                <w:color w:val="auto"/>
              </w:rPr>
              <w:t>Operating</w:t>
            </w:r>
          </w:p>
        </w:tc>
        <w:tc>
          <w:tcPr>
            <w:tcW w:w="320" w:type="dxa"/>
            <w:vAlign w:val="bottom"/>
          </w:tcPr>
          <w:p>
            <w:pPr>
              <w:spacing w:after="0"/>
              <w:rPr>
                <w:sz w:val="17"/>
                <w:szCs w:val="17"/>
                <w:color w:val="auto"/>
              </w:rPr>
            </w:pPr>
          </w:p>
        </w:tc>
        <w:tc>
          <w:tcPr>
            <w:tcW w:w="21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Finance</w:t>
            </w:r>
          </w:p>
        </w:tc>
        <w:tc>
          <w:tcPr>
            <w:tcW w:w="560" w:type="dxa"/>
            <w:vAlign w:val="bottom"/>
          </w:tcPr>
          <w:p>
            <w:pPr>
              <w:spacing w:after="0"/>
              <w:rPr>
                <w:sz w:val="17"/>
                <w:szCs w:val="17"/>
                <w:color w:val="auto"/>
              </w:rPr>
            </w:pPr>
          </w:p>
        </w:tc>
        <w:tc>
          <w:tcPr>
            <w:tcW w:w="1840" w:type="dxa"/>
            <w:vAlign w:val="bottom"/>
            <w:vMerge w:val="restart"/>
          </w:tcPr>
          <w:p>
            <w:pPr>
              <w:jc w:val="right"/>
              <w:ind w:right="9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6"/>
                <w:szCs w:val="16"/>
                <w:color w:val="auto"/>
              </w:rPr>
            </w:pPr>
          </w:p>
        </w:tc>
        <w:tc>
          <w:tcPr>
            <w:tcW w:w="2200" w:type="dxa"/>
            <w:vAlign w:val="bottom"/>
            <w:gridSpan w:val="2"/>
          </w:tcPr>
          <w:p>
            <w:pPr>
              <w:ind w:left="200"/>
              <w:spacing w:after="0" w:line="189" w:lineRule="exact"/>
              <w:rPr>
                <w:sz w:val="20"/>
                <w:szCs w:val="20"/>
                <w:color w:val="auto"/>
              </w:rPr>
            </w:pPr>
            <w:r>
              <w:rPr>
                <w:rFonts w:ascii="Arial" w:cs="Arial" w:eastAsia="Arial" w:hAnsi="Arial"/>
                <w:sz w:val="18"/>
                <w:szCs w:val="18"/>
                <w:b w:val="1"/>
                <w:bCs w:val="1"/>
                <w:color w:val="auto"/>
              </w:rPr>
              <w:t>Lease Liabilities</w:t>
            </w:r>
          </w:p>
        </w:tc>
        <w:tc>
          <w:tcPr>
            <w:tcW w:w="320" w:type="dxa"/>
            <w:vAlign w:val="bottom"/>
          </w:tcPr>
          <w:p>
            <w:pPr>
              <w:spacing w:after="0"/>
              <w:rPr>
                <w:sz w:val="16"/>
                <w:szCs w:val="16"/>
                <w:color w:val="auto"/>
              </w:rPr>
            </w:pPr>
          </w:p>
        </w:tc>
        <w:tc>
          <w:tcPr>
            <w:tcW w:w="2180" w:type="dxa"/>
            <w:vAlign w:val="bottom"/>
            <w:gridSpan w:val="2"/>
          </w:tcPr>
          <w:p>
            <w:pPr>
              <w:jc w:val="center"/>
              <w:ind w:right="420"/>
              <w:spacing w:after="0" w:line="189" w:lineRule="exact"/>
              <w:rPr>
                <w:sz w:val="20"/>
                <w:szCs w:val="20"/>
                <w:color w:val="auto"/>
              </w:rPr>
            </w:pPr>
            <w:r>
              <w:rPr>
                <w:rFonts w:ascii="Arial" w:cs="Arial" w:eastAsia="Arial" w:hAnsi="Arial"/>
                <w:sz w:val="18"/>
                <w:szCs w:val="18"/>
                <w:b w:val="1"/>
                <w:bCs w:val="1"/>
                <w:color w:val="auto"/>
              </w:rPr>
              <w:t>Lease Liabilities</w:t>
            </w:r>
          </w:p>
        </w:tc>
        <w:tc>
          <w:tcPr>
            <w:tcW w:w="56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308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38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Fiscal 2022</w:t>
            </w: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DCE2EF"/>
          </w:tcPr>
          <w:p>
            <w:pPr>
              <w:spacing w:after="0"/>
              <w:rPr>
                <w:sz w:val="19"/>
                <w:szCs w:val="19"/>
                <w:color w:val="auto"/>
              </w:rPr>
            </w:pPr>
          </w:p>
        </w:tc>
        <w:tc>
          <w:tcPr>
            <w:tcW w:w="560" w:type="dxa"/>
            <w:vAlign w:val="bottom"/>
            <w:shd w:val="clear" w:color="auto" w:fill="DCE2EF"/>
          </w:tcPr>
          <w:p>
            <w:pPr>
              <w:jc w:val="right"/>
              <w:ind w:right="35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Fiscal 2023</w:t>
            </w: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9"/>
        </w:trPr>
        <w:tc>
          <w:tcPr>
            <w:tcW w:w="20" w:type="dxa"/>
            <w:vAlign w:val="bottom"/>
            <w:shd w:val="clear" w:color="auto" w:fill="DCE2EF"/>
          </w:tcPr>
          <w:p>
            <w:pPr>
              <w:spacing w:after="0"/>
              <w:rPr>
                <w:sz w:val="19"/>
                <w:szCs w:val="19"/>
                <w:color w:val="auto"/>
              </w:rPr>
            </w:pPr>
          </w:p>
        </w:tc>
        <w:tc>
          <w:tcPr>
            <w:tcW w:w="38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Fiscal 2024</w:t>
            </w:r>
          </w:p>
        </w:tc>
        <w:tc>
          <w:tcPr>
            <w:tcW w:w="320" w:type="dxa"/>
            <w:vAlign w:val="bottom"/>
            <w:shd w:val="clear" w:color="auto" w:fill="DCE2EF"/>
          </w:tcPr>
          <w:p>
            <w:pPr>
              <w:spacing w:after="0"/>
              <w:rPr>
                <w:sz w:val="19"/>
                <w:szCs w:val="19"/>
                <w:color w:val="auto"/>
              </w:rPr>
            </w:pPr>
          </w:p>
        </w:tc>
        <w:tc>
          <w:tcPr>
            <w:tcW w:w="21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2180" w:type="dxa"/>
            <w:vAlign w:val="bottom"/>
            <w:gridSpan w:val="2"/>
            <w:shd w:val="clear" w:color="auto" w:fill="DCE2E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DCE2EF"/>
          </w:tcPr>
          <w:p>
            <w:pPr>
              <w:spacing w:after="0"/>
              <w:rPr>
                <w:sz w:val="19"/>
                <w:szCs w:val="19"/>
                <w:color w:val="auto"/>
              </w:rPr>
            </w:pPr>
          </w:p>
        </w:tc>
        <w:tc>
          <w:tcPr>
            <w:tcW w:w="18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Fiscal 2025</w:t>
            </w: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38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Fiscal 2026</w:t>
            </w:r>
          </w:p>
        </w:tc>
        <w:tc>
          <w:tcPr>
            <w:tcW w:w="320" w:type="dxa"/>
            <w:vAlign w:val="bottom"/>
            <w:shd w:val="clear" w:color="auto" w:fill="DCE2EF"/>
          </w:tcPr>
          <w:p>
            <w:pPr>
              <w:spacing w:after="0"/>
              <w:rPr>
                <w:sz w:val="19"/>
                <w:szCs w:val="19"/>
                <w:color w:val="auto"/>
              </w:rPr>
            </w:pPr>
          </w:p>
        </w:tc>
        <w:tc>
          <w:tcPr>
            <w:tcW w:w="21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2180" w:type="dxa"/>
            <w:vAlign w:val="bottom"/>
            <w:gridSpan w:val="2"/>
            <w:shd w:val="clear" w:color="auto" w:fill="DCE2E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DCE2EF"/>
          </w:tcPr>
          <w:p>
            <w:pPr>
              <w:spacing w:after="0"/>
              <w:rPr>
                <w:sz w:val="19"/>
                <w:szCs w:val="19"/>
                <w:color w:val="auto"/>
              </w:rPr>
            </w:pPr>
          </w:p>
        </w:tc>
        <w:tc>
          <w:tcPr>
            <w:tcW w:w="18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3"/>
        </w:trPr>
        <w:tc>
          <w:tcPr>
            <w:tcW w:w="20" w:type="dxa"/>
            <w:vAlign w:val="bottom"/>
            <w:tcBorders>
              <w:top w:val="single" w:sz="8" w:color="DCE2EF"/>
            </w:tcBorders>
            <w:shd w:val="clear" w:color="auto" w:fill="DCE2EF"/>
          </w:tcPr>
          <w:p>
            <w:pPr>
              <w:spacing w:after="0"/>
              <w:rPr>
                <w:sz w:val="19"/>
                <w:szCs w:val="19"/>
                <w:color w:val="auto"/>
              </w:rPr>
            </w:pPr>
          </w:p>
        </w:tc>
        <w:tc>
          <w:tcPr>
            <w:tcW w:w="3800" w:type="dxa"/>
            <w:vAlign w:val="bottom"/>
            <w:tcBorders>
              <w:top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rPr>
              <w:t>Total lease payments</w:t>
            </w:r>
          </w:p>
        </w:tc>
        <w:tc>
          <w:tcPr>
            <w:tcW w:w="320" w:type="dxa"/>
            <w:vAlign w:val="bottom"/>
            <w:tcBorders>
              <w:top w:val="single" w:sz="8" w:color="auto"/>
            </w:tcBorders>
            <w:shd w:val="clear" w:color="auto" w:fill="DCE2EF"/>
          </w:tcPr>
          <w:p>
            <w:pPr>
              <w:spacing w:after="0"/>
              <w:rPr>
                <w:sz w:val="19"/>
                <w:szCs w:val="19"/>
                <w:color w:val="auto"/>
              </w:rPr>
            </w:pPr>
          </w:p>
        </w:tc>
        <w:tc>
          <w:tcPr>
            <w:tcW w:w="21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Borders>
              <w:top w:val="single" w:sz="8" w:color="DCE2EF"/>
            </w:tcBorders>
            <w:shd w:val="clear" w:color="auto" w:fill="DCE2EF"/>
          </w:tcPr>
          <w:p>
            <w:pPr>
              <w:spacing w:after="0"/>
              <w:rPr>
                <w:sz w:val="19"/>
                <w:szCs w:val="19"/>
                <w:color w:val="auto"/>
              </w:rPr>
            </w:pPr>
          </w:p>
        </w:tc>
        <w:tc>
          <w:tcPr>
            <w:tcW w:w="320" w:type="dxa"/>
            <w:vAlign w:val="bottom"/>
            <w:tcBorders>
              <w:top w:val="single" w:sz="8" w:color="auto"/>
            </w:tcBorders>
            <w:shd w:val="clear" w:color="auto" w:fill="DCE2EF"/>
          </w:tcPr>
          <w:p>
            <w:pPr>
              <w:spacing w:after="0"/>
              <w:rPr>
                <w:sz w:val="19"/>
                <w:szCs w:val="19"/>
                <w:color w:val="auto"/>
              </w:rPr>
            </w:pPr>
          </w:p>
        </w:tc>
        <w:tc>
          <w:tcPr>
            <w:tcW w:w="208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DCE2EF"/>
            </w:tcBorders>
            <w:shd w:val="clear" w:color="auto" w:fill="DCE2EF"/>
          </w:tcPr>
          <w:p>
            <w:pPr>
              <w:spacing w:after="0"/>
              <w:rPr>
                <w:sz w:val="19"/>
                <w:szCs w:val="19"/>
                <w:color w:val="auto"/>
              </w:rPr>
            </w:pPr>
          </w:p>
        </w:tc>
        <w:tc>
          <w:tcPr>
            <w:tcW w:w="560" w:type="dxa"/>
            <w:vAlign w:val="bottom"/>
            <w:tcBorders>
              <w:top w:val="single" w:sz="8" w:color="auto"/>
            </w:tcBorders>
            <w:shd w:val="clear" w:color="auto" w:fill="DCE2EF"/>
          </w:tcPr>
          <w:p>
            <w:pPr>
              <w:spacing w:after="0"/>
              <w:rPr>
                <w:sz w:val="19"/>
                <w:szCs w:val="19"/>
                <w:color w:val="auto"/>
              </w:rPr>
            </w:pPr>
          </w:p>
        </w:tc>
        <w:tc>
          <w:tcPr>
            <w:tcW w:w="184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29"/>
        </w:trPr>
        <w:tc>
          <w:tcPr>
            <w:tcW w:w="20" w:type="dxa"/>
            <w:vAlign w:val="bottom"/>
            <w:tcBorders>
              <w:bottom w:val="single" w:sz="8" w:color="DCE2EF"/>
            </w:tcBorders>
          </w:tcPr>
          <w:p>
            <w:pPr>
              <w:spacing w:after="0"/>
              <w:rPr>
                <w:sz w:val="19"/>
                <w:szCs w:val="19"/>
                <w:color w:val="auto"/>
              </w:rPr>
            </w:pPr>
          </w:p>
        </w:tc>
        <w:tc>
          <w:tcPr>
            <w:tcW w:w="3800" w:type="dxa"/>
            <w:vAlign w:val="bottom"/>
            <w:tcBorders>
              <w:bottom w:val="single" w:sz="8" w:color="DCE2EF"/>
            </w:tcBorders>
            <w:gridSpan w:val="2"/>
          </w:tcPr>
          <w:p>
            <w:pPr>
              <w:spacing w:after="0"/>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DCE2E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DCE2E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8"/>
        </w:trPr>
        <w:tc>
          <w:tcPr>
            <w:tcW w:w="20" w:type="dxa"/>
            <w:vAlign w:val="bottom"/>
            <w:tcBorders>
              <w:bottom w:val="single" w:sz="8" w:color="DCE2EF"/>
            </w:tcBorders>
            <w:shd w:val="clear" w:color="auto" w:fill="DCE2EF"/>
          </w:tcPr>
          <w:p>
            <w:pPr>
              <w:spacing w:after="0"/>
              <w:rPr>
                <w:sz w:val="21"/>
                <w:szCs w:val="21"/>
                <w:color w:val="auto"/>
              </w:rPr>
            </w:pPr>
          </w:p>
        </w:tc>
        <w:tc>
          <w:tcPr>
            <w:tcW w:w="380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rPr>
              <w:t>Present value of lease liabilities</w:t>
            </w:r>
          </w:p>
        </w:tc>
        <w:tc>
          <w:tcPr>
            <w:tcW w:w="320" w:type="dxa"/>
            <w:vAlign w:val="bottom"/>
            <w:tcBorders>
              <w:bottom w:val="single" w:sz="8" w:color="auto"/>
            </w:tcBorders>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DCE2EF"/>
            </w:tcBorders>
            <w:shd w:val="clear" w:color="auto" w:fill="DCE2EF"/>
          </w:tcPr>
          <w:p>
            <w:pPr>
              <w:spacing w:after="0"/>
              <w:rPr>
                <w:sz w:val="21"/>
                <w:szCs w:val="21"/>
                <w:color w:val="auto"/>
              </w:rPr>
            </w:pPr>
          </w:p>
        </w:tc>
        <w:tc>
          <w:tcPr>
            <w:tcW w:w="320" w:type="dxa"/>
            <w:vAlign w:val="bottom"/>
            <w:tcBorders>
              <w:bottom w:val="single" w:sz="8" w:color="auto"/>
            </w:tcBorders>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DCE2EF"/>
            </w:tcBorders>
            <w:shd w:val="clear" w:color="auto" w:fill="DCE2EF"/>
          </w:tcPr>
          <w:p>
            <w:pPr>
              <w:spacing w:after="0"/>
              <w:rPr>
                <w:sz w:val="21"/>
                <w:szCs w:val="21"/>
                <w:color w:val="auto"/>
              </w:rPr>
            </w:pPr>
          </w:p>
        </w:tc>
        <w:tc>
          <w:tcPr>
            <w:tcW w:w="560" w:type="dxa"/>
            <w:vAlign w:val="bottom"/>
            <w:tcBorders>
              <w:bottom w:val="single" w:sz="8" w:color="auto"/>
            </w:tcBorders>
            <w:shd w:val="clear" w:color="auto" w:fill="DCE2EF"/>
          </w:tcPr>
          <w:p>
            <w:pPr>
              <w:jc w:val="right"/>
              <w:ind w:right="3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308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21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20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560" w:type="dxa"/>
            <w:vAlign w:val="bottom"/>
            <w:tcBorders>
              <w:top w:val="single" w:sz="8" w:color="DCE2EF"/>
              <w:bottom w:val="single" w:sz="8" w:color="auto"/>
            </w:tcBorders>
          </w:tcPr>
          <w:p>
            <w:pPr>
              <w:spacing w:after="0" w:line="20" w:lineRule="exact"/>
              <w:rPr>
                <w:sz w:val="1"/>
                <w:szCs w:val="1"/>
                <w:color w:val="auto"/>
              </w:rPr>
            </w:pPr>
          </w:p>
        </w:tc>
        <w:tc>
          <w:tcPr>
            <w:tcW w:w="184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sublease rental income was excluded for the periods shown above as the amounts are immaterial.</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have entered into operating lease arrangements as of October 31, 2021, that are effective for future periods. The total amount of ROU assets and lease liabilities related to these arrangements is immaterial.</w:t>
      </w:r>
    </w:p>
    <w:p>
      <w:pPr>
        <w:spacing w:after="0" w:line="14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following table includes the weighted-average remaining lease terms, in years, and the weighted-average discount rate used to calculate the present value of operating lease liabilities: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8"/>
              </w:rPr>
              <w:t>Year Ended</w:t>
            </w:r>
          </w:p>
        </w:tc>
        <w:tc>
          <w:tcPr>
            <w:tcW w:w="2100" w:type="dxa"/>
            <w:vAlign w:val="bottom"/>
          </w:tcPr>
          <w:p>
            <w:pPr>
              <w:jc w:val="right"/>
              <w:ind w:right="470"/>
              <w:spacing w:after="0"/>
              <w:rPr>
                <w:sz w:val="20"/>
                <w:szCs w:val="20"/>
                <w:color w:val="auto"/>
              </w:rPr>
            </w:pPr>
            <w:r>
              <w:rPr>
                <w:rFonts w:ascii="Arial" w:cs="Arial" w:eastAsia="Arial" w:hAnsi="Arial"/>
                <w:sz w:val="18"/>
                <w:szCs w:val="18"/>
                <w:b w:val="1"/>
                <w:bCs w:val="1"/>
                <w:color w:val="auto"/>
              </w:rPr>
              <w:t>Year Ended</w:t>
            </w:r>
          </w:p>
        </w:tc>
      </w:tr>
      <w:tr>
        <w:trPr>
          <w:trHeight w:val="230"/>
        </w:trPr>
        <w:tc>
          <w:tcPr>
            <w:tcW w:w="46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October 31, 2021</w:t>
            </w:r>
          </w:p>
        </w:tc>
        <w:tc>
          <w:tcPr>
            <w:tcW w:w="2100" w:type="dxa"/>
            <w:vAlign w:val="bottom"/>
          </w:tcPr>
          <w:p>
            <w:pPr>
              <w:jc w:val="right"/>
              <w:ind w:right="230"/>
              <w:spacing w:after="0"/>
              <w:rPr>
                <w:sz w:val="20"/>
                <w:szCs w:val="20"/>
                <w:color w:val="auto"/>
              </w:rPr>
            </w:pPr>
            <w:r>
              <w:rPr>
                <w:rFonts w:ascii="Arial" w:cs="Arial" w:eastAsia="Arial" w:hAnsi="Arial"/>
                <w:sz w:val="18"/>
                <w:szCs w:val="18"/>
                <w:b w:val="1"/>
                <w:bCs w:val="1"/>
                <w:color w:val="auto"/>
              </w:rPr>
              <w:t>October 31, 2020</w:t>
            </w:r>
          </w:p>
        </w:tc>
      </w:tr>
      <w:tr>
        <w:trPr>
          <w:trHeight w:val="210"/>
        </w:trPr>
        <w:tc>
          <w:tcPr>
            <w:tcW w:w="4680" w:type="dxa"/>
            <w:vAlign w:val="bottom"/>
            <w:tcBorders>
              <w:top w:val="single" w:sz="8" w:color="DCE2EF"/>
            </w:tcBorders>
            <w:shd w:val="clear" w:color="auto" w:fill="DCE2E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2280" w:type="dxa"/>
            <w:vAlign w:val="bottom"/>
            <w:tcBorders>
              <w:top w:val="single" w:sz="8" w:color="DCE2EF"/>
            </w:tcBorders>
            <w:shd w:val="clear" w:color="auto" w:fill="DCE2EF"/>
          </w:tcPr>
          <w:p>
            <w:pPr>
              <w:spacing w:after="0"/>
              <w:rPr>
                <w:sz w:val="18"/>
                <w:szCs w:val="18"/>
                <w:color w:val="auto"/>
              </w:rPr>
            </w:pPr>
          </w:p>
        </w:tc>
        <w:tc>
          <w:tcPr>
            <w:tcW w:w="2100" w:type="dxa"/>
            <w:vAlign w:val="bottom"/>
            <w:tcBorders>
              <w:top w:val="single" w:sz="8" w:color="auto"/>
            </w:tcBorders>
            <w:shd w:val="clear" w:color="auto" w:fill="DCE2EF"/>
          </w:tcPr>
          <w:p>
            <w:pPr>
              <w:spacing w:after="0"/>
              <w:rPr>
                <w:sz w:val="18"/>
                <w:szCs w:val="18"/>
                <w:color w:val="auto"/>
              </w:rPr>
            </w:pPr>
          </w:p>
        </w:tc>
        <w:tc>
          <w:tcPr>
            <w:tcW w:w="80" w:type="dxa"/>
            <w:vAlign w:val="bottom"/>
            <w:tcBorders>
              <w:top w:val="single" w:sz="8" w:color="DCE2EF"/>
            </w:tcBorders>
            <w:shd w:val="clear" w:color="auto" w:fill="DCE2EF"/>
          </w:tcPr>
          <w:p>
            <w:pPr>
              <w:spacing w:after="0"/>
              <w:rPr>
                <w:sz w:val="18"/>
                <w:szCs w:val="18"/>
                <w:color w:val="auto"/>
              </w:rPr>
            </w:pPr>
          </w:p>
        </w:tc>
        <w:tc>
          <w:tcPr>
            <w:tcW w:w="2100" w:type="dxa"/>
            <w:vAlign w:val="bottom"/>
            <w:tcBorders>
              <w:top w:val="single" w:sz="8" w:color="auto"/>
            </w:tcBorders>
            <w:shd w:val="clear" w:color="auto" w:fill="DCE2EF"/>
          </w:tcPr>
          <w:p>
            <w:pPr>
              <w:spacing w:after="0"/>
              <w:rPr>
                <w:sz w:val="18"/>
                <w:szCs w:val="18"/>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4680" w:type="dxa"/>
            <w:vAlign w:val="bottom"/>
            <w:shd w:val="clear" w:color="auto" w:fill="DCE2EF"/>
          </w:tcPr>
          <w:p>
            <w:pPr>
              <w:ind w:left="240"/>
              <w:spacing w:after="0"/>
              <w:rPr>
                <w:sz w:val="20"/>
                <w:szCs w:val="20"/>
                <w:color w:val="auto"/>
              </w:rPr>
            </w:pPr>
            <w:r>
              <w:rPr>
                <w:rFonts w:ascii="Arial" w:cs="Arial" w:eastAsia="Arial" w:hAnsi="Arial"/>
                <w:sz w:val="18"/>
                <w:szCs w:val="18"/>
                <w:color w:val="auto"/>
              </w:rPr>
              <w:t>Finance leases</w:t>
            </w:r>
          </w:p>
        </w:tc>
        <w:tc>
          <w:tcPr>
            <w:tcW w:w="4380" w:type="dxa"/>
            <w:vAlign w:val="bottom"/>
            <w:gridSpan w:val="2"/>
            <w:shd w:val="clear" w:color="auto" w:fill="DCE2E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DCE2EF"/>
          </w:tcPr>
          <w:p>
            <w:pPr>
              <w:spacing w:after="0"/>
              <w:rPr>
                <w:sz w:val="19"/>
                <w:szCs w:val="19"/>
                <w:color w:val="auto"/>
              </w:rPr>
            </w:pPr>
          </w:p>
        </w:tc>
        <w:tc>
          <w:tcPr>
            <w:tcW w:w="21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230"/>
        </w:trPr>
        <w:tc>
          <w:tcPr>
            <w:tcW w:w="4680" w:type="dxa"/>
            <w:vAlign w:val="bottom"/>
            <w:shd w:val="clear" w:color="auto" w:fill="DCE2EF"/>
          </w:tcPr>
          <w:p>
            <w:pPr>
              <w:ind w:left="240"/>
              <w:spacing w:after="0"/>
              <w:rPr>
                <w:sz w:val="20"/>
                <w:szCs w:val="20"/>
                <w:color w:val="auto"/>
              </w:rPr>
            </w:pPr>
            <w:r>
              <w:rPr>
                <w:rFonts w:ascii="Arial" w:cs="Arial" w:eastAsia="Arial" w:hAnsi="Arial"/>
                <w:sz w:val="18"/>
                <w:szCs w:val="18"/>
                <w:color w:val="auto"/>
              </w:rPr>
              <w:t>Operating leases</w:t>
            </w:r>
          </w:p>
        </w:tc>
        <w:tc>
          <w:tcPr>
            <w:tcW w:w="4380" w:type="dxa"/>
            <w:vAlign w:val="bottom"/>
            <w:gridSpan w:val="2"/>
            <w:shd w:val="clear" w:color="auto" w:fill="DCE2EF"/>
          </w:tcPr>
          <w:p>
            <w:pPr>
              <w:jc w:val="right"/>
              <w:spacing w:after="0"/>
              <w:rPr>
                <w:sz w:val="20"/>
                <w:szCs w:val="20"/>
                <w:color w:val="auto"/>
              </w:rPr>
            </w:pPr>
            <w:r>
              <w:rPr>
                <w:rFonts w:ascii="Arial" w:cs="Arial" w:eastAsia="Arial" w:hAnsi="Arial"/>
                <w:sz w:val="18"/>
                <w:szCs w:val="18"/>
                <w:color w:val="auto"/>
              </w:rPr>
              <w:t>4.11 %</w:t>
            </w:r>
          </w:p>
        </w:tc>
        <w:tc>
          <w:tcPr>
            <w:tcW w:w="80" w:type="dxa"/>
            <w:vAlign w:val="bottom"/>
            <w:shd w:val="clear" w:color="auto" w:fill="DCE2EF"/>
          </w:tcPr>
          <w:p>
            <w:pPr>
              <w:spacing w:after="0"/>
              <w:rPr>
                <w:sz w:val="19"/>
                <w:szCs w:val="19"/>
                <w:color w:val="auto"/>
              </w:rPr>
            </w:pPr>
          </w:p>
        </w:tc>
        <w:tc>
          <w:tcPr>
            <w:tcW w:w="21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4.14 %</w:t>
            </w: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4.78 %</w:t>
            </w:r>
          </w:p>
        </w:tc>
        <w:tc>
          <w:tcPr>
            <w:tcW w:w="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4.55 %</w:t>
            </w:r>
          </w:p>
        </w:tc>
      </w:tr>
      <w:tr>
        <w:trPr>
          <w:trHeight w:val="770"/>
        </w:trPr>
        <w:tc>
          <w:tcPr>
            <w:tcW w:w="4680" w:type="dxa"/>
            <w:vAlign w:val="bottom"/>
          </w:tcPr>
          <w:p>
            <w:pPr>
              <w:spacing w:after="0"/>
              <w:rPr>
                <w:sz w:val="24"/>
                <w:szCs w:val="24"/>
                <w:color w:val="auto"/>
              </w:rPr>
            </w:pP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70</w:t>
            </w: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73" w:name="page74"/>
    <w:bookmarkEnd w:id="73"/>
    <w:p>
      <w:pPr>
        <w:ind w:left="660"/>
        <w:spacing w:after="0"/>
        <w:rPr>
          <w:sz w:val="20"/>
          <w:szCs w:val="20"/>
          <w:color w:val="auto"/>
        </w:rPr>
      </w:pPr>
      <w:r>
        <w:rPr>
          <w:rFonts w:ascii="Arial" w:cs="Arial" w:eastAsia="Arial" w:hAnsi="Arial"/>
          <w:sz w:val="18"/>
          <w:szCs w:val="18"/>
          <w:color w:val="auto"/>
        </w:rPr>
        <w:t>The following table includes supplemental cash and non-cash information related to operating leases: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Year Ended</w:t>
            </w:r>
          </w:p>
        </w:tc>
        <w:tc>
          <w:tcPr>
            <w:tcW w:w="200" w:type="dxa"/>
            <w:vAlign w:val="bottom"/>
          </w:tcPr>
          <w:p>
            <w:pPr>
              <w:spacing w:after="0"/>
              <w:rPr>
                <w:sz w:val="17"/>
                <w:szCs w:val="17"/>
                <w:color w:val="auto"/>
              </w:rPr>
            </w:pPr>
          </w:p>
        </w:tc>
        <w:tc>
          <w:tcPr>
            <w:tcW w:w="1780" w:type="dxa"/>
            <w:vAlign w:val="bottom"/>
          </w:tcPr>
          <w:p>
            <w:pPr>
              <w:jc w:val="right"/>
              <w:ind w:right="410"/>
              <w:spacing w:after="0"/>
              <w:rPr>
                <w:sz w:val="20"/>
                <w:szCs w:val="20"/>
                <w:color w:val="auto"/>
              </w:rPr>
            </w:pPr>
            <w:r>
              <w:rPr>
                <w:rFonts w:ascii="Arial" w:cs="Arial" w:eastAsia="Arial" w:hAnsi="Arial"/>
                <w:sz w:val="18"/>
                <w:szCs w:val="18"/>
                <w:b w:val="1"/>
                <w:bCs w:val="1"/>
                <w:color w:val="auto"/>
              </w:rPr>
              <w:t>Year Ended</w:t>
            </w:r>
          </w:p>
        </w:tc>
      </w:tr>
      <w:tr>
        <w:trPr>
          <w:trHeight w:val="203"/>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7"/>
                <w:szCs w:val="17"/>
                <w:color w:val="auto"/>
              </w:rPr>
            </w:pPr>
          </w:p>
        </w:tc>
        <w:tc>
          <w:tcPr>
            <w:tcW w:w="188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October 31, 2021</w:t>
            </w:r>
          </w:p>
        </w:tc>
        <w:tc>
          <w:tcPr>
            <w:tcW w:w="200" w:type="dxa"/>
            <w:vAlign w:val="bottom"/>
          </w:tcPr>
          <w:p>
            <w:pPr>
              <w:spacing w:after="0"/>
              <w:rPr>
                <w:sz w:val="17"/>
                <w:szCs w:val="17"/>
                <w:color w:val="auto"/>
              </w:rPr>
            </w:pPr>
          </w:p>
        </w:tc>
        <w:tc>
          <w:tcPr>
            <w:tcW w:w="17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October 31, 2020</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4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DCE2EF"/>
          </w:tcPr>
          <w:p>
            <w:pPr>
              <w:spacing w:after="0"/>
              <w:rPr>
                <w:sz w:val="17"/>
                <w:szCs w:val="17"/>
                <w:color w:val="auto"/>
              </w:rPr>
            </w:pPr>
          </w:p>
        </w:tc>
        <w:tc>
          <w:tcPr>
            <w:tcW w:w="7160" w:type="dxa"/>
            <w:vAlign w:val="bottom"/>
            <w:gridSpan w:val="2"/>
            <w:shd w:val="clear" w:color="auto" w:fill="DCE2E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shd w:val="clear" w:color="auto" w:fill="DCE2EF"/>
          </w:tcPr>
          <w:p>
            <w:pPr>
              <w:spacing w:after="0"/>
              <w:rPr>
                <w:sz w:val="17"/>
                <w:szCs w:val="17"/>
                <w:color w:val="auto"/>
              </w:rPr>
            </w:pPr>
          </w:p>
        </w:tc>
        <w:tc>
          <w:tcPr>
            <w:tcW w:w="17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00" w:type="dxa"/>
            <w:vAlign w:val="bottom"/>
            <w:shd w:val="clear" w:color="auto" w:fill="DCE2EF"/>
          </w:tcPr>
          <w:p>
            <w:pPr>
              <w:spacing w:after="0"/>
              <w:rPr>
                <w:sz w:val="17"/>
                <w:szCs w:val="17"/>
                <w:color w:val="auto"/>
              </w:rPr>
            </w:pPr>
          </w:p>
        </w:tc>
        <w:tc>
          <w:tcPr>
            <w:tcW w:w="1780" w:type="dxa"/>
            <w:vAlign w:val="bottom"/>
            <w:shd w:val="clear" w:color="auto" w:fill="DCE2E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7160" w:type="dxa"/>
            <w:vAlign w:val="bottom"/>
            <w:gridSpan w:val="2"/>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29"/>
        </w:trPr>
        <w:tc>
          <w:tcPr>
            <w:tcW w:w="20" w:type="dxa"/>
            <w:vAlign w:val="bottom"/>
            <w:shd w:val="clear" w:color="auto" w:fill="DCE2EF"/>
          </w:tcPr>
          <w:p>
            <w:pPr>
              <w:spacing w:after="0"/>
              <w:rPr>
                <w:sz w:val="19"/>
                <w:szCs w:val="19"/>
                <w:color w:val="auto"/>
              </w:rPr>
            </w:pPr>
          </w:p>
        </w:tc>
        <w:tc>
          <w:tcPr>
            <w:tcW w:w="7160" w:type="dxa"/>
            <w:vAlign w:val="bottom"/>
            <w:gridSpan w:val="2"/>
            <w:shd w:val="clear" w:color="auto" w:fill="DCE2E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20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20" w:type="dxa"/>
            <w:vAlign w:val="bottom"/>
          </w:tcPr>
          <w:p>
            <w:pPr>
              <w:spacing w:after="0"/>
              <w:rPr>
                <w:sz w:val="19"/>
                <w:szCs w:val="19"/>
                <w:color w:val="auto"/>
              </w:rPr>
            </w:pPr>
          </w:p>
        </w:tc>
        <w:tc>
          <w:tcPr>
            <w:tcW w:w="7160" w:type="dxa"/>
            <w:vAlign w:val="bottom"/>
            <w:gridSpan w:val="2"/>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20" w:type="dxa"/>
            <w:vAlign w:val="bottom"/>
            <w:shd w:val="clear" w:color="auto" w:fill="DCE2EF"/>
          </w:tcPr>
          <w:p>
            <w:pPr>
              <w:spacing w:after="0"/>
              <w:rPr>
                <w:sz w:val="19"/>
                <w:szCs w:val="19"/>
                <w:color w:val="auto"/>
              </w:rPr>
            </w:pPr>
          </w:p>
        </w:tc>
        <w:tc>
          <w:tcPr>
            <w:tcW w:w="7160" w:type="dxa"/>
            <w:vAlign w:val="bottom"/>
            <w:gridSpan w:val="2"/>
            <w:shd w:val="clear" w:color="auto" w:fill="DCE2EF"/>
          </w:tcPr>
          <w:p>
            <w:pPr>
              <w:ind w:left="40"/>
              <w:spacing w:after="0" w:line="230" w:lineRule="exact"/>
              <w:rPr>
                <w:sz w:val="20"/>
                <w:szCs w:val="20"/>
                <w:color w:val="auto"/>
              </w:rPr>
            </w:pPr>
            <w:r>
              <w:rPr>
                <w:rFonts w:ascii="Arial" w:cs="Arial" w:eastAsia="Arial" w:hAnsi="Arial"/>
                <w:sz w:val="18"/>
                <w:szCs w:val="18"/>
                <w:color w:val="auto"/>
              </w:rPr>
              <w:t>Lease assets obtained in exchange for new operating lease liabilities</w:t>
            </w:r>
            <w:r>
              <w:rPr>
                <w:rFonts w:ascii="Arial" w:cs="Arial" w:eastAsia="Arial" w:hAnsi="Arial"/>
                <w:sz w:val="23"/>
                <w:szCs w:val="23"/>
                <w:color w:val="auto"/>
                <w:vertAlign w:val="superscript"/>
              </w:rPr>
              <w:t>(1)</w:t>
            </w:r>
          </w:p>
        </w:tc>
        <w:tc>
          <w:tcPr>
            <w:tcW w:w="20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15.7</w:t>
            </w:r>
          </w:p>
        </w:tc>
      </w:tr>
    </w:tbl>
    <w:p>
      <w:pPr>
        <w:spacing w:after="0" w:line="206" w:lineRule="exact"/>
        <w:rPr>
          <w:sz w:val="20"/>
          <w:szCs w:val="20"/>
          <w:color w:val="auto"/>
        </w:rPr>
      </w:pPr>
    </w:p>
    <w:p>
      <w:pPr>
        <w:ind w:left="160" w:hanging="152"/>
        <w:spacing w:after="0"/>
        <w:tabs>
          <w:tab w:leader="none" w:pos="16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Excludes the amount initially capitalized in 2020 in conjunction with the adoption of Topic 842.</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6. 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Basic and Diluted Net Income Per Common Share Calculations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8"/>
                <w:szCs w:val="18"/>
                <w:b w:val="1"/>
                <w:bCs w:val="1"/>
                <w:color w:val="auto"/>
                <w:w w:val="99"/>
              </w:rPr>
              <w:t>Years Ended October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20" w:type="dxa"/>
            <w:vAlign w:val="bottom"/>
            <w:gridSpan w:val="4"/>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400" w:type="dxa"/>
            <w:vAlign w:val="bottom"/>
          </w:tcPr>
          <w:p>
            <w:pPr>
              <w:spacing w:after="0"/>
              <w:rPr>
                <w:sz w:val="15"/>
                <w:szCs w:val="15"/>
                <w:color w:val="auto"/>
              </w:rPr>
            </w:pPr>
          </w:p>
        </w:tc>
        <w:tc>
          <w:tcPr>
            <w:tcW w:w="1280" w:type="dxa"/>
            <w:vAlign w:val="bottom"/>
          </w:tcPr>
          <w:p>
            <w:pPr>
              <w:jc w:val="right"/>
              <w:ind w:right="510"/>
              <w:spacing w:after="0" w:line="182"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center"/>
              <w:ind w:right="310"/>
              <w:spacing w:after="0" w:line="182" w:lineRule="exact"/>
              <w:rPr>
                <w:sz w:val="20"/>
                <w:szCs w:val="20"/>
                <w:color w:val="auto"/>
              </w:rPr>
            </w:pPr>
            <w:r>
              <w:rPr>
                <w:rFonts w:ascii="Arial" w:cs="Arial" w:eastAsia="Arial" w:hAnsi="Arial"/>
                <w:sz w:val="18"/>
                <w:szCs w:val="18"/>
                <w:b w:val="1"/>
                <w:bCs w:val="1"/>
                <w:color w:val="auto"/>
                <w:w w:val="99"/>
              </w:rPr>
              <w:t>2020</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ind w:right="590"/>
              <w:spacing w:after="0" w:line="182" w:lineRule="exact"/>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240" w:type="dxa"/>
            <w:vAlign w:val="bottom"/>
            <w:tcBorders>
              <w:top w:val="single" w:sz="8" w:color="auto"/>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1300" w:type="dxa"/>
            <w:vAlign w:val="bottom"/>
            <w:tcBorders>
              <w:top w:val="single" w:sz="8" w:color="auto"/>
              <w:bottom w:val="single" w:sz="8" w:color="DCE2EF"/>
            </w:tcBorders>
          </w:tcPr>
          <w:p>
            <w:pPr>
              <w:spacing w:after="0" w:line="20" w:lineRule="exact"/>
              <w:rPr>
                <w:sz w:val="1"/>
                <w:szCs w:val="1"/>
                <w:color w:val="auto"/>
              </w:rPr>
            </w:pPr>
          </w:p>
        </w:tc>
        <w:tc>
          <w:tcPr>
            <w:tcW w:w="346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5720" w:type="dxa"/>
            <w:vAlign w:val="bottom"/>
            <w:gridSpan w:val="4"/>
            <w:shd w:val="clear" w:color="auto" w:fill="DCE2EF"/>
          </w:tcPr>
          <w:p>
            <w:pPr>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126.3</w:t>
            </w:r>
          </w:p>
        </w:tc>
        <w:tc>
          <w:tcPr>
            <w:tcW w:w="580" w:type="dxa"/>
            <w:vAlign w:val="bottom"/>
            <w:gridSpan w:val="3"/>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DCE2EF"/>
          </w:tcPr>
          <w:p>
            <w:pPr>
              <w:spacing w:after="0"/>
              <w:rPr>
                <w:sz w:val="19"/>
                <w:szCs w:val="19"/>
                <w:color w:val="auto"/>
              </w:rPr>
            </w:pPr>
          </w:p>
        </w:tc>
        <w:tc>
          <w:tcPr>
            <w:tcW w:w="40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30"/>
        </w:trPr>
        <w:tc>
          <w:tcPr>
            <w:tcW w:w="20" w:type="dxa"/>
            <w:vAlign w:val="bottom"/>
            <w:tcBorders>
              <w:bottom w:val="single" w:sz="8" w:color="DCE2EF"/>
            </w:tcBorders>
          </w:tcPr>
          <w:p>
            <w:pPr>
              <w:spacing w:after="0"/>
              <w:rPr>
                <w:sz w:val="19"/>
                <w:szCs w:val="19"/>
                <w:color w:val="auto"/>
              </w:rPr>
            </w:pPr>
          </w:p>
        </w:tc>
        <w:tc>
          <w:tcPr>
            <w:tcW w:w="5720" w:type="dxa"/>
            <w:vAlign w:val="bottom"/>
            <w:tcBorders>
              <w:bottom w:val="single" w:sz="8" w:color="DCE2EF"/>
            </w:tcBorders>
            <w:gridSpan w:val="4"/>
          </w:tcPr>
          <w:p>
            <w:pPr>
              <w:spacing w:after="0"/>
              <w:rPr>
                <w:sz w:val="20"/>
                <w:szCs w:val="20"/>
                <w:color w:val="auto"/>
              </w:rPr>
            </w:pPr>
            <w:r>
              <w:rPr>
                <w:rFonts w:ascii="Arial" w:cs="Arial" w:eastAsia="Arial" w:hAnsi="Arial"/>
                <w:sz w:val="18"/>
                <w:szCs w:val="18"/>
                <w:color w:val="auto"/>
              </w:rPr>
              <w:t>Income (loss) from discontinued operations, net of taxes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DCE2E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DCE2E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0" w:type="dxa"/>
            <w:vAlign w:val="bottom"/>
            <w:shd w:val="clear" w:color="auto" w:fill="DCE2EF"/>
          </w:tcPr>
          <w:p>
            <w:pPr>
              <w:spacing w:after="0"/>
              <w:rPr>
                <w:sz w:val="21"/>
                <w:szCs w:val="21"/>
                <w:color w:val="auto"/>
              </w:rPr>
            </w:pPr>
          </w:p>
        </w:tc>
        <w:tc>
          <w:tcPr>
            <w:tcW w:w="5720" w:type="dxa"/>
            <w:vAlign w:val="bottom"/>
            <w:gridSpan w:val="4"/>
            <w:shd w:val="clear" w:color="auto" w:fill="DCE2EF"/>
          </w:tcPr>
          <w:p>
            <w:pPr>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126.3</w:t>
            </w:r>
          </w:p>
        </w:tc>
        <w:tc>
          <w:tcPr>
            <w:tcW w:w="580" w:type="dxa"/>
            <w:vAlign w:val="bottom"/>
            <w:gridSpan w:val="3"/>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DCE2EF"/>
          </w:tcPr>
          <w:p>
            <w:pPr>
              <w:spacing w:after="0"/>
              <w:rPr>
                <w:sz w:val="21"/>
                <w:szCs w:val="21"/>
                <w:color w:val="auto"/>
              </w:rPr>
            </w:pPr>
          </w:p>
        </w:tc>
        <w:tc>
          <w:tcPr>
            <w:tcW w:w="40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1300" w:type="dxa"/>
            <w:vAlign w:val="bottom"/>
            <w:tcBorders>
              <w:top w:val="single" w:sz="8" w:color="DCE2EF"/>
            </w:tcBorders>
          </w:tcPr>
          <w:p>
            <w:pPr>
              <w:spacing w:after="0" w:line="20" w:lineRule="exact"/>
              <w:rPr>
                <w:sz w:val="1"/>
                <w:szCs w:val="1"/>
                <w:color w:val="auto"/>
              </w:rPr>
            </w:pPr>
          </w:p>
        </w:tc>
        <w:tc>
          <w:tcPr>
            <w:tcW w:w="346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DCE2EF"/>
          </w:tcPr>
          <w:p>
            <w:pPr>
              <w:spacing w:after="0"/>
              <w:rPr>
                <w:sz w:val="15"/>
                <w:szCs w:val="15"/>
                <w:color w:val="auto"/>
              </w:rPr>
            </w:pPr>
          </w:p>
        </w:tc>
        <w:tc>
          <w:tcPr>
            <w:tcW w:w="5720" w:type="dxa"/>
            <w:vAlign w:val="bottom"/>
            <w:gridSpan w:val="4"/>
            <w:shd w:val="clear" w:color="auto" w:fill="DCE2EF"/>
          </w:tcPr>
          <w:p>
            <w:pPr>
              <w:ind w:left="60"/>
              <w:spacing w:after="0" w:line="176" w:lineRule="exact"/>
              <w:rPr>
                <w:sz w:val="20"/>
                <w:szCs w:val="20"/>
                <w:color w:val="auto"/>
              </w:rPr>
            </w:pPr>
            <w:r>
              <w:rPr>
                <w:rFonts w:ascii="Arial" w:cs="Arial" w:eastAsia="Arial" w:hAnsi="Arial"/>
                <w:sz w:val="18"/>
                <w:szCs w:val="18"/>
                <w:b w:val="1"/>
                <w:bCs w:val="1"/>
                <w:color w:val="auto"/>
              </w:rPr>
              <w:t>Weighted-average common and common equivalent</w:t>
            </w:r>
          </w:p>
        </w:tc>
        <w:tc>
          <w:tcPr>
            <w:tcW w:w="400" w:type="dxa"/>
            <w:vAlign w:val="bottom"/>
            <w:shd w:val="clear" w:color="auto" w:fill="DCE2EF"/>
          </w:tcPr>
          <w:p>
            <w:pPr>
              <w:spacing w:after="0"/>
              <w:rPr>
                <w:sz w:val="15"/>
                <w:szCs w:val="15"/>
                <w:color w:val="auto"/>
              </w:rPr>
            </w:pPr>
          </w:p>
        </w:tc>
        <w:tc>
          <w:tcPr>
            <w:tcW w:w="128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400" w:type="dxa"/>
            <w:vAlign w:val="bottom"/>
            <w:shd w:val="clear" w:color="auto" w:fill="DCE2EF"/>
          </w:tcPr>
          <w:p>
            <w:pPr>
              <w:spacing w:after="0"/>
              <w:rPr>
                <w:sz w:val="15"/>
                <w:szCs w:val="15"/>
                <w:color w:val="auto"/>
              </w:rPr>
            </w:pPr>
          </w:p>
        </w:tc>
        <w:tc>
          <w:tcPr>
            <w:tcW w:w="136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400" w:type="dxa"/>
            <w:vAlign w:val="bottom"/>
            <w:shd w:val="clear" w:color="auto" w:fill="DCE2EF"/>
          </w:tcPr>
          <w:p>
            <w:pPr>
              <w:spacing w:after="0"/>
              <w:rPr>
                <w:sz w:val="15"/>
                <w:szCs w:val="15"/>
                <w:color w:val="auto"/>
              </w:rPr>
            </w:pPr>
          </w:p>
        </w:tc>
        <w:tc>
          <w:tcPr>
            <w:tcW w:w="1360" w:type="dxa"/>
            <w:vAlign w:val="bottom"/>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5720" w:type="dxa"/>
            <w:vAlign w:val="bottom"/>
            <w:gridSpan w:val="4"/>
            <w:shd w:val="clear" w:color="auto" w:fill="DCE2EF"/>
          </w:tcPr>
          <w:p>
            <w:pPr>
              <w:ind w:left="60"/>
              <w:spacing w:after="0"/>
              <w:rPr>
                <w:sz w:val="20"/>
                <w:szCs w:val="20"/>
                <w:color w:val="auto"/>
              </w:rPr>
            </w:pPr>
            <w:r>
              <w:rPr>
                <w:rFonts w:ascii="Arial" w:cs="Arial" w:eastAsia="Arial" w:hAnsi="Arial"/>
                <w:sz w:val="18"/>
                <w:szCs w:val="18"/>
                <w:b w:val="1"/>
                <w:bCs w:val="1"/>
                <w:color w:val="auto"/>
              </w:rPr>
              <w:t>shares outstanding — Basic</w:t>
            </w:r>
          </w:p>
        </w:tc>
        <w:tc>
          <w:tcPr>
            <w:tcW w:w="400" w:type="dxa"/>
            <w:vAlign w:val="bottom"/>
            <w:shd w:val="clear" w:color="auto" w:fill="DCE2EF"/>
          </w:tcPr>
          <w:p>
            <w:pPr>
              <w:spacing w:after="0"/>
              <w:rPr>
                <w:sz w:val="19"/>
                <w:szCs w:val="19"/>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67.4</w:t>
            </w:r>
          </w:p>
        </w:tc>
        <w:tc>
          <w:tcPr>
            <w:tcW w:w="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Effect of dilutive securities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5480" w:type="dxa"/>
            <w:vAlign w:val="bottom"/>
            <w:gridSpan w:val="3"/>
            <w:shd w:val="clear" w:color="auto" w:fill="DCE2EF"/>
          </w:tcPr>
          <w:p>
            <w:pPr>
              <w:ind w:left="100"/>
              <w:spacing w:after="0"/>
              <w:rPr>
                <w:sz w:val="20"/>
                <w:szCs w:val="20"/>
                <w:color w:val="auto"/>
              </w:rPr>
            </w:pPr>
            <w:r>
              <w:rPr>
                <w:rFonts w:ascii="Arial" w:cs="Arial" w:eastAsia="Arial" w:hAnsi="Arial"/>
                <w:sz w:val="18"/>
                <w:szCs w:val="18"/>
                <w:color w:val="auto"/>
              </w:rPr>
              <w:t>RSUs</w:t>
            </w:r>
          </w:p>
        </w:tc>
        <w:tc>
          <w:tcPr>
            <w:tcW w:w="400" w:type="dxa"/>
            <w:vAlign w:val="bottom"/>
            <w:shd w:val="clear" w:color="auto" w:fill="DCE2EF"/>
          </w:tcPr>
          <w:p>
            <w:pPr>
              <w:spacing w:after="0"/>
              <w:rPr>
                <w:sz w:val="19"/>
                <w:szCs w:val="19"/>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80" w:type="dxa"/>
            <w:vAlign w:val="bottom"/>
            <w:gridSpan w:val="3"/>
          </w:tcPr>
          <w:p>
            <w:pPr>
              <w:ind w:left="100"/>
              <w:spacing w:after="0"/>
              <w:rPr>
                <w:sz w:val="20"/>
                <w:szCs w:val="20"/>
                <w:color w:val="auto"/>
              </w:rPr>
            </w:pPr>
            <w:r>
              <w:rPr>
                <w:rFonts w:ascii="Arial" w:cs="Arial" w:eastAsia="Arial" w:hAnsi="Arial"/>
                <w:sz w:val="18"/>
                <w:szCs w:val="18"/>
                <w:color w:val="auto"/>
              </w:rPr>
              <w:t>Stock options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5480" w:type="dxa"/>
            <w:vAlign w:val="bottom"/>
            <w:gridSpan w:val="3"/>
            <w:shd w:val="clear" w:color="auto" w:fill="DCE2EF"/>
          </w:tcPr>
          <w:p>
            <w:pPr>
              <w:ind w:left="100"/>
              <w:spacing w:after="0"/>
              <w:rPr>
                <w:sz w:val="20"/>
                <w:szCs w:val="20"/>
                <w:color w:val="auto"/>
              </w:rPr>
            </w:pPr>
            <w:r>
              <w:rPr>
                <w:rFonts w:ascii="Arial" w:cs="Arial" w:eastAsia="Arial" w:hAnsi="Arial"/>
                <w:sz w:val="18"/>
                <w:szCs w:val="18"/>
                <w:color w:val="auto"/>
              </w:rPr>
              <w:t>Performance shares</w:t>
            </w:r>
          </w:p>
        </w:tc>
        <w:tc>
          <w:tcPr>
            <w:tcW w:w="400" w:type="dxa"/>
            <w:vAlign w:val="bottom"/>
            <w:tcBorders>
              <w:bottom w:val="single" w:sz="8" w:color="auto"/>
            </w:tcBorders>
            <w:shd w:val="clear" w:color="auto" w:fill="DCE2EF"/>
          </w:tcPr>
          <w:p>
            <w:pPr>
              <w:spacing w:after="0"/>
              <w:rPr>
                <w:sz w:val="19"/>
                <w:szCs w:val="19"/>
                <w:color w:val="auto"/>
              </w:rPr>
            </w:pPr>
          </w:p>
        </w:tc>
        <w:tc>
          <w:tcPr>
            <w:tcW w:w="12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auto"/>
            </w:tcBorders>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400" w:type="dxa"/>
            <w:vAlign w:val="bottom"/>
            <w:tcBorders>
              <w:bottom w:val="single" w:sz="8" w:color="auto"/>
            </w:tcBorders>
            <w:shd w:val="clear" w:color="auto" w:fill="DCE2EF"/>
          </w:tcPr>
          <w:p>
            <w:pPr>
              <w:spacing w:after="0"/>
              <w:rPr>
                <w:sz w:val="19"/>
                <w:szCs w:val="19"/>
                <w:color w:val="auto"/>
              </w:rPr>
            </w:pPr>
          </w:p>
        </w:tc>
        <w:tc>
          <w:tcPr>
            <w:tcW w:w="13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DCE2EF"/>
          </w:tcPr>
          <w:p>
            <w:pPr>
              <w:spacing w:after="0"/>
              <w:rPr>
                <w:sz w:val="19"/>
                <w:szCs w:val="19"/>
                <w:color w:val="auto"/>
              </w:rPr>
            </w:pPr>
          </w:p>
        </w:tc>
        <w:tc>
          <w:tcPr>
            <w:tcW w:w="400" w:type="dxa"/>
            <w:vAlign w:val="bottom"/>
            <w:tcBorders>
              <w:bottom w:val="single" w:sz="8" w:color="auto"/>
            </w:tcBorders>
            <w:shd w:val="clear" w:color="auto" w:fill="DCE2EF"/>
          </w:tcPr>
          <w:p>
            <w:pPr>
              <w:spacing w:after="0"/>
              <w:rPr>
                <w:sz w:val="19"/>
                <w:szCs w:val="19"/>
                <w:color w:val="auto"/>
              </w:rPr>
            </w:pPr>
          </w:p>
        </w:tc>
        <w:tc>
          <w:tcPr>
            <w:tcW w:w="13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20" w:type="dxa"/>
            <w:vAlign w:val="bottom"/>
            <w:gridSpan w:val="4"/>
          </w:tcPr>
          <w:p>
            <w:pPr>
              <w:ind w:left="60"/>
              <w:spacing w:after="0" w:line="156" w:lineRule="exact"/>
              <w:rPr>
                <w:sz w:val="20"/>
                <w:szCs w:val="20"/>
                <w:color w:val="auto"/>
              </w:rPr>
            </w:pPr>
            <w:r>
              <w:rPr>
                <w:rFonts w:ascii="Arial" w:cs="Arial" w:eastAsia="Arial" w:hAnsi="Arial"/>
                <w:sz w:val="18"/>
                <w:szCs w:val="18"/>
                <w:b w:val="1"/>
                <w:bCs w:val="1"/>
                <w:color w:val="auto"/>
              </w:rPr>
              <w:t>Weighted-average common and common equivalent</w:t>
            </w:r>
          </w:p>
        </w:tc>
        <w:tc>
          <w:tcPr>
            <w:tcW w:w="40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4"/>
          </w:tcPr>
          <w:p>
            <w:pPr>
              <w:ind w:left="60"/>
              <w:spacing w:after="0" w:line="202" w:lineRule="exact"/>
              <w:rPr>
                <w:sz w:val="20"/>
                <w:szCs w:val="20"/>
                <w:color w:val="auto"/>
              </w:rPr>
            </w:pPr>
            <w:r>
              <w:rPr>
                <w:rFonts w:ascii="Arial" w:cs="Arial" w:eastAsia="Arial" w:hAnsi="Arial"/>
                <w:sz w:val="18"/>
                <w:szCs w:val="18"/>
                <w:b w:val="1"/>
                <w:bCs w:val="1"/>
                <w:color w:val="auto"/>
              </w:rPr>
              <w:t>shares outstanding — Diluted</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DCE2EF"/>
            </w:tcBorders>
          </w:tcPr>
          <w:p>
            <w:pPr>
              <w:spacing w:after="0" w:line="20" w:lineRule="exact"/>
              <w:rPr>
                <w:sz w:val="1"/>
                <w:szCs w:val="1"/>
                <w:color w:val="auto"/>
              </w:rPr>
            </w:pPr>
          </w:p>
        </w:tc>
        <w:tc>
          <w:tcPr>
            <w:tcW w:w="720" w:type="dxa"/>
            <w:vAlign w:val="bottom"/>
            <w:tcBorders>
              <w:bottom w:val="single" w:sz="8" w:color="DCE2EF"/>
            </w:tcBorders>
          </w:tcPr>
          <w:p>
            <w:pPr>
              <w:spacing w:after="0" w:line="20" w:lineRule="exact"/>
              <w:rPr>
                <w:sz w:val="1"/>
                <w:szCs w:val="1"/>
                <w:color w:val="auto"/>
              </w:rPr>
            </w:pPr>
          </w:p>
        </w:tc>
        <w:tc>
          <w:tcPr>
            <w:tcW w:w="1300" w:type="dxa"/>
            <w:vAlign w:val="bottom"/>
            <w:tcBorders>
              <w:bottom w:val="single" w:sz="8" w:color="DCE2EF"/>
            </w:tcBorders>
          </w:tcPr>
          <w:p>
            <w:pPr>
              <w:spacing w:after="0" w:line="20" w:lineRule="exact"/>
              <w:rPr>
                <w:sz w:val="1"/>
                <w:szCs w:val="1"/>
                <w:color w:val="auto"/>
              </w:rPr>
            </w:pPr>
          </w:p>
        </w:tc>
        <w:tc>
          <w:tcPr>
            <w:tcW w:w="346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720" w:type="dxa"/>
            <w:vAlign w:val="bottom"/>
            <w:shd w:val="clear" w:color="auto" w:fill="DCE2EF"/>
          </w:tcPr>
          <w:p>
            <w:pPr>
              <w:spacing w:after="0"/>
              <w:rPr>
                <w:sz w:val="19"/>
                <w:szCs w:val="19"/>
                <w:color w:val="auto"/>
              </w:rPr>
            </w:pPr>
          </w:p>
        </w:tc>
        <w:tc>
          <w:tcPr>
            <w:tcW w:w="1300" w:type="dxa"/>
            <w:vAlign w:val="bottom"/>
            <w:shd w:val="clear" w:color="auto" w:fill="DCE2EF"/>
          </w:tcPr>
          <w:p>
            <w:pPr>
              <w:spacing w:after="0"/>
              <w:rPr>
                <w:sz w:val="19"/>
                <w:szCs w:val="19"/>
                <w:color w:val="auto"/>
              </w:rPr>
            </w:pPr>
          </w:p>
        </w:tc>
        <w:tc>
          <w:tcPr>
            <w:tcW w:w="346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28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36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36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gridSpan w:val="4"/>
          </w:tcPr>
          <w:p>
            <w:pPr>
              <w:spacing w:after="0"/>
              <w:rPr>
                <w:sz w:val="20"/>
                <w:szCs w:val="20"/>
                <w:color w:val="auto"/>
              </w:rPr>
            </w:pPr>
            <w:r>
              <w:rPr>
                <w:rFonts w:ascii="Arial" w:cs="Arial" w:eastAsia="Arial" w:hAnsi="Arial"/>
                <w:sz w:val="18"/>
                <w:szCs w:val="18"/>
                <w:b w:val="1"/>
                <w:bCs w:val="1"/>
                <w:color w:val="auto"/>
              </w:rPr>
              <w:t>Net income per common share — Basic</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5480" w:type="dxa"/>
            <w:vAlign w:val="bottom"/>
            <w:gridSpan w:val="3"/>
            <w:shd w:val="clear" w:color="auto" w:fill="DCE2EF"/>
          </w:tcPr>
          <w:p>
            <w:pPr>
              <w:ind w:left="10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1.87</w:t>
            </w:r>
          </w:p>
        </w:tc>
        <w:tc>
          <w:tcPr>
            <w:tcW w:w="580" w:type="dxa"/>
            <w:vAlign w:val="bottom"/>
            <w:gridSpan w:val="3"/>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DCE2EF"/>
          </w:tcPr>
          <w:p>
            <w:pPr>
              <w:spacing w:after="0"/>
              <w:rPr>
                <w:sz w:val="19"/>
                <w:szCs w:val="19"/>
                <w:color w:val="auto"/>
              </w:rPr>
            </w:pPr>
          </w:p>
        </w:tc>
        <w:tc>
          <w:tcPr>
            <w:tcW w:w="40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20" w:type="dxa"/>
            <w:vAlign w:val="bottom"/>
            <w:tcBorders>
              <w:bottom w:val="single" w:sz="8" w:color="DCE2EF"/>
            </w:tcBorders>
          </w:tcPr>
          <w:p>
            <w:pPr>
              <w:spacing w:after="0"/>
              <w:rPr>
                <w:sz w:val="19"/>
                <w:szCs w:val="19"/>
                <w:color w:val="auto"/>
              </w:rPr>
            </w:pPr>
          </w:p>
        </w:tc>
        <w:tc>
          <w:tcPr>
            <w:tcW w:w="240" w:type="dxa"/>
            <w:vAlign w:val="bottom"/>
            <w:tcBorders>
              <w:bottom w:val="single" w:sz="8" w:color="DCE2EF"/>
            </w:tcBorders>
          </w:tcPr>
          <w:p>
            <w:pPr>
              <w:spacing w:after="0"/>
              <w:rPr>
                <w:sz w:val="19"/>
                <w:szCs w:val="19"/>
                <w:color w:val="auto"/>
              </w:rPr>
            </w:pPr>
          </w:p>
        </w:tc>
        <w:tc>
          <w:tcPr>
            <w:tcW w:w="5480" w:type="dxa"/>
            <w:vAlign w:val="bottom"/>
            <w:tcBorders>
              <w:bottom w:val="single" w:sz="8" w:color="DCE2EF"/>
            </w:tcBorders>
            <w:gridSpan w:val="3"/>
          </w:tcPr>
          <w:p>
            <w:pPr>
              <w:ind w:left="100"/>
              <w:spacing w:after="0"/>
              <w:rPr>
                <w:sz w:val="20"/>
                <w:szCs w:val="20"/>
                <w:color w:val="auto"/>
              </w:rPr>
            </w:pPr>
            <w:r>
              <w:rPr>
                <w:rFonts w:ascii="Arial" w:cs="Arial" w:eastAsia="Arial" w:hAnsi="Arial"/>
                <w:sz w:val="18"/>
                <w:szCs w:val="18"/>
                <w:color w:val="auto"/>
              </w:rPr>
              <w:t>Income from discontinued operations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DCE2E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CE2E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DCE2EF"/>
          </w:tcPr>
          <w:p>
            <w:pPr>
              <w:spacing w:after="0"/>
              <w:rPr>
                <w:sz w:val="21"/>
                <w:szCs w:val="21"/>
                <w:color w:val="auto"/>
              </w:rPr>
            </w:pPr>
          </w:p>
        </w:tc>
        <w:tc>
          <w:tcPr>
            <w:tcW w:w="240" w:type="dxa"/>
            <w:vAlign w:val="bottom"/>
            <w:shd w:val="clear" w:color="auto" w:fill="DCE2EF"/>
          </w:tcPr>
          <w:p>
            <w:pPr>
              <w:spacing w:after="0"/>
              <w:rPr>
                <w:sz w:val="21"/>
                <w:szCs w:val="21"/>
                <w:color w:val="auto"/>
              </w:rPr>
            </w:pPr>
          </w:p>
        </w:tc>
        <w:tc>
          <w:tcPr>
            <w:tcW w:w="5480" w:type="dxa"/>
            <w:vAlign w:val="bottom"/>
            <w:gridSpan w:val="3"/>
            <w:shd w:val="clear" w:color="auto" w:fill="DCE2EF"/>
          </w:tcPr>
          <w:p>
            <w:pPr>
              <w:ind w:left="10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1.87</w:t>
            </w:r>
          </w:p>
        </w:tc>
        <w:tc>
          <w:tcPr>
            <w:tcW w:w="580" w:type="dxa"/>
            <w:vAlign w:val="bottom"/>
            <w:gridSpan w:val="3"/>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DCE2EF"/>
          </w:tcPr>
          <w:p>
            <w:pPr>
              <w:spacing w:after="0"/>
              <w:rPr>
                <w:sz w:val="21"/>
                <w:szCs w:val="21"/>
                <w:color w:val="auto"/>
              </w:rPr>
            </w:pPr>
          </w:p>
        </w:tc>
        <w:tc>
          <w:tcPr>
            <w:tcW w:w="40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1300" w:type="dxa"/>
            <w:vAlign w:val="bottom"/>
            <w:tcBorders>
              <w:top w:val="single" w:sz="8" w:color="DCE2EF"/>
            </w:tcBorders>
          </w:tcPr>
          <w:p>
            <w:pPr>
              <w:spacing w:after="0" w:line="20" w:lineRule="exact"/>
              <w:rPr>
                <w:sz w:val="1"/>
                <w:szCs w:val="1"/>
                <w:color w:val="auto"/>
              </w:rPr>
            </w:pPr>
          </w:p>
        </w:tc>
        <w:tc>
          <w:tcPr>
            <w:tcW w:w="346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5720" w:type="dxa"/>
            <w:vAlign w:val="bottom"/>
            <w:gridSpan w:val="4"/>
            <w:shd w:val="clear" w:color="auto" w:fill="DCE2EF"/>
          </w:tcPr>
          <w:p>
            <w:pPr>
              <w:spacing w:after="0"/>
              <w:rPr>
                <w:sz w:val="20"/>
                <w:szCs w:val="20"/>
                <w:color w:val="auto"/>
              </w:rPr>
            </w:pPr>
            <w:r>
              <w:rPr>
                <w:rFonts w:ascii="Arial" w:cs="Arial" w:eastAsia="Arial" w:hAnsi="Arial"/>
                <w:sz w:val="18"/>
                <w:szCs w:val="18"/>
                <w:b w:val="1"/>
                <w:bCs w:val="1"/>
                <w:color w:val="auto"/>
              </w:rPr>
              <w:t>Net income per common share — Diluted</w:t>
            </w:r>
          </w:p>
        </w:tc>
        <w:tc>
          <w:tcPr>
            <w:tcW w:w="400" w:type="dxa"/>
            <w:vAlign w:val="bottom"/>
            <w:shd w:val="clear" w:color="auto" w:fill="DCE2EF"/>
          </w:tcPr>
          <w:p>
            <w:pPr>
              <w:spacing w:after="0"/>
              <w:rPr>
                <w:sz w:val="19"/>
                <w:szCs w:val="19"/>
                <w:color w:val="auto"/>
              </w:rPr>
            </w:pPr>
          </w:p>
        </w:tc>
        <w:tc>
          <w:tcPr>
            <w:tcW w:w="128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36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36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80" w:type="dxa"/>
            <w:vAlign w:val="bottom"/>
            <w:gridSpan w:val="3"/>
          </w:tcPr>
          <w:p>
            <w:pPr>
              <w:ind w:left="10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1.86</w:t>
            </w:r>
          </w:p>
        </w:tc>
        <w:tc>
          <w:tcPr>
            <w:tcW w:w="58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5480" w:type="dxa"/>
            <w:vAlign w:val="bottom"/>
            <w:gridSpan w:val="3"/>
            <w:shd w:val="clear" w:color="auto" w:fill="DCE2EF"/>
          </w:tcPr>
          <w:p>
            <w:pPr>
              <w:ind w:left="100"/>
              <w:spacing w:after="0"/>
              <w:rPr>
                <w:sz w:val="20"/>
                <w:szCs w:val="20"/>
                <w:color w:val="auto"/>
              </w:rPr>
            </w:pPr>
            <w:r>
              <w:rPr>
                <w:rFonts w:ascii="Arial" w:cs="Arial" w:eastAsia="Arial" w:hAnsi="Arial"/>
                <w:sz w:val="18"/>
                <w:szCs w:val="18"/>
                <w:color w:val="auto"/>
              </w:rPr>
              <w:t>Income from discontinued operations</w:t>
            </w:r>
          </w:p>
        </w:tc>
        <w:tc>
          <w:tcPr>
            <w:tcW w:w="400" w:type="dxa"/>
            <w:vAlign w:val="bottom"/>
            <w:tcBorders>
              <w:bottom w:val="single" w:sz="8" w:color="auto"/>
            </w:tcBorders>
            <w:shd w:val="clear" w:color="auto" w:fill="DCE2EF"/>
          </w:tcPr>
          <w:p>
            <w:pPr>
              <w:spacing w:after="0"/>
              <w:rPr>
                <w:sz w:val="19"/>
                <w:szCs w:val="19"/>
                <w:color w:val="auto"/>
              </w:rPr>
            </w:pPr>
          </w:p>
        </w:tc>
        <w:tc>
          <w:tcPr>
            <w:tcW w:w="12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400" w:type="dxa"/>
            <w:vAlign w:val="bottom"/>
            <w:tcBorders>
              <w:bottom w:val="single" w:sz="8" w:color="auto"/>
            </w:tcBorders>
            <w:shd w:val="clear" w:color="auto" w:fill="DCE2EF"/>
          </w:tcPr>
          <w:p>
            <w:pPr>
              <w:spacing w:after="0"/>
              <w:rPr>
                <w:sz w:val="19"/>
                <w:szCs w:val="19"/>
                <w:color w:val="auto"/>
              </w:rPr>
            </w:pPr>
          </w:p>
        </w:tc>
        <w:tc>
          <w:tcPr>
            <w:tcW w:w="13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CE2EF"/>
          </w:tcPr>
          <w:p>
            <w:pPr>
              <w:spacing w:after="0"/>
              <w:rPr>
                <w:sz w:val="19"/>
                <w:szCs w:val="19"/>
                <w:color w:val="auto"/>
              </w:rPr>
            </w:pPr>
          </w:p>
        </w:tc>
        <w:tc>
          <w:tcPr>
            <w:tcW w:w="400" w:type="dxa"/>
            <w:vAlign w:val="bottom"/>
            <w:tcBorders>
              <w:bottom w:val="single" w:sz="8" w:color="auto"/>
            </w:tcBorders>
            <w:shd w:val="clear" w:color="auto" w:fill="DCE2EF"/>
          </w:tcPr>
          <w:p>
            <w:pPr>
              <w:spacing w:after="0"/>
              <w:rPr>
                <w:sz w:val="19"/>
                <w:szCs w:val="19"/>
                <w:color w:val="auto"/>
              </w:rPr>
            </w:pPr>
          </w:p>
        </w:tc>
        <w:tc>
          <w:tcPr>
            <w:tcW w:w="13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80" w:type="dxa"/>
            <w:vAlign w:val="bottom"/>
            <w:gridSpan w:val="3"/>
          </w:tcPr>
          <w:p>
            <w:pPr>
              <w:ind w:left="10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7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8000" w:type="dxa"/>
            <w:vAlign w:val="bottom"/>
            <w:gridSpan w:val="10"/>
          </w:tcPr>
          <w:p>
            <w:pPr>
              <w:spacing w:after="0"/>
              <w:rPr>
                <w:sz w:val="20"/>
                <w:szCs w:val="20"/>
                <w:color w:val="auto"/>
              </w:rPr>
            </w:pPr>
            <w:r>
              <w:rPr>
                <w:rFonts w:ascii="Arial" w:cs="Arial" w:eastAsia="Arial" w:hAnsi="Arial"/>
                <w:sz w:val="18"/>
                <w:szCs w:val="18"/>
                <w:b w:val="1"/>
                <w:bCs w:val="1"/>
                <w:color w:val="0046AD"/>
              </w:rPr>
              <w:t>Anti-Dilutive Outstanding Stock Awards Issued Under Share-Based Compensation Plans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8"/>
                <w:szCs w:val="18"/>
                <w:b w:val="1"/>
                <w:bCs w:val="1"/>
                <w:color w:val="auto"/>
                <w:w w:val="99"/>
              </w:rPr>
              <w:t>Years Ended October 31,</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8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5"/>
                <w:szCs w:val="15"/>
                <w:color w:val="auto"/>
              </w:rPr>
            </w:pPr>
          </w:p>
        </w:tc>
        <w:tc>
          <w:tcPr>
            <w:tcW w:w="1280" w:type="dxa"/>
            <w:vAlign w:val="bottom"/>
          </w:tcPr>
          <w:p>
            <w:pPr>
              <w:jc w:val="right"/>
              <w:ind w:right="510"/>
              <w:spacing w:after="0" w:line="182"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center"/>
              <w:ind w:right="310"/>
              <w:spacing w:after="0" w:line="182" w:lineRule="exact"/>
              <w:rPr>
                <w:sz w:val="20"/>
                <w:szCs w:val="20"/>
                <w:color w:val="auto"/>
              </w:rPr>
            </w:pPr>
            <w:r>
              <w:rPr>
                <w:rFonts w:ascii="Arial" w:cs="Arial" w:eastAsia="Arial" w:hAnsi="Arial"/>
                <w:sz w:val="18"/>
                <w:szCs w:val="18"/>
                <w:b w:val="1"/>
                <w:bCs w:val="1"/>
                <w:color w:val="auto"/>
                <w:w w:val="99"/>
              </w:rPr>
              <w:t>2020</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ind w:right="590"/>
              <w:spacing w:after="0" w:line="182" w:lineRule="exact"/>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1300" w:type="dxa"/>
            <w:vAlign w:val="bottom"/>
            <w:tcBorders>
              <w:bottom w:val="single" w:sz="8" w:color="DCE2EF"/>
            </w:tcBorders>
          </w:tcPr>
          <w:p>
            <w:pPr>
              <w:spacing w:after="0" w:line="20" w:lineRule="exact"/>
              <w:rPr>
                <w:sz w:val="1"/>
                <w:szCs w:val="1"/>
                <w:color w:val="auto"/>
              </w:rPr>
            </w:pPr>
          </w:p>
        </w:tc>
        <w:tc>
          <w:tcPr>
            <w:tcW w:w="346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5720" w:type="dxa"/>
            <w:vAlign w:val="bottom"/>
            <w:gridSpan w:val="4"/>
            <w:shd w:val="clear" w:color="auto" w:fill="DCE2EF"/>
          </w:tcPr>
          <w:p>
            <w:pPr>
              <w:ind w:left="80"/>
              <w:spacing w:after="0"/>
              <w:rPr>
                <w:sz w:val="20"/>
                <w:szCs w:val="20"/>
                <w:color w:val="auto"/>
              </w:rPr>
            </w:pPr>
            <w:r>
              <w:rPr>
                <w:rFonts w:ascii="Arial" w:cs="Arial" w:eastAsia="Arial" w:hAnsi="Arial"/>
                <w:sz w:val="18"/>
                <w:szCs w:val="18"/>
                <w:b w:val="1"/>
                <w:bCs w:val="1"/>
                <w:color w:val="auto"/>
              </w:rPr>
              <w:t>Anti-dilutive</w:t>
            </w:r>
          </w:p>
        </w:tc>
        <w:tc>
          <w:tcPr>
            <w:tcW w:w="400" w:type="dxa"/>
            <w:vAlign w:val="bottom"/>
            <w:shd w:val="clear" w:color="auto" w:fill="DCE2EF"/>
          </w:tcPr>
          <w:p>
            <w:pPr>
              <w:spacing w:after="0"/>
              <w:rPr>
                <w:sz w:val="19"/>
                <w:szCs w:val="19"/>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b w:val="1"/>
          <w:bCs w:val="1"/>
          <w:color w:val="0046AD"/>
        </w:rPr>
        <w:t>7. 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80" w:type="dxa"/>
            <w:vAlign w:val="bottom"/>
            <w:gridSpan w:val="3"/>
          </w:tcPr>
          <w:p>
            <w:pPr>
              <w:spacing w:after="0"/>
              <w:rPr>
                <w:sz w:val="20"/>
                <w:szCs w:val="20"/>
                <w:color w:val="auto"/>
              </w:rPr>
            </w:pPr>
            <w:r>
              <w:rPr>
                <w:rFonts w:ascii="Arial" w:cs="Arial" w:eastAsia="Arial" w:hAnsi="Arial"/>
                <w:sz w:val="18"/>
                <w:szCs w:val="18"/>
                <w:b w:val="1"/>
                <w:bCs w:val="1"/>
                <w:color w:val="0046AD"/>
              </w:rPr>
              <w:t>Fair Value Hierarchy of Our Financial Instruments</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680" w:type="dxa"/>
            <w:vAlign w:val="bottom"/>
            <w:gridSpan w:val="3"/>
          </w:tcPr>
          <w:p>
            <w:pPr>
              <w:spacing w:after="0"/>
              <w:rPr>
                <w:sz w:val="20"/>
                <w:szCs w:val="20"/>
                <w:color w:val="auto"/>
              </w:rPr>
            </w:pPr>
            <w:r>
              <w:rPr>
                <w:rFonts w:ascii="Arial" w:cs="Arial" w:eastAsia="Arial" w:hAnsi="Arial"/>
                <w:sz w:val="18"/>
                <w:szCs w:val="18"/>
                <w:b w:val="1"/>
                <w:bCs w:val="1"/>
                <w:i w:val="1"/>
                <w:iCs w:val="1"/>
                <w:color w:val="0046AD"/>
              </w:rPr>
              <w:t>Financial Assets and Liabilities Measured at Fair Value on a Recurring Basis</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Fair Value</w:t>
            </w:r>
          </w:p>
        </w:tc>
        <w:tc>
          <w:tcPr>
            <w:tcW w:w="3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As of October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54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98"/>
              </w:rPr>
              <w:t>Hierarchy</w:t>
            </w: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5940" w:type="dxa"/>
            <w:vAlign w:val="bottom"/>
            <w:tcBorders>
              <w:bottom w:val="single" w:sz="8" w:color="DCE2E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6660" w:type="dxa"/>
            <w:vAlign w:val="bottom"/>
            <w:gridSpan w:val="2"/>
            <w:shd w:val="clear" w:color="auto" w:fill="DCE2EF"/>
          </w:tcPr>
          <w:p>
            <w:pPr>
              <w:spacing w:after="0" w:line="223"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(1)</w:t>
            </w:r>
          </w:p>
        </w:tc>
        <w:tc>
          <w:tcPr>
            <w:tcW w:w="142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DCE2EF"/>
          </w:tcPr>
          <w:p>
            <w:pPr>
              <w:spacing w:after="0"/>
              <w:rPr>
                <w:sz w:val="19"/>
                <w:szCs w:val="19"/>
                <w:color w:val="auto"/>
              </w:rPr>
            </w:pP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394.2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60" w:type="dxa"/>
            <w:vAlign w:val="bottom"/>
            <w:gridSpan w:val="2"/>
          </w:tcPr>
          <w:p>
            <w:pPr>
              <w:spacing w:after="0" w:line="230" w:lineRule="exact"/>
              <w:rPr>
                <w:sz w:val="20"/>
                <w:szCs w:val="20"/>
                <w:color w:val="auto"/>
              </w:rPr>
            </w:pPr>
            <w:r>
              <w:rPr>
                <w:rFonts w:ascii="Arial" w:cs="Arial" w:eastAsia="Arial" w:hAnsi="Arial"/>
                <w:sz w:val="18"/>
                <w:szCs w:val="18"/>
                <w:color w:val="auto"/>
              </w:rPr>
              <w:t>Insurance deposits</w:t>
            </w:r>
            <w:r>
              <w:rPr>
                <w:rFonts w:ascii="Arial" w:cs="Arial" w:eastAsia="Arial" w:hAnsi="Arial"/>
                <w:sz w:val="23"/>
                <w:szCs w:val="23"/>
                <w:color w:val="auto"/>
                <w:vertAlign w:val="superscript"/>
              </w:rPr>
              <w:t>(2)</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6660" w:type="dxa"/>
            <w:vAlign w:val="bottom"/>
            <w:gridSpan w:val="2"/>
            <w:shd w:val="clear" w:color="auto" w:fill="DCE2EF"/>
          </w:tcPr>
          <w:p>
            <w:pPr>
              <w:spacing w:after="0" w:line="230" w:lineRule="exact"/>
              <w:rPr>
                <w:sz w:val="20"/>
                <w:szCs w:val="20"/>
                <w:color w:val="auto"/>
              </w:rPr>
            </w:pPr>
            <w:r>
              <w:rPr>
                <w:rFonts w:ascii="Arial" w:cs="Arial" w:eastAsia="Arial" w:hAnsi="Arial"/>
                <w:sz w:val="18"/>
                <w:szCs w:val="18"/>
                <w:color w:val="auto"/>
              </w:rPr>
              <w:t>Assets held in funded deferred compensation plan</w:t>
            </w:r>
            <w:r>
              <w:rPr>
                <w:rFonts w:ascii="Arial" w:cs="Arial" w:eastAsia="Arial" w:hAnsi="Arial"/>
                <w:sz w:val="23"/>
                <w:szCs w:val="23"/>
                <w:color w:val="auto"/>
                <w:vertAlign w:val="superscript"/>
              </w:rPr>
              <w:t>(3)</w:t>
            </w:r>
          </w:p>
        </w:tc>
        <w:tc>
          <w:tcPr>
            <w:tcW w:w="142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60" w:type="dxa"/>
            <w:vAlign w:val="bottom"/>
            <w:gridSpan w:val="2"/>
          </w:tcPr>
          <w:p>
            <w:pPr>
              <w:spacing w:after="0" w:line="230" w:lineRule="exact"/>
              <w:rPr>
                <w:sz w:val="20"/>
                <w:szCs w:val="20"/>
                <w:color w:val="auto"/>
              </w:rPr>
            </w:pPr>
            <w:r>
              <w:rPr>
                <w:rFonts w:ascii="Arial" w:cs="Arial" w:eastAsia="Arial" w:hAnsi="Arial"/>
                <w:sz w:val="18"/>
                <w:szCs w:val="18"/>
                <w:color w:val="auto"/>
              </w:rPr>
              <w:t>Credit facility</w:t>
            </w:r>
            <w:r>
              <w:rPr>
                <w:rFonts w:ascii="Arial" w:cs="Arial" w:eastAsia="Arial" w:hAnsi="Arial"/>
                <w:sz w:val="23"/>
                <w:szCs w:val="23"/>
                <w:color w:val="auto"/>
                <w:vertAlign w:val="superscript"/>
              </w:rPr>
              <w:t>(4)</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725.3</w:t>
            </w: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6660" w:type="dxa"/>
            <w:vAlign w:val="bottom"/>
            <w:gridSpan w:val="2"/>
            <w:shd w:val="clear" w:color="auto" w:fill="DCE2EF"/>
          </w:tcPr>
          <w:p>
            <w:pPr>
              <w:spacing w:after="0" w:line="230" w:lineRule="exact"/>
              <w:rPr>
                <w:sz w:val="20"/>
                <w:szCs w:val="20"/>
                <w:color w:val="auto"/>
              </w:rPr>
            </w:pPr>
            <w:r>
              <w:rPr>
                <w:rFonts w:ascii="Arial" w:cs="Arial" w:eastAsia="Arial" w:hAnsi="Arial"/>
                <w:sz w:val="18"/>
                <w:szCs w:val="18"/>
                <w:color w:val="auto"/>
              </w:rPr>
              <w:t>Interest rate swap liabilities</w:t>
            </w:r>
            <w:r>
              <w:rPr>
                <w:rFonts w:ascii="Arial" w:cs="Arial" w:eastAsia="Arial" w:hAnsi="Arial"/>
                <w:sz w:val="23"/>
                <w:szCs w:val="23"/>
                <w:color w:val="auto"/>
                <w:vertAlign w:val="superscript"/>
              </w:rPr>
              <w:t>(5)</w:t>
            </w:r>
          </w:p>
        </w:tc>
        <w:tc>
          <w:tcPr>
            <w:tcW w:w="142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Cash and cash equivalents are stated at nominal value, which equals fair value.</w:t>
      </w:r>
    </w:p>
    <w:p>
      <w:pPr>
        <w:spacing w:after="0" w:line="102" w:lineRule="exact"/>
        <w:rPr>
          <w:rFonts w:ascii="Arial" w:cs="Arial" w:eastAsia="Arial" w:hAnsi="Arial"/>
          <w:sz w:val="21"/>
          <w:szCs w:val="21"/>
          <w:color w:val="auto"/>
          <w:vertAlign w:val="superscript"/>
        </w:rPr>
      </w:pPr>
    </w:p>
    <w:p>
      <w:pPr>
        <w:jc w:val="both"/>
        <w:ind w:left="260" w:hanging="252"/>
        <w:spacing w:after="0" w:line="225" w:lineRule="auto"/>
        <w:tabs>
          <w:tab w:leader="none" w:pos="204"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Represents restricted deposits that are used to collateralize our insurance obligations and are stated at nominal value, which equals fair value. These insurance deposits are included in “Other noncurrent assets” on the accompanying Consolidated Balance Sheets. See Note 10, “Insurance,” for further information.</w:t>
      </w:r>
    </w:p>
    <w:p>
      <w:pPr>
        <w:spacing w:after="0" w:line="103" w:lineRule="exact"/>
        <w:rPr>
          <w:rFonts w:ascii="Arial" w:cs="Arial" w:eastAsia="Arial" w:hAnsi="Arial"/>
          <w:sz w:val="21"/>
          <w:szCs w:val="21"/>
          <w:color w:val="auto"/>
          <w:vertAlign w:val="superscript"/>
        </w:rPr>
      </w:pPr>
    </w:p>
    <w:p>
      <w:pPr>
        <w:ind w:left="260" w:hanging="252"/>
        <w:spacing w:after="0" w:line="225" w:lineRule="auto"/>
        <w:tabs>
          <w:tab w:leader="none" w:pos="190"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Represents investments held in Rabbi trusts associated with two of our deferred compensation plans, which we include in “Other noncurrent assets” on the accompanying Consolidated Balance Sheets. The fair value of the assets held in the funded deferred compensation plan is based on quoted market prices. See Note 12, “Employee Benefit Plans,” for further information.</w:t>
      </w:r>
    </w:p>
    <w:p>
      <w:pPr>
        <w:spacing w:after="0" w:line="103" w:lineRule="exact"/>
        <w:rPr>
          <w:rFonts w:ascii="Arial" w:cs="Arial" w:eastAsia="Arial" w:hAnsi="Arial"/>
          <w:sz w:val="21"/>
          <w:szCs w:val="21"/>
          <w:color w:val="auto"/>
          <w:vertAlign w:val="superscript"/>
        </w:rPr>
      </w:pPr>
    </w:p>
    <w:p>
      <w:pPr>
        <w:ind w:left="260" w:hanging="252"/>
        <w:spacing w:after="0" w:line="216" w:lineRule="auto"/>
        <w:tabs>
          <w:tab w:leader="none" w:pos="217"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Represents gross outstanding borrowings under our syndicated line of credit and term loan. Due to variable interest rates, the carrying value of outstanding borrowings under our line of credit and term loan approximates the fair value. See Note 11, “Credit Facility,” for further information.</w:t>
      </w:r>
    </w:p>
    <w:p>
      <w:pPr>
        <w:spacing w:after="0" w:line="103" w:lineRule="exact"/>
        <w:rPr>
          <w:rFonts w:ascii="Arial" w:cs="Arial" w:eastAsia="Arial" w:hAnsi="Arial"/>
          <w:sz w:val="21"/>
          <w:szCs w:val="21"/>
          <w:color w:val="auto"/>
          <w:vertAlign w:val="superscript"/>
        </w:rPr>
      </w:pPr>
    </w:p>
    <w:p>
      <w:pPr>
        <w:ind w:left="260" w:hanging="252"/>
        <w:spacing w:after="0" w:line="233" w:lineRule="auto"/>
        <w:tabs>
          <w:tab w:leader="none" w:pos="190"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the London Interbank Offered Rate (“LIBOR”) forward rates at the end of the period. At October 31, 2021 and 2020, our interest rate swaps are included in “Other accrued liabilities” and “Other noncurrent liabilities,” respectively, on the accompanying Consolidated Balance Sheets. See Note 11, “Credit Facility,” for further information.</w:t>
      </w:r>
    </w:p>
    <w:p>
      <w:pPr>
        <w:spacing w:after="0" w:line="155"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At October 31, 2021 and 2020, the Company had no financial assets or liabilities recorded at fair value using Level 3 inputs, and there were no transfers to or from Level 3 financial assets or liabilities during 2021 and one such transfer during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Non-Financial Assets Measured at Fair Value on a Non-Recurring Basis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to assets and liabilities that are measured at fair value on a recurring basis, we are also required to measure certain items at fair value on a non-recurring basis. These assets can include: goodwill; intangible assets; property, plant and equipment; lease-related ROU assets; and long-lived assets that have been reduced to fair value when they are held for sale. If certain triggering events occur or if an annual impairment test is required, we would evaluate these non-financial assets for impairment. If an impairment were to occur, the asset would be recorded at the estimated fair value, using primarily unobservable Level 3 inputs.</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third quarter of 2021, we recognized a non-cash impairment charge totaling $9.1 million in our Corporate segment for previously capitalized internal-use software related to our Enterprise Resource Planning (“ERP”) system implementation. The Company determined that certain components that were previously developed would no longer be implemented. The impairment charge reduced the carrying value to zero for those components and is recorded in “Selling, general and administrative expenses” on our Consolidated Statements of Comprehensive Income (Loss) for the year ended October 31, 2021.</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second quarter of 2020, given the general deterioration in economic and market conditions arising from the Pandemic, we identified a triggering event indicating possible impairment of goodwill and intangible assets, and we recorded impairment charges on goodwill and customer relationships. The fair value of these items was determined based on unobservable Level 3 inputs. The fair value of goodwill was determined using a weighting of fair values derived from an income approach and a market approach. The fair value of customer relationships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75" w:name="page76"/>
    <w:bookmarkEnd w:id="75"/>
    <w:p>
      <w:pPr>
        <w:spacing w:after="0" w:line="261" w:lineRule="auto"/>
        <w:rPr>
          <w:sz w:val="20"/>
          <w:szCs w:val="20"/>
          <w:color w:val="auto"/>
        </w:rPr>
      </w:pPr>
      <w:r>
        <w:rPr>
          <w:rFonts w:ascii="Arial" w:cs="Arial" w:eastAsia="Arial" w:hAnsi="Arial"/>
          <w:sz w:val="18"/>
          <w:szCs w:val="18"/>
          <w:color w:val="auto"/>
        </w:rPr>
        <w:t>was determined based on discounted cash flows associated with the customer relationships that include significant management assumptions, including expected proceeds. See Note 9, “Goodwill and Other Intangible Assets,” for further information.</w:t>
      </w:r>
    </w:p>
    <w:p>
      <w:pPr>
        <w:spacing w:after="0" w:line="122" w:lineRule="exact"/>
        <w:rPr>
          <w:sz w:val="20"/>
          <w:szCs w:val="20"/>
          <w:color w:val="auto"/>
        </w:rPr>
      </w:pPr>
    </w:p>
    <w:p>
      <w:pPr>
        <w:ind w:right="7780" w:firstLine="8"/>
        <w:spacing w:after="0" w:line="638" w:lineRule="auto"/>
        <w:tabs>
          <w:tab w:leader="none" w:pos="200" w:val="left"/>
        </w:tabs>
        <w:numPr>
          <w:ilvl w:val="0"/>
          <w:numId w:val="30"/>
        </w:numPr>
        <w:rPr>
          <w:rFonts w:ascii="Arial" w:cs="Arial" w:eastAsia="Arial" w:hAnsi="Arial"/>
          <w:sz w:val="17"/>
          <w:szCs w:val="17"/>
          <w:b w:val="1"/>
          <w:bCs w:val="1"/>
          <w:color w:val="0046AD"/>
        </w:rPr>
      </w:pPr>
      <w:r>
        <w:rPr>
          <w:rFonts w:ascii="Arial" w:cs="Arial" w:eastAsia="Arial" w:hAnsi="Arial"/>
          <w:sz w:val="17"/>
          <w:szCs w:val="17"/>
          <w:b w:val="1"/>
          <w:bCs w:val="1"/>
          <w:color w:val="0046AD"/>
        </w:rPr>
        <w:t>PROPERTY, PLANT AND EQUIPMENT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1151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30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70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Pr>
          <w:p>
            <w:pPr>
              <w:spacing w:after="0"/>
              <w:rPr>
                <w:sz w:val="15"/>
                <w:szCs w:val="15"/>
                <w:color w:val="auto"/>
              </w:rPr>
            </w:pPr>
          </w:p>
        </w:tc>
        <w:tc>
          <w:tcPr>
            <w:tcW w:w="1560" w:type="dxa"/>
            <w:vAlign w:val="bottom"/>
          </w:tcPr>
          <w:p>
            <w:pPr>
              <w:jc w:val="right"/>
              <w:ind w:right="73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jc w:val="right"/>
              <w:ind w:right="730"/>
              <w:spacing w:after="0" w:line="182" w:lineRule="exact"/>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6280" w:type="dxa"/>
            <w:vAlign w:val="bottom"/>
            <w:tcBorders>
              <w:bottom w:val="single" w:sz="8" w:color="DCE2E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70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Machinery and other equipment</w:t>
            </w:r>
          </w:p>
        </w:tc>
        <w:tc>
          <w:tcPr>
            <w:tcW w:w="480" w:type="dxa"/>
            <w:vAlign w:val="bottom"/>
            <w:shd w:val="clear" w:color="auto" w:fill="DCE2E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148.9</w:t>
            </w:r>
          </w:p>
        </w:tc>
        <w:tc>
          <w:tcPr>
            <w:tcW w:w="120" w:type="dxa"/>
            <w:vAlign w:val="bottom"/>
            <w:shd w:val="clear" w:color="auto" w:fill="DCE2EF"/>
          </w:tcPr>
          <w:p>
            <w:pPr>
              <w:spacing w:after="0"/>
              <w:rPr>
                <w:sz w:val="19"/>
                <w:szCs w:val="19"/>
                <w:color w:val="auto"/>
              </w:rPr>
            </w:pPr>
          </w:p>
        </w:tc>
        <w:tc>
          <w:tcPr>
            <w:tcW w:w="740" w:type="dxa"/>
            <w:vAlign w:val="bottom"/>
            <w:shd w:val="clear" w:color="auto" w:fill="DCE2EF"/>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137.0</w:t>
            </w:r>
          </w:p>
        </w:tc>
      </w:tr>
      <w:tr>
        <w:trPr>
          <w:trHeight w:val="229"/>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Computer equipment and software</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101.2</w:t>
            </w:r>
          </w:p>
        </w:tc>
      </w:tr>
      <w:tr>
        <w:trPr>
          <w:trHeight w:val="230"/>
        </w:trPr>
        <w:tc>
          <w:tcPr>
            <w:tcW w:w="20" w:type="dxa"/>
            <w:vAlign w:val="bottom"/>
            <w:shd w:val="clear" w:color="auto" w:fill="DCE2EF"/>
          </w:tcPr>
          <w:p>
            <w:pPr>
              <w:spacing w:after="0"/>
              <w:rPr>
                <w:sz w:val="19"/>
                <w:szCs w:val="19"/>
                <w:color w:val="auto"/>
              </w:rPr>
            </w:pPr>
          </w:p>
        </w:tc>
        <w:tc>
          <w:tcPr>
            <w:tcW w:w="70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Transportation equipment</w:t>
            </w:r>
          </w:p>
        </w:tc>
        <w:tc>
          <w:tcPr>
            <w:tcW w:w="48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DCE2EF"/>
          </w:tcPr>
          <w:p>
            <w:pPr>
              <w:spacing w:after="0"/>
              <w:rPr>
                <w:sz w:val="19"/>
                <w:szCs w:val="19"/>
                <w:color w:val="auto"/>
              </w:rPr>
            </w:pPr>
          </w:p>
        </w:tc>
        <w:tc>
          <w:tcPr>
            <w:tcW w:w="740" w:type="dxa"/>
            <w:vAlign w:val="bottom"/>
            <w:shd w:val="clear" w:color="auto" w:fill="DCE2EF"/>
          </w:tcPr>
          <w:p>
            <w:pPr>
              <w:spacing w:after="0"/>
              <w:rPr>
                <w:sz w:val="19"/>
                <w:szCs w:val="19"/>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57.7</w:t>
            </w:r>
          </w:p>
        </w:tc>
      </w:tr>
      <w:tr>
        <w:trPr>
          <w:trHeight w:val="229"/>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29"/>
        </w:trPr>
        <w:tc>
          <w:tcPr>
            <w:tcW w:w="20" w:type="dxa"/>
            <w:vAlign w:val="bottom"/>
            <w:shd w:val="clear" w:color="auto" w:fill="DCE2EF"/>
          </w:tcPr>
          <w:p>
            <w:pPr>
              <w:spacing w:after="0"/>
              <w:rPr>
                <w:sz w:val="19"/>
                <w:szCs w:val="19"/>
                <w:color w:val="auto"/>
              </w:rPr>
            </w:pPr>
          </w:p>
        </w:tc>
        <w:tc>
          <w:tcPr>
            <w:tcW w:w="70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Furniture and fixtures</w:t>
            </w:r>
          </w:p>
        </w:tc>
        <w:tc>
          <w:tcPr>
            <w:tcW w:w="48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DCE2EF"/>
          </w:tcPr>
          <w:p>
            <w:pPr>
              <w:spacing w:after="0"/>
              <w:rPr>
                <w:sz w:val="19"/>
                <w:szCs w:val="19"/>
                <w:color w:val="auto"/>
              </w:rPr>
            </w:pPr>
          </w:p>
        </w:tc>
        <w:tc>
          <w:tcPr>
            <w:tcW w:w="740" w:type="dxa"/>
            <w:vAlign w:val="bottom"/>
            <w:shd w:val="clear" w:color="auto" w:fill="DCE2EF"/>
          </w:tcPr>
          <w:p>
            <w:pPr>
              <w:spacing w:after="0"/>
              <w:rPr>
                <w:sz w:val="19"/>
                <w:szCs w:val="19"/>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20" w:type="dxa"/>
            <w:vAlign w:val="bottom"/>
            <w:shd w:val="clear" w:color="auto" w:fill="DCE2EF"/>
          </w:tcPr>
          <w:p>
            <w:pPr>
              <w:spacing w:after="0"/>
              <w:rPr>
                <w:sz w:val="19"/>
                <w:szCs w:val="19"/>
                <w:color w:val="auto"/>
              </w:rPr>
            </w:pPr>
          </w:p>
        </w:tc>
        <w:tc>
          <w:tcPr>
            <w:tcW w:w="70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Land</w:t>
            </w:r>
          </w:p>
        </w:tc>
        <w:tc>
          <w:tcPr>
            <w:tcW w:w="480" w:type="dxa"/>
            <w:vAlign w:val="bottom"/>
            <w:tcBorders>
              <w:bottom w:val="single" w:sz="8" w:color="auto"/>
            </w:tcBorders>
            <w:shd w:val="clear" w:color="auto" w:fill="DCE2EF"/>
          </w:tcPr>
          <w:p>
            <w:pPr>
              <w:spacing w:after="0"/>
              <w:rPr>
                <w:sz w:val="19"/>
                <w:szCs w:val="19"/>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DCE2EF"/>
          </w:tcPr>
          <w:p>
            <w:pPr>
              <w:spacing w:after="0"/>
              <w:rPr>
                <w:sz w:val="19"/>
                <w:szCs w:val="19"/>
                <w:color w:val="auto"/>
              </w:rPr>
            </w:pPr>
          </w:p>
        </w:tc>
        <w:tc>
          <w:tcPr>
            <w:tcW w:w="740" w:type="dxa"/>
            <w:vAlign w:val="bottom"/>
            <w:tcBorders>
              <w:bottom w:val="single" w:sz="8" w:color="auto"/>
            </w:tcBorders>
            <w:shd w:val="clear" w:color="auto" w:fill="DCE2EF"/>
          </w:tcPr>
          <w:p>
            <w:pPr>
              <w:spacing w:after="0"/>
              <w:rPr>
                <w:sz w:val="19"/>
                <w:szCs w:val="19"/>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386.6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375.0</w:t>
            </w:r>
          </w:p>
        </w:tc>
      </w:tr>
      <w:tr>
        <w:trPr>
          <w:trHeight w:val="229"/>
        </w:trPr>
        <w:tc>
          <w:tcPr>
            <w:tcW w:w="20" w:type="dxa"/>
            <w:vAlign w:val="bottom"/>
            <w:shd w:val="clear" w:color="auto" w:fill="DCE2EF"/>
          </w:tcPr>
          <w:p>
            <w:pPr>
              <w:spacing w:after="0"/>
              <w:rPr>
                <w:sz w:val="19"/>
                <w:szCs w:val="19"/>
                <w:color w:val="auto"/>
              </w:rPr>
            </w:pPr>
          </w:p>
        </w:tc>
        <w:tc>
          <w:tcPr>
            <w:tcW w:w="7000" w:type="dxa"/>
            <w:vAlign w:val="bottom"/>
            <w:gridSpan w:val="2"/>
            <w:shd w:val="clear" w:color="auto" w:fill="DCE2EF"/>
          </w:tcPr>
          <w:p>
            <w:pPr>
              <w:spacing w:after="0" w:line="230" w:lineRule="exact"/>
              <w:rPr>
                <w:sz w:val="20"/>
                <w:szCs w:val="20"/>
                <w:color w:val="auto"/>
              </w:rPr>
            </w:pPr>
            <w:r>
              <w:rPr>
                <w:rFonts w:ascii="Arial" w:cs="Arial" w:eastAsia="Arial" w:hAnsi="Arial"/>
                <w:sz w:val="18"/>
                <w:szCs w:val="18"/>
                <w:color w:val="auto"/>
              </w:rPr>
              <w:t>Less: Accumulated depreciation</w:t>
            </w:r>
            <w:r>
              <w:rPr>
                <w:rFonts w:ascii="Arial" w:cs="Arial" w:eastAsia="Arial" w:hAnsi="Arial"/>
                <w:sz w:val="23"/>
                <w:szCs w:val="23"/>
                <w:color w:val="auto"/>
                <w:vertAlign w:val="superscript"/>
              </w:rPr>
              <w:t>(1)</w:t>
            </w:r>
          </w:p>
        </w:tc>
        <w:tc>
          <w:tcPr>
            <w:tcW w:w="480" w:type="dxa"/>
            <w:vAlign w:val="bottom"/>
            <w:tcBorders>
              <w:bottom w:val="single" w:sz="8" w:color="auto"/>
            </w:tcBorders>
            <w:shd w:val="clear" w:color="auto" w:fill="DCE2EF"/>
          </w:tcPr>
          <w:p>
            <w:pPr>
              <w:spacing w:after="0"/>
              <w:rPr>
                <w:sz w:val="19"/>
                <w:szCs w:val="19"/>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274.7</w:t>
            </w:r>
          </w:p>
        </w:tc>
        <w:tc>
          <w:tcPr>
            <w:tcW w:w="120" w:type="dxa"/>
            <w:vAlign w:val="bottom"/>
            <w:shd w:val="clear" w:color="auto" w:fill="DCE2EF"/>
          </w:tcPr>
          <w:p>
            <w:pPr>
              <w:spacing w:after="0"/>
              <w:rPr>
                <w:sz w:val="19"/>
                <w:szCs w:val="19"/>
                <w:color w:val="auto"/>
              </w:rPr>
            </w:pPr>
          </w:p>
        </w:tc>
        <w:tc>
          <w:tcPr>
            <w:tcW w:w="740" w:type="dxa"/>
            <w:vAlign w:val="bottom"/>
            <w:tcBorders>
              <w:bottom w:val="single" w:sz="8" w:color="auto"/>
            </w:tcBorders>
            <w:shd w:val="clear" w:color="auto" w:fill="DCE2EF"/>
          </w:tcPr>
          <w:p>
            <w:pPr>
              <w:spacing w:after="0"/>
              <w:rPr>
                <w:sz w:val="19"/>
                <w:szCs w:val="19"/>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241.3</w:t>
            </w:r>
          </w:p>
        </w:tc>
      </w:tr>
      <w:tr>
        <w:trPr>
          <w:trHeight w:val="223"/>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For 2021, 2020, and 2019, depreciation expense was $45.0 million, $48.0 million, and $48.9 million,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Finance Leases Included in Property, Plant and Equipment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2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70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460" w:type="dxa"/>
            <w:vAlign w:val="bottom"/>
          </w:tcPr>
          <w:p>
            <w:pPr>
              <w:spacing w:after="0"/>
              <w:rPr>
                <w:sz w:val="15"/>
                <w:szCs w:val="15"/>
                <w:color w:val="auto"/>
              </w:rPr>
            </w:pPr>
          </w:p>
        </w:tc>
        <w:tc>
          <w:tcPr>
            <w:tcW w:w="1560" w:type="dxa"/>
            <w:vAlign w:val="bottom"/>
          </w:tcPr>
          <w:p>
            <w:pPr>
              <w:jc w:val="right"/>
              <w:ind w:right="71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tcPr>
          <w:p>
            <w:pPr>
              <w:jc w:val="right"/>
              <w:ind w:right="730"/>
              <w:spacing w:after="0" w:line="182" w:lineRule="exact"/>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6300" w:type="dxa"/>
            <w:vAlign w:val="bottom"/>
            <w:tcBorders>
              <w:bottom w:val="single" w:sz="8" w:color="DCE2E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702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Transportation equipment</w:t>
            </w:r>
          </w:p>
        </w:tc>
        <w:tc>
          <w:tcPr>
            <w:tcW w:w="460" w:type="dxa"/>
            <w:vAlign w:val="bottom"/>
            <w:shd w:val="clear" w:color="auto" w:fill="DCE2E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DCE2EF"/>
          </w:tcPr>
          <w:p>
            <w:pPr>
              <w:spacing w:after="0"/>
              <w:rPr>
                <w:sz w:val="19"/>
                <w:szCs w:val="19"/>
                <w:color w:val="auto"/>
              </w:rPr>
            </w:pPr>
          </w:p>
        </w:tc>
        <w:tc>
          <w:tcPr>
            <w:tcW w:w="76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20" w:type="dxa"/>
            <w:vAlign w:val="bottom"/>
            <w:tcBorders>
              <w:bottom w:val="single" w:sz="8" w:color="DCE2EF"/>
            </w:tcBorders>
          </w:tcPr>
          <w:p>
            <w:pPr>
              <w:spacing w:after="0"/>
              <w:rPr>
                <w:sz w:val="19"/>
                <w:szCs w:val="19"/>
                <w:color w:val="auto"/>
              </w:rPr>
            </w:pPr>
          </w:p>
        </w:tc>
        <w:tc>
          <w:tcPr>
            <w:tcW w:w="7020" w:type="dxa"/>
            <w:vAlign w:val="bottom"/>
            <w:tcBorders>
              <w:bottom w:val="single" w:sz="8" w:color="DCE2EF"/>
            </w:tcBorders>
            <w:gridSpan w:val="2"/>
          </w:tcPr>
          <w:p>
            <w:pPr>
              <w:spacing w:after="0"/>
              <w:rPr>
                <w:sz w:val="20"/>
                <w:szCs w:val="20"/>
                <w:color w:val="auto"/>
              </w:rPr>
            </w:pPr>
            <w:r>
              <w:rPr>
                <w:rFonts w:ascii="Arial" w:cs="Arial" w:eastAsia="Arial" w:hAnsi="Arial"/>
                <w:sz w:val="18"/>
                <w:szCs w:val="18"/>
                <w:color w:val="auto"/>
              </w:rPr>
              <w:t>Furniture and fixtures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DCE2E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20" w:type="dxa"/>
            <w:vAlign w:val="bottom"/>
            <w:shd w:val="clear" w:color="auto" w:fill="DCE2EF"/>
          </w:tcPr>
          <w:p>
            <w:pPr>
              <w:spacing w:after="0"/>
              <w:rPr>
                <w:sz w:val="19"/>
                <w:szCs w:val="19"/>
                <w:color w:val="auto"/>
              </w:rPr>
            </w:pPr>
          </w:p>
        </w:tc>
        <w:tc>
          <w:tcPr>
            <w:tcW w:w="720" w:type="dxa"/>
            <w:vAlign w:val="bottom"/>
            <w:shd w:val="clear" w:color="auto" w:fill="DCE2EF"/>
          </w:tcPr>
          <w:p>
            <w:pPr>
              <w:spacing w:after="0"/>
              <w:rPr>
                <w:sz w:val="19"/>
                <w:szCs w:val="19"/>
                <w:color w:val="auto"/>
              </w:rPr>
            </w:pPr>
          </w:p>
        </w:tc>
        <w:tc>
          <w:tcPr>
            <w:tcW w:w="630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DCE2EF"/>
          </w:tcPr>
          <w:p>
            <w:pPr>
              <w:spacing w:after="0"/>
              <w:rPr>
                <w:sz w:val="19"/>
                <w:szCs w:val="19"/>
                <w:color w:val="auto"/>
              </w:rPr>
            </w:pPr>
          </w:p>
        </w:tc>
        <w:tc>
          <w:tcPr>
            <w:tcW w:w="760" w:type="dxa"/>
            <w:vAlign w:val="bottom"/>
            <w:shd w:val="clear" w:color="auto" w:fill="DCE2EF"/>
          </w:tcPr>
          <w:p>
            <w:pPr>
              <w:spacing w:after="0"/>
              <w:rPr>
                <w:sz w:val="19"/>
                <w:szCs w:val="19"/>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20" w:type="dxa"/>
            <w:vAlign w:val="bottom"/>
            <w:tcBorders>
              <w:bottom w:val="single" w:sz="8" w:color="DCE2EF"/>
            </w:tcBorders>
          </w:tcPr>
          <w:p>
            <w:pPr>
              <w:spacing w:after="0"/>
              <w:rPr>
                <w:sz w:val="19"/>
                <w:szCs w:val="19"/>
                <w:color w:val="auto"/>
              </w:rPr>
            </w:pPr>
          </w:p>
        </w:tc>
        <w:tc>
          <w:tcPr>
            <w:tcW w:w="7020" w:type="dxa"/>
            <w:vAlign w:val="bottom"/>
            <w:tcBorders>
              <w:bottom w:val="single" w:sz="8" w:color="DCE2EF"/>
            </w:tcBorders>
            <w:gridSpan w:val="2"/>
          </w:tcPr>
          <w:p>
            <w:pPr>
              <w:spacing w:after="0"/>
              <w:rPr>
                <w:sz w:val="20"/>
                <w:szCs w:val="20"/>
                <w:color w:val="auto"/>
              </w:rPr>
            </w:pPr>
            <w:r>
              <w:rPr>
                <w:rFonts w:ascii="Arial" w:cs="Arial" w:eastAsia="Arial" w:hAnsi="Arial"/>
                <w:sz w:val="18"/>
                <w:szCs w:val="18"/>
                <w:color w:val="auto"/>
              </w:rPr>
              <w:t>Less: Accumulated depreciation</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DCE2E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48"/>
        </w:trPr>
        <w:tc>
          <w:tcPr>
            <w:tcW w:w="20" w:type="dxa"/>
            <w:vAlign w:val="bottom"/>
            <w:tcBorders>
              <w:bottom w:val="single" w:sz="8" w:color="DCE2EF"/>
            </w:tcBorders>
            <w:shd w:val="clear" w:color="auto" w:fill="DCE2EF"/>
          </w:tcPr>
          <w:p>
            <w:pPr>
              <w:spacing w:after="0"/>
              <w:rPr>
                <w:sz w:val="21"/>
                <w:szCs w:val="21"/>
                <w:color w:val="auto"/>
              </w:rPr>
            </w:pPr>
          </w:p>
        </w:tc>
        <w:tc>
          <w:tcPr>
            <w:tcW w:w="702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tcBorders>
              <w:bottom w:val="single" w:sz="8" w:color="auto"/>
            </w:tcBorders>
            <w:shd w:val="clear" w:color="auto" w:fill="DCE2E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DCE2EF"/>
            </w:tcBorders>
            <w:shd w:val="clear" w:color="auto" w:fill="DCE2EF"/>
          </w:tcPr>
          <w:p>
            <w:pPr>
              <w:spacing w:after="0"/>
              <w:rPr>
                <w:sz w:val="21"/>
                <w:szCs w:val="21"/>
                <w:color w:val="auto"/>
              </w:rPr>
            </w:pPr>
          </w:p>
        </w:tc>
        <w:tc>
          <w:tcPr>
            <w:tcW w:w="760" w:type="dxa"/>
            <w:vAlign w:val="bottom"/>
            <w:tcBorders>
              <w:bottom w:val="single" w:sz="8" w:color="auto"/>
            </w:tcBorders>
            <w:shd w:val="clear" w:color="auto" w:fill="DCE2EF"/>
          </w:tcPr>
          <w:p>
            <w:pPr>
              <w:jc w:val="right"/>
              <w:ind w:right="5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6300" w:type="dxa"/>
            <w:vAlign w:val="bottom"/>
            <w:tcBorders>
              <w:top w:val="single" w:sz="8" w:color="DCE2EF"/>
            </w:tcBorders>
          </w:tcPr>
          <w:p>
            <w:pPr>
              <w:spacing w:after="0" w:line="20" w:lineRule="exact"/>
              <w:rPr>
                <w:sz w:val="1"/>
                <w:szCs w:val="1"/>
                <w:color w:val="auto"/>
              </w:rPr>
            </w:pPr>
          </w:p>
        </w:tc>
        <w:tc>
          <w:tcPr>
            <w:tcW w:w="460" w:type="dxa"/>
            <w:vAlign w:val="bottom"/>
            <w:tcBorders>
              <w:top w:val="single" w:sz="8" w:color="DCE2EF"/>
              <w:bottom w:val="single" w:sz="8" w:color="auto"/>
            </w:tcBorders>
          </w:tcPr>
          <w:p>
            <w:pPr>
              <w:spacing w:after="0" w:line="20" w:lineRule="exact"/>
              <w:rPr>
                <w:sz w:val="1"/>
                <w:szCs w:val="1"/>
                <w:color w:val="auto"/>
              </w:rPr>
            </w:pPr>
          </w:p>
        </w:tc>
        <w:tc>
          <w:tcPr>
            <w:tcW w:w="156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760" w:type="dxa"/>
            <w:vAlign w:val="bottom"/>
            <w:tcBorders>
              <w:top w:val="single" w:sz="8" w:color="DCE2EF"/>
              <w:bottom w:val="single" w:sz="8" w:color="auto"/>
            </w:tcBorders>
          </w:tcPr>
          <w:p>
            <w:pPr>
              <w:spacing w:after="0" w:line="20" w:lineRule="exact"/>
              <w:rPr>
                <w:sz w:val="1"/>
                <w:szCs w:val="1"/>
                <w:color w:val="auto"/>
              </w:rPr>
            </w:pPr>
          </w:p>
        </w:tc>
        <w:tc>
          <w:tcPr>
            <w:tcW w:w="1280" w:type="dxa"/>
            <w:vAlign w:val="bottom"/>
            <w:tcBorders>
              <w:top w:val="single" w:sz="8" w:color="DCE2E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2"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0046AD"/>
        </w:rPr>
        <w:t>9.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Goodwill</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Business &amp;</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Technology &amp;</w:t>
            </w:r>
          </w:p>
        </w:tc>
        <w:tc>
          <w:tcPr>
            <w:tcW w:w="120" w:type="dxa"/>
            <w:vAlign w:val="bottom"/>
          </w:tcPr>
          <w:p>
            <w:pPr>
              <w:spacing w:after="0"/>
              <w:rPr>
                <w:sz w:val="16"/>
                <w:szCs w:val="16"/>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Education</w:t>
            </w:r>
          </w:p>
        </w:tc>
        <w:tc>
          <w:tcPr>
            <w:tcW w:w="160" w:type="dxa"/>
            <w:vAlign w:val="bottom"/>
          </w:tcPr>
          <w:p>
            <w:pPr>
              <w:spacing w:after="0"/>
              <w:rPr>
                <w:sz w:val="16"/>
                <w:szCs w:val="16"/>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Aviation</w:t>
            </w:r>
          </w:p>
        </w:tc>
        <w:tc>
          <w:tcPr>
            <w:tcW w:w="14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Technical</w:t>
            </w:r>
          </w:p>
        </w:tc>
        <w:tc>
          <w:tcPr>
            <w:tcW w:w="220" w:type="dxa"/>
            <w:vAlign w:val="bottom"/>
          </w:tcPr>
          <w:p>
            <w:pPr>
              <w:spacing w:after="0"/>
              <w:rPr>
                <w:sz w:val="16"/>
                <w:szCs w:val="16"/>
                <w:color w:val="auto"/>
              </w:rPr>
            </w:pPr>
          </w:p>
        </w:tc>
        <w:tc>
          <w:tcPr>
            <w:tcW w:w="8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gridSpan w:val="2"/>
          </w:tcPr>
          <w:p>
            <w:pPr>
              <w:spacing w:after="0" w:line="129" w:lineRule="exact"/>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rPr>
              <w:t>Industry</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rPr>
              <w:t>Manufacturing</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Solutions</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31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384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Balance at October 31, 2019</w:t>
            </w: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573.9</w:t>
            </w:r>
          </w:p>
        </w:tc>
        <w:tc>
          <w:tcPr>
            <w:tcW w:w="120" w:type="dxa"/>
            <w:vAlign w:val="bottom"/>
            <w:shd w:val="clear" w:color="auto" w:fill="DCE2EF"/>
          </w:tcPr>
          <w:p>
            <w:pPr>
              <w:spacing w:after="0"/>
              <w:rPr>
                <w:sz w:val="18"/>
                <w:szCs w:val="18"/>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407.2</w:t>
            </w:r>
          </w:p>
        </w:tc>
        <w:tc>
          <w:tcPr>
            <w:tcW w:w="120" w:type="dxa"/>
            <w:vAlign w:val="bottom"/>
            <w:shd w:val="clear" w:color="auto" w:fill="DCE2EF"/>
          </w:tcPr>
          <w:p>
            <w:pPr>
              <w:spacing w:after="0"/>
              <w:rPr>
                <w:sz w:val="18"/>
                <w:szCs w:val="18"/>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558.6</w:t>
            </w: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125.0</w:t>
            </w: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170.7</w:t>
            </w: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1,835.4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6"/>
                <w:szCs w:val="16"/>
                <w:color w:val="auto"/>
              </w:rPr>
              <w:t>Foreign currency translation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3840" w:type="dxa"/>
            <w:vAlign w:val="bottom"/>
            <w:gridSpan w:val="2"/>
            <w:shd w:val="clear" w:color="auto" w:fill="DCE2EF"/>
          </w:tcPr>
          <w:p>
            <w:pPr>
              <w:spacing w:after="0" w:line="219" w:lineRule="exact"/>
              <w:rPr>
                <w:sz w:val="20"/>
                <w:szCs w:val="20"/>
                <w:color w:val="auto"/>
              </w:rPr>
            </w:pPr>
            <w:r>
              <w:rPr>
                <w:rFonts w:ascii="Arial" w:cs="Arial" w:eastAsia="Arial" w:hAnsi="Arial"/>
                <w:sz w:val="16"/>
                <w:szCs w:val="16"/>
                <w:color w:val="auto"/>
              </w:rPr>
              <w:t>Impairment</w:t>
            </w:r>
            <w:r>
              <w:rPr>
                <w:rFonts w:ascii="Arial" w:cs="Arial" w:eastAsia="Arial" w:hAnsi="Arial"/>
                <w:sz w:val="21"/>
                <w:szCs w:val="21"/>
                <w:color w:val="auto"/>
                <w:vertAlign w:val="superscript"/>
              </w:rPr>
              <w:t>(1)</w:t>
            </w:r>
          </w:p>
        </w:tc>
        <w:tc>
          <w:tcPr>
            <w:tcW w:w="140" w:type="dxa"/>
            <w:vAlign w:val="bottom"/>
            <w:shd w:val="clear" w:color="auto" w:fill="DCE2EF"/>
          </w:tcPr>
          <w:p>
            <w:pPr>
              <w:spacing w:after="0"/>
              <w:rPr>
                <w:sz w:val="19"/>
                <w:szCs w:val="19"/>
                <w:color w:val="auto"/>
              </w:rPr>
            </w:pPr>
          </w:p>
        </w:tc>
        <w:tc>
          <w:tcPr>
            <w:tcW w:w="116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CE2EF"/>
          </w:tcPr>
          <w:p>
            <w:pPr>
              <w:spacing w:after="0"/>
              <w:rPr>
                <w:sz w:val="19"/>
                <w:szCs w:val="19"/>
                <w:color w:val="auto"/>
              </w:rPr>
            </w:pPr>
          </w:p>
        </w:tc>
        <w:tc>
          <w:tcPr>
            <w:tcW w:w="144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CE2EF"/>
          </w:tcPr>
          <w:p>
            <w:pPr>
              <w:spacing w:after="0"/>
              <w:rPr>
                <w:sz w:val="19"/>
                <w:szCs w:val="19"/>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6"/>
                <w:szCs w:val="16"/>
                <w:b w:val="1"/>
                <w:bCs w:val="1"/>
                <w:color w:val="auto"/>
              </w:rPr>
              <w:t>Balance at October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574.0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407.2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459.3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161.5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1,671.4</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bottom w:val="single" w:sz="8" w:color="DCE2EF"/>
            </w:tcBorders>
          </w:tcPr>
          <w:p>
            <w:pPr>
              <w:spacing w:after="0" w:line="20" w:lineRule="exact"/>
              <w:rPr>
                <w:sz w:val="1"/>
                <w:szCs w:val="1"/>
                <w:color w:val="auto"/>
              </w:rPr>
            </w:pPr>
          </w:p>
        </w:tc>
        <w:tc>
          <w:tcPr>
            <w:tcW w:w="31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3840" w:type="dxa"/>
            <w:vAlign w:val="bottom"/>
            <w:gridSpan w:val="2"/>
            <w:shd w:val="clear" w:color="auto" w:fill="DCE2EF"/>
          </w:tcPr>
          <w:p>
            <w:pPr>
              <w:spacing w:after="0" w:line="210" w:lineRule="exact"/>
              <w:rPr>
                <w:sz w:val="20"/>
                <w:szCs w:val="20"/>
                <w:color w:val="auto"/>
              </w:rPr>
            </w:pPr>
            <w:r>
              <w:rPr>
                <w:rFonts w:ascii="Arial" w:cs="Arial" w:eastAsia="Arial" w:hAnsi="Arial"/>
                <w:sz w:val="16"/>
                <w:szCs w:val="16"/>
                <w:color w:val="auto"/>
              </w:rPr>
              <w:t>Acquisition</w:t>
            </w:r>
            <w:r>
              <w:rPr>
                <w:rFonts w:ascii="Arial" w:cs="Arial" w:eastAsia="Arial" w:hAnsi="Arial"/>
                <w:sz w:val="21"/>
                <w:szCs w:val="21"/>
                <w:color w:val="auto"/>
                <w:vertAlign w:val="superscript"/>
              </w:rPr>
              <w:t>(2)</w:t>
            </w:r>
          </w:p>
        </w:tc>
        <w:tc>
          <w:tcPr>
            <w:tcW w:w="140" w:type="dxa"/>
            <w:vAlign w:val="bottom"/>
            <w:shd w:val="clear" w:color="auto" w:fill="DCE2EF"/>
          </w:tcPr>
          <w:p>
            <w:pPr>
              <w:spacing w:after="0"/>
              <w:rPr>
                <w:sz w:val="18"/>
                <w:szCs w:val="18"/>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554.0</w:t>
            </w:r>
          </w:p>
        </w:tc>
        <w:tc>
          <w:tcPr>
            <w:tcW w:w="12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144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CE2EF"/>
          </w:tcPr>
          <w:p>
            <w:pPr>
              <w:spacing w:after="0"/>
              <w:rPr>
                <w:sz w:val="18"/>
                <w:szCs w:val="18"/>
                <w:color w:val="auto"/>
              </w:rPr>
            </w:pPr>
          </w:p>
        </w:tc>
        <w:tc>
          <w:tcPr>
            <w:tcW w:w="96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CE2EF"/>
          </w:tcPr>
          <w:p>
            <w:pPr>
              <w:spacing w:after="0"/>
              <w:rPr>
                <w:sz w:val="18"/>
                <w:szCs w:val="18"/>
                <w:color w:val="auto"/>
              </w:rPr>
            </w:pPr>
          </w:p>
        </w:tc>
        <w:tc>
          <w:tcPr>
            <w:tcW w:w="104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DCE2EF"/>
          </w:tcPr>
          <w:p>
            <w:pPr>
              <w:spacing w:after="0"/>
              <w:rPr>
                <w:sz w:val="18"/>
                <w:szCs w:val="18"/>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554.0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6"/>
                <w:szCs w:val="16"/>
                <w:color w:val="auto"/>
              </w:rPr>
              <w:t>Foreign currency translation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7"/>
        </w:trPr>
        <w:tc>
          <w:tcPr>
            <w:tcW w:w="20" w:type="dxa"/>
            <w:vAlign w:val="bottom"/>
            <w:tcBorders>
              <w:top w:val="single" w:sz="8" w:color="DCE2EF"/>
              <w:bottom w:val="single" w:sz="8" w:color="DCE2EF"/>
            </w:tcBorders>
            <w:shd w:val="clear" w:color="auto" w:fill="DCE2EF"/>
          </w:tcPr>
          <w:p>
            <w:pPr>
              <w:spacing w:after="0"/>
              <w:rPr>
                <w:sz w:val="20"/>
                <w:szCs w:val="20"/>
                <w:color w:val="auto"/>
              </w:rPr>
            </w:pPr>
          </w:p>
        </w:tc>
        <w:tc>
          <w:tcPr>
            <w:tcW w:w="3840" w:type="dxa"/>
            <w:vAlign w:val="bottom"/>
            <w:tcBorders>
              <w:top w:val="single" w:sz="8" w:color="DCE2EF"/>
              <w:bottom w:val="single" w:sz="8" w:color="DCE2EF"/>
            </w:tcBorders>
            <w:gridSpan w:val="2"/>
            <w:shd w:val="clear" w:color="auto" w:fill="DCE2EF"/>
          </w:tcPr>
          <w:p>
            <w:pPr>
              <w:spacing w:after="0"/>
              <w:rPr>
                <w:sz w:val="20"/>
                <w:szCs w:val="20"/>
                <w:color w:val="auto"/>
              </w:rPr>
            </w:pPr>
            <w:r>
              <w:rPr>
                <w:rFonts w:ascii="Arial" w:cs="Arial" w:eastAsia="Arial" w:hAnsi="Arial"/>
                <w:sz w:val="16"/>
                <w:szCs w:val="16"/>
                <w:b w:val="1"/>
                <w:bCs w:val="1"/>
                <w:color w:val="auto"/>
              </w:rPr>
              <w:t>Balance at October 31, 2021</w:t>
            </w:r>
          </w:p>
        </w:tc>
        <w:tc>
          <w:tcPr>
            <w:tcW w:w="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1,129.8</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407.2</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1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459.3</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DCE2EF"/>
          </w:tcPr>
          <w:p>
            <w:pPr>
              <w:jc w:val="right"/>
              <w:ind w:right="1"/>
              <w:spacing w:after="0"/>
              <w:rPr>
                <w:sz w:val="20"/>
                <w:szCs w:val="20"/>
                <w:color w:val="auto"/>
              </w:rPr>
            </w:pPr>
            <w:r>
              <w:rPr>
                <w:rFonts w:ascii="Arial" w:cs="Arial" w:eastAsia="Arial" w:hAnsi="Arial"/>
                <w:sz w:val="16"/>
                <w:szCs w:val="16"/>
                <w:color w:val="auto"/>
              </w:rPr>
              <w:t>162.7</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220" w:type="dxa"/>
            <w:vAlign w:val="bottom"/>
            <w:tcBorders>
              <w:top w:val="single" w:sz="8" w:color="auto"/>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2,228.9</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312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104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132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bottom w:val="single" w:sz="8" w:color="auto"/>
            </w:tcBorders>
          </w:tcPr>
          <w:p>
            <w:pPr>
              <w:spacing w:after="0" w:line="20" w:lineRule="exact"/>
              <w:rPr>
                <w:sz w:val="1"/>
                <w:szCs w:val="1"/>
                <w:color w:val="auto"/>
              </w:rPr>
            </w:pPr>
          </w:p>
        </w:tc>
        <w:tc>
          <w:tcPr>
            <w:tcW w:w="9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8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9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DCE2EF"/>
              <w:bottom w:val="single" w:sz="8" w:color="auto"/>
            </w:tcBorders>
          </w:tcPr>
          <w:p>
            <w:pPr>
              <w:spacing w:after="0" w:line="20" w:lineRule="exact"/>
              <w:rPr>
                <w:sz w:val="1"/>
                <w:szCs w:val="1"/>
                <w:color w:val="auto"/>
              </w:rPr>
            </w:pPr>
          </w:p>
        </w:tc>
        <w:tc>
          <w:tcPr>
            <w:tcW w:w="80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180" w:hanging="172"/>
        <w:spacing w:after="0" w:line="216" w:lineRule="auto"/>
        <w:tabs>
          <w:tab w:leader="none" w:pos="195"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The impairment charge is included in “Impairment loss” on our Consolidated Statements of Comprehensive Income (Loss) for the year ended October 31, 2020, and is not tax deductible.</w:t>
      </w:r>
    </w:p>
    <w:p>
      <w:pPr>
        <w:spacing w:after="0" w:line="164"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During 2021, goodwill increased as a result of the Able Acquisition. See Note 4, “Acquisitions,” for additional information.</w:t>
      </w:r>
    </w:p>
    <w:p>
      <w:pPr>
        <w:spacing w:after="0" w:line="15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second quarter of 2020, we recognized a non-cash impairment charge totaling $163.8 million in three goodwill reporting units ($ 99.3 million related to Education, $55.5 million related to Aviation, and $9.0 million related to our U.K. Technical Solutions business) as part of an interim impairment test performed as a result of a triggering event arising from the Pandemic. The fair values of the goodwill reporting units were determined using a combination of the market approach and income approach. The market approach estimates the fair value of a reporting unit by using market comparables for reasonably similar public companies and a control premium. The income approach estimates fair value of a reporting unit by using discounted cash flows that include significant management assumptions, such as revenue growth rates, operating margins, weighted average cost of capital, and future economic and operating conditions. We did not record goodwill impairment charges during fiscal year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Other Intangible Assets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October 31, 2021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October 31, 2020</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9"/>
              </w:rPr>
              <w:t>Gross</w:t>
            </w:r>
          </w:p>
        </w:tc>
        <w:tc>
          <w:tcPr>
            <w:tcW w:w="140" w:type="dxa"/>
            <w:vAlign w:val="bottom"/>
          </w:tcPr>
          <w:p>
            <w:pPr>
              <w:spacing w:after="0"/>
              <w:rPr>
                <w:sz w:val="13"/>
                <w:szCs w:val="13"/>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Gross</w:t>
            </w:r>
          </w:p>
        </w:tc>
        <w:tc>
          <w:tcPr>
            <w:tcW w:w="160" w:type="dxa"/>
            <w:vAlign w:val="bottom"/>
          </w:tcPr>
          <w:p>
            <w:pPr>
              <w:spacing w:after="0"/>
              <w:rPr>
                <w:sz w:val="13"/>
                <w:szCs w:val="13"/>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4"/>
                <w:szCs w:val="14"/>
                <w:color w:val="auto"/>
              </w:rPr>
            </w:pPr>
          </w:p>
        </w:tc>
        <w:tc>
          <w:tcPr>
            <w:tcW w:w="10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5"/>
                <w:szCs w:val="15"/>
                <w:color w:val="auto"/>
              </w:rPr>
            </w:pPr>
          </w:p>
        </w:tc>
        <w:tc>
          <w:tcPr>
            <w:tcW w:w="106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5"/>
                <w:szCs w:val="15"/>
                <w:color w:val="auto"/>
              </w:rPr>
            </w:pPr>
          </w:p>
        </w:tc>
        <w:tc>
          <w:tcPr>
            <w:tcW w:w="136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5"/>
                <w:szCs w:val="15"/>
                <w:color w:val="auto"/>
              </w:rPr>
            </w:pPr>
          </w:p>
        </w:tc>
        <w:tc>
          <w:tcPr>
            <w:tcW w:w="134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Amortization</w:t>
            </w: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286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3580" w:type="dxa"/>
            <w:vAlign w:val="bottom"/>
            <w:gridSpan w:val="2"/>
            <w:shd w:val="clear" w:color="auto" w:fill="DCE2EF"/>
          </w:tcPr>
          <w:p>
            <w:pPr>
              <w:spacing w:after="0" w:line="210" w:lineRule="exact"/>
              <w:rPr>
                <w:sz w:val="20"/>
                <w:szCs w:val="20"/>
                <w:color w:val="auto"/>
              </w:rPr>
            </w:pPr>
            <w:r>
              <w:rPr>
                <w:rFonts w:ascii="Arial" w:cs="Arial" w:eastAsia="Arial" w:hAnsi="Arial"/>
                <w:sz w:val="16"/>
                <w:szCs w:val="16"/>
                <w:color w:val="auto"/>
              </w:rPr>
              <w:t>Customer contracts and relationships</w:t>
            </w:r>
            <w:r>
              <w:rPr>
                <w:rFonts w:ascii="Arial" w:cs="Arial" w:eastAsia="Arial" w:hAnsi="Arial"/>
                <w:sz w:val="21"/>
                <w:szCs w:val="21"/>
                <w:color w:val="auto"/>
                <w:vertAlign w:val="superscript"/>
              </w:rPr>
              <w:t>(1)(2)</w:t>
            </w: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793.8</w:t>
            </w:r>
          </w:p>
        </w:tc>
        <w:tc>
          <w:tcPr>
            <w:tcW w:w="120" w:type="dxa"/>
            <w:vAlign w:val="bottom"/>
            <w:shd w:val="clear" w:color="auto" w:fill="DCE2EF"/>
          </w:tcPr>
          <w:p>
            <w:pPr>
              <w:spacing w:after="0"/>
              <w:rPr>
                <w:sz w:val="18"/>
                <w:szCs w:val="18"/>
                <w:color w:val="auto"/>
              </w:rPr>
            </w:pPr>
          </w:p>
        </w:tc>
        <w:tc>
          <w:tcPr>
            <w:tcW w:w="140" w:type="dxa"/>
            <w:vAlign w:val="bottom"/>
            <w:shd w:val="clear" w:color="auto" w:fill="DCE2E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(378.5)</w:t>
            </w:r>
          </w:p>
        </w:tc>
        <w:tc>
          <w:tcPr>
            <w:tcW w:w="120" w:type="dxa"/>
            <w:vAlign w:val="bottom"/>
            <w:shd w:val="clear" w:color="auto" w:fill="DCE2EF"/>
          </w:tcPr>
          <w:p>
            <w:pPr>
              <w:spacing w:after="0"/>
              <w:rPr>
                <w:sz w:val="18"/>
                <w:szCs w:val="18"/>
                <w:color w:val="auto"/>
              </w:rPr>
            </w:pPr>
          </w:p>
        </w:tc>
        <w:tc>
          <w:tcPr>
            <w:tcW w:w="2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415.3</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573.1</w:t>
            </w: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(333.6)</w:t>
            </w: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line="216" w:lineRule="exact"/>
              <w:rPr>
                <w:sz w:val="20"/>
                <w:szCs w:val="20"/>
                <w:color w:val="auto"/>
              </w:rPr>
            </w:pPr>
            <w:r>
              <w:rPr>
                <w:rFonts w:ascii="Arial" w:cs="Arial" w:eastAsia="Arial" w:hAnsi="Arial"/>
                <w:sz w:val="16"/>
                <w:szCs w:val="16"/>
                <w:color w:val="auto"/>
              </w:rPr>
              <w:t>Trademarks and trade names</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DCE2EF"/>
          </w:tcPr>
          <w:p>
            <w:pPr>
              <w:spacing w:after="0"/>
              <w:rPr>
                <w:sz w:val="18"/>
                <w:szCs w:val="18"/>
                <w:color w:val="auto"/>
              </w:rPr>
            </w:pPr>
          </w:p>
        </w:tc>
        <w:tc>
          <w:tcPr>
            <w:tcW w:w="35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Contract rights and other</w:t>
            </w:r>
          </w:p>
        </w:tc>
        <w:tc>
          <w:tcPr>
            <w:tcW w:w="160" w:type="dxa"/>
            <w:vAlign w:val="bottom"/>
            <w:tcBorders>
              <w:bottom w:val="single" w:sz="8" w:color="auto"/>
            </w:tcBorders>
            <w:shd w:val="clear" w:color="auto" w:fill="DCE2EF"/>
          </w:tcPr>
          <w:p>
            <w:pPr>
              <w:spacing w:after="0"/>
              <w:rPr>
                <w:sz w:val="18"/>
                <w:szCs w:val="18"/>
                <w:color w:val="auto"/>
              </w:rPr>
            </w:pP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DCE2EF"/>
          </w:tcPr>
          <w:p>
            <w:pPr>
              <w:spacing w:after="0"/>
              <w:rPr>
                <w:sz w:val="18"/>
                <w:szCs w:val="18"/>
                <w:color w:val="auto"/>
              </w:rPr>
            </w:pPr>
          </w:p>
        </w:tc>
        <w:tc>
          <w:tcPr>
            <w:tcW w:w="140" w:type="dxa"/>
            <w:vAlign w:val="bottom"/>
            <w:tcBorders>
              <w:bottom w:val="single" w:sz="8" w:color="auto"/>
            </w:tcBorders>
            <w:shd w:val="clear" w:color="auto" w:fill="DCE2EF"/>
          </w:tcPr>
          <w:p>
            <w:pPr>
              <w:spacing w:after="0"/>
              <w:rPr>
                <w:sz w:val="18"/>
                <w:szCs w:val="18"/>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DCE2EF"/>
          </w:tcPr>
          <w:p>
            <w:pPr>
              <w:spacing w:after="0"/>
              <w:rPr>
                <w:sz w:val="18"/>
                <w:szCs w:val="18"/>
                <w:color w:val="auto"/>
              </w:rPr>
            </w:pPr>
          </w:p>
        </w:tc>
        <w:tc>
          <w:tcPr>
            <w:tcW w:w="220" w:type="dxa"/>
            <w:vAlign w:val="bottom"/>
            <w:tcBorders>
              <w:bottom w:val="single" w:sz="8" w:color="auto"/>
            </w:tcBorders>
            <w:shd w:val="clear" w:color="auto" w:fill="DCE2EF"/>
          </w:tcPr>
          <w:p>
            <w:pPr>
              <w:spacing w:after="0"/>
              <w:rPr>
                <w:sz w:val="18"/>
                <w:szCs w:val="18"/>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spacing w:after="0"/>
              <w:rPr>
                <w:sz w:val="18"/>
                <w:szCs w:val="18"/>
                <w:color w:val="auto"/>
              </w:rPr>
            </w:pP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spacing w:after="0"/>
              <w:rPr>
                <w:sz w:val="18"/>
                <w:szCs w:val="18"/>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DCE2EF"/>
          </w:tcPr>
          <w:p>
            <w:pPr>
              <w:spacing w:after="0"/>
              <w:rPr>
                <w:sz w:val="18"/>
                <w:szCs w:val="18"/>
                <w:color w:val="auto"/>
              </w:rPr>
            </w:pPr>
          </w:p>
        </w:tc>
        <w:tc>
          <w:tcPr>
            <w:tcW w:w="240" w:type="dxa"/>
            <w:vAlign w:val="bottom"/>
            <w:tcBorders>
              <w:bottom w:val="single" w:sz="8" w:color="auto"/>
            </w:tcBorders>
            <w:shd w:val="clear" w:color="auto" w:fill="DCE2EF"/>
          </w:tcPr>
          <w:p>
            <w:pPr>
              <w:spacing w:after="0"/>
              <w:rPr>
                <w:sz w:val="18"/>
                <w:szCs w:val="18"/>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spacing w:after="0" w:line="213" w:lineRule="exact"/>
              <w:rPr>
                <w:sz w:val="20"/>
                <w:szCs w:val="20"/>
                <w:color w:val="auto"/>
              </w:rPr>
            </w:pPr>
            <w:r>
              <w:rPr>
                <w:rFonts w:ascii="Arial" w:cs="Arial" w:eastAsia="Arial" w:hAnsi="Arial"/>
                <w:sz w:val="16"/>
                <w:szCs w:val="16"/>
                <w:b w:val="1"/>
                <w:bCs w:val="1"/>
                <w:color w:val="auto"/>
              </w:rPr>
              <w:t>Total</w:t>
            </w:r>
            <w:r>
              <w:rPr>
                <w:rFonts w:ascii="Arial" w:cs="Arial" w:eastAsia="Arial" w:hAnsi="Arial"/>
                <w:sz w:val="21"/>
                <w:szCs w:val="21"/>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814.1</w:t>
            </w:r>
          </w:p>
        </w:tc>
        <w:tc>
          <w:tcPr>
            <w:tcW w:w="12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583.5</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left="180" w:hanging="172"/>
        <w:spacing w:after="0" w:line="235" w:lineRule="auto"/>
        <w:tabs>
          <w:tab w:leader="none" w:pos="210"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Reflects a net impairment charge of $9.0 million recorded in 2020 as a result of the triggering event described above. We recognized net impairment charges of $5.6 million related to Aviation (consisting of a $13.8 million reduction in the gross carrying amount of the underlying customer relationships less $8.2 million of accumulated amortization) and $3.4 million related to our U.K. Technical Solutions business (consisting of an $8.7 million reduction in the gross carrying amount of the underlying customer relationships less $5.3 million of accumulated amortization). These impairment charges are included in “Impairment loss” on our Consolidated Statements of Comprehensive Income (Loss) for the year ended October 31, 2020. We did not record impairment charges on other intangible assets during fiscal year 2021.</w:t>
      </w:r>
    </w:p>
    <w:p>
      <w:pPr>
        <w:spacing w:after="0" w:line="92" w:lineRule="exact"/>
        <w:rPr>
          <w:rFonts w:ascii="Arial" w:cs="Arial" w:eastAsia="Arial" w:hAnsi="Arial"/>
          <w:sz w:val="21"/>
          <w:szCs w:val="21"/>
          <w:color w:val="auto"/>
          <w:vertAlign w:val="superscript"/>
        </w:rPr>
      </w:pPr>
    </w:p>
    <w:p>
      <w:pPr>
        <w:ind w:left="160" w:hanging="152"/>
        <w:spacing w:after="0"/>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Reflects additions from the Able Acquisition in 2021. See Note 4, “Acquisitions,” for additional information.</w:t>
      </w:r>
    </w:p>
    <w:p>
      <w:pPr>
        <w:spacing w:after="0" w:line="90"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These intangible assets are being amortized over the expected period of benefit, with a weighted average life of approximately 12 years.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Estimated Annual Amortization Expense for Each of the Next Five Years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2026</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3480" w:type="dxa"/>
            <w:vAlign w:val="bottom"/>
            <w:tcBorders>
              <w:bottom w:val="single" w:sz="8" w:color="DCE2E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4200" w:type="dxa"/>
            <w:vAlign w:val="bottom"/>
            <w:gridSpan w:val="2"/>
            <w:shd w:val="clear" w:color="auto" w:fill="DCE2EF"/>
          </w:tcPr>
          <w:p>
            <w:pPr>
              <w:spacing w:after="0" w:line="223" w:lineRule="exact"/>
              <w:rPr>
                <w:sz w:val="20"/>
                <w:szCs w:val="20"/>
                <w:color w:val="auto"/>
              </w:rPr>
            </w:pPr>
            <w:r>
              <w:rPr>
                <w:rFonts w:ascii="Arial" w:cs="Arial" w:eastAsia="Arial" w:hAnsi="Arial"/>
                <w:sz w:val="18"/>
                <w:szCs w:val="18"/>
                <w:color w:val="auto"/>
              </w:rPr>
              <w:t>Estimated amortization expense</w:t>
            </w:r>
            <w:r>
              <w:rPr>
                <w:rFonts w:ascii="Arial" w:cs="Arial" w:eastAsia="Arial" w:hAnsi="Arial"/>
                <w:sz w:val="23"/>
                <w:szCs w:val="23"/>
                <w:color w:val="auto"/>
                <w:vertAlign w:val="superscript"/>
              </w:rPr>
              <w:t>(1)</w:t>
            </w:r>
          </w:p>
        </w:tc>
        <w:tc>
          <w:tcPr>
            <w:tcW w:w="860" w:type="dxa"/>
            <w:vAlign w:val="bottom"/>
            <w:shd w:val="clear" w:color="auto" w:fill="DCE2E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DCE2EF"/>
          </w:tcPr>
          <w:p>
            <w:pPr>
              <w:spacing w:after="0"/>
              <w:rPr>
                <w:sz w:val="19"/>
                <w:szCs w:val="19"/>
                <w:color w:val="auto"/>
              </w:rPr>
            </w:pPr>
          </w:p>
        </w:tc>
        <w:tc>
          <w:tcPr>
            <w:tcW w:w="860" w:type="dxa"/>
            <w:vAlign w:val="bottom"/>
            <w:shd w:val="clear" w:color="auto" w:fill="DCE2E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DCE2EF"/>
          </w:tcPr>
          <w:p>
            <w:pPr>
              <w:spacing w:after="0"/>
              <w:rPr>
                <w:sz w:val="19"/>
                <w:szCs w:val="19"/>
                <w:color w:val="auto"/>
              </w:rPr>
            </w:pPr>
          </w:p>
        </w:tc>
        <w:tc>
          <w:tcPr>
            <w:tcW w:w="880" w:type="dxa"/>
            <w:vAlign w:val="bottom"/>
            <w:shd w:val="clear" w:color="auto" w:fill="DCE2EF"/>
          </w:tcPr>
          <w:p>
            <w:pPr>
              <w:jc w:val="right"/>
              <w:ind w:right="67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6"/>
              </w:rPr>
              <w:t>51.7</w:t>
            </w:r>
          </w:p>
        </w:tc>
        <w:tc>
          <w:tcPr>
            <w:tcW w:w="100" w:type="dxa"/>
            <w:vAlign w:val="bottom"/>
            <w:shd w:val="clear" w:color="auto" w:fill="DCE2EF"/>
          </w:tcPr>
          <w:p>
            <w:pPr>
              <w:spacing w:after="0"/>
              <w:rPr>
                <w:sz w:val="19"/>
                <w:szCs w:val="19"/>
                <w:color w:val="auto"/>
              </w:rPr>
            </w:pPr>
          </w:p>
        </w:tc>
        <w:tc>
          <w:tcPr>
            <w:tcW w:w="3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DCE2EF"/>
          </w:tcPr>
          <w:p>
            <w:pPr>
              <w:spacing w:after="0"/>
              <w:rPr>
                <w:sz w:val="19"/>
                <w:szCs w:val="19"/>
                <w:color w:val="auto"/>
              </w:rPr>
            </w:pPr>
          </w:p>
        </w:tc>
        <w:tc>
          <w:tcPr>
            <w:tcW w:w="28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40.2</w:t>
            </w:r>
          </w:p>
        </w:tc>
      </w:tr>
    </w:tbl>
    <w:p>
      <w:pPr>
        <w:spacing w:after="0" w:line="218" w:lineRule="exact"/>
        <w:rPr>
          <w:sz w:val="20"/>
          <w:szCs w:val="20"/>
          <w:color w:val="auto"/>
        </w:rPr>
      </w:pPr>
    </w:p>
    <w:p>
      <w:pPr>
        <w:ind w:left="180" w:hanging="172"/>
        <w:spacing w:after="0" w:line="216" w:lineRule="auto"/>
        <w:tabs>
          <w:tab w:leader="none" w:pos="206" w:val="left"/>
        </w:tabs>
        <w:numPr>
          <w:ilvl w:val="0"/>
          <w:numId w:val="34"/>
        </w:numPr>
        <w:rPr>
          <w:rFonts w:ascii="Arial" w:cs="Arial" w:eastAsia="Arial" w:hAnsi="Arial"/>
          <w:sz w:val="21"/>
          <w:szCs w:val="21"/>
          <w:color w:val="auto"/>
          <w:vertAlign w:val="superscript"/>
        </w:rPr>
      </w:pPr>
      <w:r>
        <w:rPr>
          <w:rFonts w:ascii="Arial" w:cs="Arial" w:eastAsia="Arial" w:hAnsi="Arial"/>
          <w:sz w:val="16"/>
          <w:szCs w:val="16"/>
          <w:color w:val="auto"/>
        </w:rPr>
        <w:t>These amounts could vary as acquisitions of additional intangible assets occur in the future and as purchase price allocations are finalized for existing acquisitions.</w:t>
      </w:r>
    </w:p>
    <w:p>
      <w:pPr>
        <w:sectPr>
          <w:pgSz w:w="11900" w:h="16838" w:orient="portrait"/>
          <w:cols w:equalWidth="0" w:num="1">
            <w:col w:w="11240"/>
          </w:cols>
          <w:pgMar w:left="320" w:top="1210"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type w:val="continuous"/>
        </w:sectPr>
      </w:pPr>
    </w:p>
    <w:bookmarkStart w:id="77" w:name="page78"/>
    <w:bookmarkEnd w:id="77"/>
    <w:p>
      <w:pPr>
        <w:jc w:val="both"/>
        <w:ind w:firstLine="648"/>
        <w:spacing w:after="0" w:line="253" w:lineRule="auto"/>
        <w:rPr>
          <w:sz w:val="20"/>
          <w:szCs w:val="20"/>
          <w:color w:val="auto"/>
        </w:rPr>
      </w:pPr>
      <w:r>
        <w:rPr>
          <w:rFonts w:ascii="Arial" w:cs="Arial" w:eastAsia="Arial" w:hAnsi="Arial"/>
          <w:sz w:val="18"/>
          <w:szCs w:val="18"/>
          <w:color w:val="auto"/>
        </w:rPr>
        <w:t>The estimates of future cash flows used in determining the fair value of goodwill and other intangible assets involve significant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10.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For the majority of these insurance programs, we retain the initial $1.0 million to $1.5 million of exposure on a per-occurrence basis, either through deductibles or self-insured retentions.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maintain stop-loss insurance for our self-insured medical plan under which we retain up to $0.5 million of exposure on a per-participant, per-year basis with respect to claims.</w:t>
      </w:r>
    </w:p>
    <w:p>
      <w:pPr>
        <w:spacing w:after="0" w:line="1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maintain our reserves for workers’ compensation, general liability, automobile liability, and property damage insurance claims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reviews are used to estimate our insurance rates and insurance reserves for future periods and to adjust reserves, if appropriate, for prior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Insurance Reserve Adjustments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Actuarial Reviews and Updates Performed During 2021</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review our self-insurance liabilities on a quarterly basis and adjust our accruals accordingly. Actual claims activity or development may vary from our assumptions and estimates, which may result in material losses or gains. As we obtain additional information that affects the assumptions and estimates used in our reserve liability calculations, we adjust our self-insurance rates and reserves for future periods and, if appropriate, adjust our reserves for claims incurred in prior accounting periods.</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first and third quarters of 2021, we performed comprehensive actuarial reviews of the majority of our casualty insurance programs to evaluate changes made to claims reserves and claims payment activity for the periods of May 1, 2020, through October 31, 2020, and November 1, 2020, through April 30, 2021, respectively (the “Actuarial Reviews”). The Actuarial Reviews were comprehensive in nature and were based on loss development patterns, trend assumptions, and underlying expected loss costs during the periods analyzed.</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second and fourth quarters of 2021, we performed interim actuarial updates of the majority of our casualty insurance programs that considered changes in claims development and claims payment activity for the respective periods analyzed (the “Interim Updates”). These Interim Updates were abbreviated in nature based on actual versus expected development during the periods analyzed and relied on the key assumptions in the Actuarial Reviews (most notably loss development patterns, trend assumptions, and underlying expected loss costs).</w:t>
      </w:r>
    </w:p>
    <w:p>
      <w:pPr>
        <w:spacing w:after="0" w:line="15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Based on the results of the Actuarial Reviews and Interim Updates, we decreased our total reserves related to prior years for known claims as well as our estimate of the loss amounts associated with IBNR claims during 2021 by $36.0 million. In 2020, we decreased our total reserves related to prior year claims by $30.2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9"/>
        </w:trPr>
        <w:tc>
          <w:tcPr>
            <w:tcW w:w="7280" w:type="dxa"/>
            <w:vAlign w:val="bottom"/>
            <w:gridSpan w:val="3"/>
          </w:tcPr>
          <w:p>
            <w:pPr>
              <w:spacing w:after="0"/>
              <w:rPr>
                <w:sz w:val="20"/>
                <w:szCs w:val="20"/>
                <w:color w:val="auto"/>
              </w:rPr>
            </w:pPr>
            <w:r>
              <w:rPr>
                <w:rFonts w:ascii="Arial" w:cs="Arial" w:eastAsia="Arial" w:hAnsi="Arial"/>
                <w:sz w:val="18"/>
                <w:szCs w:val="18"/>
                <w:b w:val="1"/>
                <w:bCs w:val="1"/>
                <w:color w:val="0046AD"/>
              </w:rPr>
              <w:t>Insurance-Related Balances and Activity</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726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 2021</w:t>
            </w:r>
          </w:p>
        </w:tc>
        <w:tc>
          <w:tcPr>
            <w:tcW w:w="180" w:type="dxa"/>
            <w:vAlign w:val="bottom"/>
          </w:tcPr>
          <w:p>
            <w:pPr>
              <w:spacing w:after="0"/>
              <w:rPr>
                <w:sz w:val="24"/>
                <w:szCs w:val="24"/>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rPr>
              <w:t>October 31, 2020</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654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72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Insurance claim reserves, excluding medical and dental</w:t>
            </w: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574.8</w:t>
            </w:r>
          </w:p>
        </w:tc>
        <w:tc>
          <w:tcPr>
            <w:tcW w:w="100" w:type="dxa"/>
            <w:vAlign w:val="bottom"/>
            <w:shd w:val="clear" w:color="auto" w:fill="DCE2EF"/>
          </w:tcPr>
          <w:p>
            <w:pPr>
              <w:spacing w:after="0"/>
              <w:rPr>
                <w:sz w:val="19"/>
                <w:szCs w:val="19"/>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504.9</w:t>
            </w:r>
          </w:p>
        </w:tc>
      </w:tr>
      <w:tr>
        <w:trPr>
          <w:trHeight w:val="230"/>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Medical and dental claim reserves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20" w:type="dxa"/>
            <w:vAlign w:val="bottom"/>
            <w:shd w:val="clear" w:color="auto" w:fill="DCE2EF"/>
          </w:tcPr>
          <w:p>
            <w:pPr>
              <w:spacing w:after="0"/>
              <w:rPr>
                <w:sz w:val="19"/>
                <w:szCs w:val="19"/>
                <w:color w:val="auto"/>
              </w:rPr>
            </w:pPr>
          </w:p>
        </w:tc>
        <w:tc>
          <w:tcPr>
            <w:tcW w:w="72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Insurance recoverables</w:t>
            </w:r>
          </w:p>
        </w:tc>
        <w:tc>
          <w:tcPr>
            <w:tcW w:w="180" w:type="dxa"/>
            <w:vAlign w:val="bottom"/>
            <w:shd w:val="clear" w:color="auto" w:fill="DCE2EF"/>
          </w:tcPr>
          <w:p>
            <w:pPr>
              <w:spacing w:after="0"/>
              <w:rPr>
                <w:sz w:val="19"/>
                <w:szCs w:val="19"/>
                <w:color w:val="auto"/>
              </w:rPr>
            </w:pPr>
          </w:p>
        </w:tc>
        <w:tc>
          <w:tcPr>
            <w:tcW w:w="1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7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70.1</w:t>
            </w:r>
          </w:p>
        </w:tc>
      </w:tr>
    </w:tbl>
    <w:p>
      <w:pPr>
        <w:spacing w:after="0" w:line="215"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At October 31, 2021 and 2020, insurance recoverables are included in both “Other current assets” and “Other noncurrent assets” on the accompanying Consolidated Balance Sheets.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Casualty Program Insurance Reserves Rollforward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00" w:type="dxa"/>
            <w:vAlign w:val="bottom"/>
            <w:tcBorders>
              <w:bottom w:val="single" w:sz="8" w:color="auto"/>
            </w:tcBorders>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62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122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51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2019</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556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628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Net balance at beginning of year</w:t>
            </w: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434.8</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443.3</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427.7</w:t>
            </w:r>
          </w:p>
        </w:tc>
      </w:tr>
      <w:tr>
        <w:trPr>
          <w:trHeight w:val="229"/>
        </w:trPr>
        <w:tc>
          <w:tcPr>
            <w:tcW w:w="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 xml:space="preserve">Change in case reserves plus IBNR Claims </w:t>
            </w:r>
            <w:r>
              <w:rPr>
                <w:rFonts w:ascii="Arial" w:cs="Arial" w:eastAsia="Arial" w:hAnsi="Arial"/>
                <w:sz w:val="16"/>
                <w:szCs w:val="16"/>
                <w:color w:val="auto"/>
              </w:rPr>
              <w:t>—</w:t>
            </w:r>
            <w:r>
              <w:rPr>
                <w:rFonts w:ascii="Arial" w:cs="Arial" w:eastAsia="Arial" w:hAnsi="Arial"/>
                <w:sz w:val="18"/>
                <w:szCs w:val="18"/>
                <w:color w:val="auto"/>
              </w:rPr>
              <w:t xml:space="preserve"> current year</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137.9</w:t>
            </w:r>
          </w:p>
        </w:tc>
      </w:tr>
      <w:tr>
        <w:trPr>
          <w:trHeight w:val="229"/>
        </w:trPr>
        <w:tc>
          <w:tcPr>
            <w:tcW w:w="20" w:type="dxa"/>
            <w:vAlign w:val="bottom"/>
            <w:shd w:val="clear" w:color="auto" w:fill="DCE2EF"/>
          </w:tcPr>
          <w:p>
            <w:pPr>
              <w:spacing w:after="0"/>
              <w:rPr>
                <w:sz w:val="19"/>
                <w:szCs w:val="19"/>
                <w:color w:val="auto"/>
              </w:rPr>
            </w:pPr>
          </w:p>
        </w:tc>
        <w:tc>
          <w:tcPr>
            <w:tcW w:w="62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 xml:space="preserve">Change in case reserves plus IBNR Claims </w:t>
            </w:r>
            <w:r>
              <w:rPr>
                <w:rFonts w:ascii="Arial" w:cs="Arial" w:eastAsia="Arial" w:hAnsi="Arial"/>
                <w:sz w:val="16"/>
                <w:szCs w:val="16"/>
                <w:color w:val="auto"/>
              </w:rPr>
              <w:t>—</w:t>
            </w:r>
            <w:r>
              <w:rPr>
                <w:rFonts w:ascii="Arial" w:cs="Arial" w:eastAsia="Arial" w:hAnsi="Arial"/>
                <w:sz w:val="18"/>
                <w:szCs w:val="18"/>
                <w:color w:val="auto"/>
              </w:rPr>
              <w:t xml:space="preserve"> prior years</w:t>
            </w:r>
          </w:p>
        </w:tc>
        <w:tc>
          <w:tcPr>
            <w:tcW w:w="340" w:type="dxa"/>
            <w:vAlign w:val="bottom"/>
            <w:shd w:val="clear" w:color="auto" w:fill="DCE2EF"/>
          </w:tcPr>
          <w:p>
            <w:pPr>
              <w:spacing w:after="0"/>
              <w:rPr>
                <w:sz w:val="19"/>
                <w:szCs w:val="19"/>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Claims paid</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(119.1)</w:t>
            </w:r>
          </w:p>
        </w:tc>
      </w:tr>
      <w:tr>
        <w:trPr>
          <w:trHeight w:val="229"/>
        </w:trPr>
        <w:tc>
          <w:tcPr>
            <w:tcW w:w="20" w:type="dxa"/>
            <w:vAlign w:val="bottom"/>
            <w:shd w:val="clear" w:color="auto" w:fill="DCE2EF"/>
          </w:tcPr>
          <w:p>
            <w:pPr>
              <w:spacing w:after="0"/>
              <w:rPr>
                <w:sz w:val="19"/>
                <w:szCs w:val="19"/>
                <w:color w:val="auto"/>
              </w:rPr>
            </w:pPr>
          </w:p>
        </w:tc>
        <w:tc>
          <w:tcPr>
            <w:tcW w:w="6280" w:type="dxa"/>
            <w:vAlign w:val="bottom"/>
            <w:gridSpan w:val="2"/>
            <w:shd w:val="clear" w:color="auto" w:fill="DCE2EF"/>
          </w:tcPr>
          <w:p>
            <w:pPr>
              <w:spacing w:after="0" w:line="230" w:lineRule="exact"/>
              <w:rPr>
                <w:sz w:val="20"/>
                <w:szCs w:val="20"/>
                <w:color w:val="auto"/>
              </w:rPr>
            </w:pPr>
            <w:r>
              <w:rPr>
                <w:rFonts w:ascii="Arial" w:cs="Arial" w:eastAsia="Arial" w:hAnsi="Arial"/>
                <w:sz w:val="18"/>
                <w:szCs w:val="18"/>
                <w:color w:val="auto"/>
              </w:rPr>
              <w:t>Acquisition</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DCE2EF"/>
          </w:tcPr>
          <w:p>
            <w:pPr>
              <w:spacing w:after="0"/>
              <w:rPr>
                <w:sz w:val="19"/>
                <w:szCs w:val="19"/>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DCE2EF"/>
          </w:tcPr>
          <w:p>
            <w:pPr>
              <w:spacing w:after="0"/>
              <w:rPr>
                <w:sz w:val="19"/>
                <w:szCs w:val="19"/>
                <w:color w:val="auto"/>
              </w:rPr>
            </w:pPr>
          </w:p>
        </w:tc>
        <w:tc>
          <w:tcPr>
            <w:tcW w:w="38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280" w:type="dxa"/>
            <w:vAlign w:val="bottom"/>
            <w:gridSpan w:val="2"/>
          </w:tcPr>
          <w:p>
            <w:pPr>
              <w:spacing w:after="0" w:line="223" w:lineRule="exact"/>
              <w:rPr>
                <w:sz w:val="20"/>
                <w:szCs w:val="20"/>
                <w:color w:val="auto"/>
              </w:rPr>
            </w:pPr>
            <w:r>
              <w:rPr>
                <w:rFonts w:ascii="Arial" w:cs="Arial" w:eastAsia="Arial" w:hAnsi="Arial"/>
                <w:sz w:val="18"/>
                <w:szCs w:val="18"/>
                <w:b w:val="1"/>
                <w:bCs w:val="1"/>
                <w:color w:val="auto"/>
              </w:rPr>
              <w:t>Net balance, October 31</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443.3</w:t>
            </w:r>
          </w:p>
        </w:tc>
      </w:tr>
      <w:tr>
        <w:trPr>
          <w:trHeight w:val="229"/>
        </w:trPr>
        <w:tc>
          <w:tcPr>
            <w:tcW w:w="20" w:type="dxa"/>
            <w:vAlign w:val="bottom"/>
            <w:shd w:val="clear" w:color="auto" w:fill="DCE2EF"/>
          </w:tcPr>
          <w:p>
            <w:pPr>
              <w:spacing w:after="0"/>
              <w:rPr>
                <w:sz w:val="19"/>
                <w:szCs w:val="19"/>
                <w:color w:val="auto"/>
              </w:rPr>
            </w:pPr>
          </w:p>
        </w:tc>
        <w:tc>
          <w:tcPr>
            <w:tcW w:w="628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Recoverables</w:t>
            </w:r>
          </w:p>
        </w:tc>
        <w:tc>
          <w:tcPr>
            <w:tcW w:w="340" w:type="dxa"/>
            <w:vAlign w:val="bottom"/>
            <w:tcBorders>
              <w:bottom w:val="single" w:sz="8" w:color="auto"/>
            </w:tcBorders>
            <w:shd w:val="clear" w:color="auto" w:fill="DCE2EF"/>
          </w:tcPr>
          <w:p>
            <w:pPr>
              <w:spacing w:after="0"/>
              <w:rPr>
                <w:sz w:val="19"/>
                <w:szCs w:val="19"/>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DCE2EF"/>
          </w:tcPr>
          <w:p>
            <w:pPr>
              <w:spacing w:after="0"/>
              <w:rPr>
                <w:sz w:val="19"/>
                <w:szCs w:val="19"/>
                <w:color w:val="auto"/>
              </w:rPr>
            </w:pPr>
          </w:p>
        </w:tc>
        <w:tc>
          <w:tcPr>
            <w:tcW w:w="38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64.5</w:t>
            </w:r>
          </w:p>
        </w:tc>
      </w:tr>
      <w:tr>
        <w:trPr>
          <w:trHeight w:val="223"/>
        </w:trPr>
        <w:tc>
          <w:tcPr>
            <w:tcW w:w="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Gross balance, October 31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21"/>
          <w:szCs w:val="21"/>
          <w:color w:val="auto"/>
          <w:vertAlign w:val="superscript"/>
        </w:rPr>
      </w:pPr>
      <w:r>
        <w:rPr>
          <w:rFonts w:ascii="Arial" w:cs="Arial" w:eastAsia="Arial" w:hAnsi="Arial"/>
          <w:sz w:val="16"/>
          <w:szCs w:val="16"/>
          <w:color w:val="auto"/>
        </w:rPr>
        <w:t>During 2021, insurance reserves increased as a result of the Able Acquisition. See Note 4, “Acquisitions,” for additional information.</w:t>
      </w:r>
    </w:p>
    <w:p>
      <w:pPr>
        <w:spacing w:after="0" w:line="163"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35"/>
        </w:numPr>
        <w:rPr>
          <w:rFonts w:ascii="Arial" w:cs="Arial" w:eastAsia="Arial" w:hAnsi="Arial"/>
          <w:sz w:val="21"/>
          <w:szCs w:val="21"/>
          <w:color w:val="auto"/>
          <w:vertAlign w:val="superscript"/>
        </w:rPr>
      </w:pPr>
      <w:r>
        <w:rPr>
          <w:rFonts w:ascii="Arial" w:cs="Arial" w:eastAsia="Arial" w:hAnsi="Arial"/>
          <w:sz w:val="16"/>
          <w:szCs w:val="16"/>
          <w:color w:val="auto"/>
        </w:rPr>
        <w:t>Includes reserves related to discontinued operations of approximately $0.3 million for 2021, $0.5 million for 2020, and $1.0 million for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Instruments Used to Collateralize Our Insurance Obligations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22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72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440" w:type="dxa"/>
            <w:vAlign w:val="bottom"/>
          </w:tcPr>
          <w:p>
            <w:pPr>
              <w:spacing w:after="0"/>
              <w:rPr>
                <w:sz w:val="15"/>
                <w:szCs w:val="15"/>
                <w:color w:val="auto"/>
              </w:rPr>
            </w:pPr>
          </w:p>
        </w:tc>
        <w:tc>
          <w:tcPr>
            <w:tcW w:w="1500" w:type="dxa"/>
            <w:vAlign w:val="bottom"/>
          </w:tcPr>
          <w:p>
            <w:pPr>
              <w:jc w:val="right"/>
              <w:ind w:right="67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jc w:val="right"/>
              <w:ind w:right="690"/>
              <w:spacing w:after="0" w:line="182" w:lineRule="exact"/>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65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722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Standby letters of credit</w:t>
            </w: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157.9</w:t>
            </w:r>
          </w:p>
        </w:tc>
        <w:tc>
          <w:tcPr>
            <w:tcW w:w="120" w:type="dxa"/>
            <w:vAlign w:val="bottom"/>
            <w:shd w:val="clear" w:color="auto" w:fill="DCE2EF"/>
          </w:tcPr>
          <w:p>
            <w:pPr>
              <w:spacing w:after="0"/>
              <w:rPr>
                <w:sz w:val="19"/>
                <w:szCs w:val="19"/>
                <w:color w:val="auto"/>
              </w:rPr>
            </w:pPr>
          </w:p>
        </w:tc>
        <w:tc>
          <w:tcPr>
            <w:tcW w:w="720" w:type="dxa"/>
            <w:vAlign w:val="bottom"/>
            <w:shd w:val="clear" w:color="auto" w:fill="DCE2EF"/>
          </w:tcPr>
          <w:p>
            <w:pPr>
              <w:jc w:val="right"/>
              <w:ind w:right="5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143.6</w:t>
            </w:r>
          </w:p>
        </w:tc>
      </w:tr>
      <w:tr>
        <w:trPr>
          <w:trHeight w:val="230"/>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Surety bonds</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30"/>
        </w:trPr>
        <w:tc>
          <w:tcPr>
            <w:tcW w:w="20" w:type="dxa"/>
            <w:vAlign w:val="bottom"/>
            <w:shd w:val="clear" w:color="auto" w:fill="DCE2EF"/>
          </w:tcPr>
          <w:p>
            <w:pPr>
              <w:spacing w:after="0"/>
              <w:rPr>
                <w:sz w:val="19"/>
                <w:szCs w:val="19"/>
                <w:color w:val="auto"/>
              </w:rPr>
            </w:pPr>
          </w:p>
        </w:tc>
        <w:tc>
          <w:tcPr>
            <w:tcW w:w="722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Restricted insurance deposits</w:t>
            </w:r>
          </w:p>
        </w:tc>
        <w:tc>
          <w:tcPr>
            <w:tcW w:w="440" w:type="dxa"/>
            <w:vAlign w:val="bottom"/>
            <w:tcBorders>
              <w:bottom w:val="single" w:sz="8" w:color="auto"/>
            </w:tcBorders>
            <w:shd w:val="clear" w:color="auto" w:fill="DCE2EF"/>
          </w:tcPr>
          <w:p>
            <w:pPr>
              <w:spacing w:after="0"/>
              <w:rPr>
                <w:sz w:val="19"/>
                <w:szCs w:val="19"/>
                <w:color w:val="auto"/>
              </w:rPr>
            </w:pPr>
          </w:p>
        </w:tc>
        <w:tc>
          <w:tcPr>
            <w:tcW w:w="15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DCE2EF"/>
          </w:tcPr>
          <w:p>
            <w:pPr>
              <w:spacing w:after="0"/>
              <w:rPr>
                <w:sz w:val="19"/>
                <w:szCs w:val="19"/>
                <w:color w:val="auto"/>
              </w:rPr>
            </w:pPr>
          </w:p>
        </w:tc>
        <w:tc>
          <w:tcPr>
            <w:tcW w:w="720" w:type="dxa"/>
            <w:vAlign w:val="bottom"/>
            <w:tcBorders>
              <w:bottom w:val="single" w:sz="8" w:color="auto"/>
            </w:tcBorders>
            <w:shd w:val="clear" w:color="auto" w:fill="DCE2EF"/>
          </w:tcPr>
          <w:p>
            <w:pPr>
              <w:spacing w:after="0"/>
              <w:rPr>
                <w:sz w:val="19"/>
                <w:szCs w:val="19"/>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11.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consisting of a $900.0 million revolving line of credit and an $800.0 million amortizing term loan, both of which are scheduled to mature on September 1, 2022. In accordance with the terms of the Credit Facility, the revolving line of credit was reduced to $800.0 million on September 1, 2018. In late March 2020, we borrowed approximately $300 million as a precautionary measure to provide increased liquidity and preserve financial flexibility in response to uncertainty resulting from the Pandemic. This represented all remaining amounts then available under the revolving line of credit. During the quarter ended July 31, 2020, the Company repaid substantially all of these amounts borrowed under the revolving line of credit without penalty.</w:t>
      </w:r>
    </w:p>
    <w:p>
      <w:pPr>
        <w:spacing w:after="0" w:line="1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On May 28, 2020, we amended our Credit Facility with the First Amendment to further enhance our financial flexibility as a precautionary measure in response to uncertainty arising from the Pandemic. The First Amendment modified the financial covenants under the Credit Facility, including: (i) replacing a maximum total leverage ratio with a maximum total net leverage ratio that varies on a quarterly basis and adjusted to 6.50 to 1.00 by the quarter ending October 31, 2020, and back to 4.00 to 1.00 by the quarter ending October 31, 2022;</w:t>
      </w:r>
    </w:p>
    <w:p>
      <w:pPr>
        <w:spacing w:after="0" w:line="2"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modifying the minimum fixed charge coverage ratio on a quarterly basis, which adjusts to 1.25 to 1.00 as of the quarter ending</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79" w:name="page80"/>
    <w:bookmarkEnd w:id="79"/>
    <w:p>
      <w:pPr>
        <w:jc w:val="both"/>
        <w:spacing w:after="0" w:line="261" w:lineRule="auto"/>
        <w:rPr>
          <w:sz w:val="20"/>
          <w:szCs w:val="20"/>
          <w:color w:val="auto"/>
        </w:rPr>
      </w:pPr>
      <w:r>
        <w:rPr>
          <w:rFonts w:ascii="Arial" w:cs="Arial" w:eastAsia="Arial" w:hAnsi="Arial"/>
          <w:sz w:val="18"/>
          <w:szCs w:val="18"/>
          <w:color w:val="auto"/>
        </w:rPr>
        <w:t>April 30, 2022; and (iii) adding a minimum liquidity (defined in the Amendment as domestic cash plus available revolving loans) of $250.0 million. These financial covenants were effective with the quarter ended April 30, 2020.</w:t>
      </w:r>
    </w:p>
    <w:p>
      <w:pPr>
        <w:spacing w:after="0" w:line="14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First Amendment changed the interest rate, interest margins, and commitment fees applicable to loans and commitments under the Credit Facility. It also added a new anti-cash hoarding mandatory prepayment that required us to repay outstanding revolving loans or swingline loans if at any time we have in excess of $250 million of cash and cash equivalents on our balance sheet. The First Amendment made certain additional changes to the negative covenants restrictions under the Credit Facility, including, subject to certain exceptions, restrictions on our ability to make acquisitions, share repurchases, and other defined restricted payments, depending on our total net leverage ratio.</w:t>
      </w:r>
    </w:p>
    <w:p>
      <w:pPr>
        <w:spacing w:after="0" w:line="15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Prior to the First Amendment, borrowings under the Credit Facility bore interest at a rate equal to one-month LIBOR plus a spread that was based upon our leverage ratio. The spread ranged from 1.00% to 2.25% for Eurocurrency loans and 0.00% to 1.25% for base rate loans. We were also charged a commitment fee, which was paid quarterly in arrears and was based on our leverage ratio, that ranged from 0.200% to 0.350% on the average daily unused portion of the revolving line of credit. For purposes of this calculation, irrevocable standby letters of credit, which are issued primarily in conjunction with our insurance programs, and cash borrowings were included as outstanding under the line of credit.</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Subsequent to the First Amendment, borrowings under the Credit Facility bore interest at a rate equal to one-month LIBOR plus a spread that is based upon our total leverage ratio. The spread ranged from 1.00% to 2.75% for revolving Eurocurrency loans and 0.00% to 1.75% for revolving base rate loans. We were also charged a commitment fee, which was paid quarterly in arrears and was based on our total leverage ratio, that ranges from 0.200% to 0.450% on the average daily unused portion of the revolving line of credit.</w:t>
      </w:r>
    </w:p>
    <w:p>
      <w:pPr>
        <w:spacing w:after="0" w:line="15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June 28, 2021, the Company amended and restated the Credit Facility with the Second Amendment, extending the maturity date to June 28, 2026, and increasing the capacity of the revolving credit facility from $800.0 million to $1.3 billion and the-then remaining term loan outstanding from $620.0 million to $650.0 million. The Second Amendment also removed the anti-cash hoarding mandatory prepayment requirement under the First Amendment as well as other restrictions that limited our ability to make acquisitions, share repurchases, and other defined restricted payments. Additionally, the Second Amendment modified certain financial covenants, terms, interest rates, interest margins, and commitment fees applicable to loans and commitments under the prior Credit Facility. The Amended Credit Facility provides for the issuance of up to $350.0 million for standby letters of credit and the issuance of up to $75.0 million in swingline advances. The obligations under the Amended Credit Facility are secured on a first-priority basis by a lien on substantially all of our assets and properties, subject to certain exceptions. Additionally, we may repay amounts borrowed under the Amended Credit Facility at any time without penalty.</w:t>
      </w:r>
    </w:p>
    <w:p>
      <w:pPr>
        <w:spacing w:after="0" w:line="15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the Amended Credit Facility, the term loan and U.S.-dollar-denominated borrowings under the revolver bear interest at a rate equal to one-month LIBOR plus a spread based upon our leverage ratio. Euro- and sterling-denominated borrowings under the revolver bear at a rate equal to the EURIBOR and the SONIA reference rates, respectively, plus a spread that is based upon our leverage ratio. The spread ranges from 1.375% to 2.250% for Eurocurrency loans and 0.375% to 1.250% for base rate loans. At October 31, 2021, the weighted average interest rate on our outstanding borrowings was 1.59%. We also pay a commitment fee, based on our leverage ratio and payable quarterly in arrears, ranging from 0.20% to 0.40% on the average daily unused portion of the line of credit. For purposes of this calculation, irrevocable standby letters of credit, which are issued primarily in conjunction with our insurance programs, and cash borrowings are included as outstanding under the line of credit.</w:t>
      </w:r>
    </w:p>
    <w:p>
      <w:pPr>
        <w:spacing w:after="0" w:line="15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 the Amended Credit Facility, we may elect to increase the maximum total net leverage ratio to 5.50 to 1.00 for a total of four fiscal quarters and increase the maximum secured net leverage ratio to 4.50 to 1.00 for a total of four fiscal quarters. We did not make this election for the Able Acquisition. Our borrowing capacity is subject to, and limited by, compliance with the covenants described above. At October 31, 2021, we were in compliance with these covenants.</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Amended Credit Facility also includes customary events of default, including: failure to pay principal, interest, or fees when due, failure to comply with covenants; the occurrence of certain material judgments; and a change in control of the Company. If certain events of default occur, including certain cross-defaults, insolvency, change in control, or violation of specific covenants, then the lenders can terminate or suspend our access to the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80" w:name="page81"/>
    <w:bookmarkEnd w:id="80"/>
    <w:p>
      <w:pPr>
        <w:jc w:val="both"/>
        <w:spacing w:after="0" w:line="261" w:lineRule="auto"/>
        <w:rPr>
          <w:sz w:val="20"/>
          <w:szCs w:val="20"/>
          <w:color w:val="auto"/>
        </w:rPr>
      </w:pPr>
      <w:r>
        <w:rPr>
          <w:rFonts w:ascii="Arial" w:cs="Arial" w:eastAsia="Arial" w:hAnsi="Arial"/>
          <w:sz w:val="18"/>
          <w:szCs w:val="18"/>
          <w:color w:val="auto"/>
        </w:rPr>
        <w:t>Amended Credit Facility, declare all amounts outstanding (including all accrued interest and unpaid fees) to be immediately due and payable, and require that we cash collateralize the outstanding standby letters of credit.</w:t>
      </w:r>
    </w:p>
    <w:p>
      <w:pPr>
        <w:spacing w:after="0" w:line="14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incurred deferred financing costs of $6.4 million in conjunction with the Second Amendment and carried over $6.2 million of unamortized deferred financing from the initial execution, First Amendment, and previous amendments of the Credit Facility. Total deferred financing costs of $ 12.6 million, consisting of $4.9 million related to the term loan and $7.7 million related to the revolver, are being amortized to interest expense over the term of the Amended Credit Facility.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60" w:type="dxa"/>
            <w:vAlign w:val="bottom"/>
            <w:gridSpan w:val="3"/>
          </w:tcPr>
          <w:p>
            <w:pPr>
              <w:spacing w:after="0"/>
              <w:rPr>
                <w:sz w:val="20"/>
                <w:szCs w:val="20"/>
                <w:color w:val="auto"/>
              </w:rPr>
            </w:pPr>
            <w:r>
              <w:rPr>
                <w:rFonts w:ascii="Arial" w:cs="Arial" w:eastAsia="Arial" w:hAnsi="Arial"/>
                <w:sz w:val="18"/>
                <w:szCs w:val="18"/>
                <w:b w:val="1"/>
                <w:bCs w:val="1"/>
                <w:color w:val="0046AD"/>
              </w:rPr>
              <w:t>Credit Facility Information</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71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24"/>
                <w:szCs w:val="24"/>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 31, 2021</w:t>
            </w:r>
          </w:p>
        </w:tc>
        <w:tc>
          <w:tcPr>
            <w:tcW w:w="200" w:type="dxa"/>
            <w:vAlign w:val="bottom"/>
          </w:tcPr>
          <w:p>
            <w:pPr>
              <w:spacing w:after="0"/>
              <w:rPr>
                <w:sz w:val="24"/>
                <w:szCs w:val="24"/>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b w:val="1"/>
                <w:bCs w:val="1"/>
                <w:color w:val="auto"/>
              </w:rPr>
              <w:t>October 31, 2020</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714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DCE2EF"/>
          </w:tcPr>
          <w:p>
            <w:pPr>
              <w:spacing w:after="0"/>
              <w:rPr>
                <w:sz w:val="18"/>
                <w:szCs w:val="18"/>
                <w:color w:val="auto"/>
              </w:rPr>
            </w:pPr>
          </w:p>
        </w:tc>
        <w:tc>
          <w:tcPr>
            <w:tcW w:w="178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780" w:type="dxa"/>
            <w:vAlign w:val="bottom"/>
            <w:shd w:val="clear" w:color="auto" w:fill="DCE2E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140" w:type="dxa"/>
            <w:vAlign w:val="bottom"/>
            <w:gridSpan w:val="2"/>
          </w:tcPr>
          <w:p>
            <w:pPr>
              <w:ind w:left="200"/>
              <w:spacing w:after="0"/>
              <w:rPr>
                <w:sz w:val="20"/>
                <w:szCs w:val="20"/>
                <w:color w:val="auto"/>
              </w:rPr>
            </w:pPr>
            <w:r>
              <w:rPr>
                <w:rFonts w:ascii="Arial" w:cs="Arial" w:eastAsia="Arial" w:hAnsi="Arial"/>
                <w:sz w:val="18"/>
                <w:szCs w:val="18"/>
                <w:color w:val="auto"/>
              </w:rPr>
              <w:t>Gross term loan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29"/>
        </w:trPr>
        <w:tc>
          <w:tcPr>
            <w:tcW w:w="20" w:type="dxa"/>
            <w:vAlign w:val="bottom"/>
            <w:shd w:val="clear" w:color="auto" w:fill="DCE2EF"/>
          </w:tcPr>
          <w:p>
            <w:pPr>
              <w:spacing w:after="0"/>
              <w:rPr>
                <w:sz w:val="19"/>
                <w:szCs w:val="19"/>
                <w:color w:val="auto"/>
              </w:rPr>
            </w:pPr>
          </w:p>
        </w:tc>
        <w:tc>
          <w:tcPr>
            <w:tcW w:w="7140" w:type="dxa"/>
            <w:vAlign w:val="bottom"/>
            <w:gridSpan w:val="2"/>
            <w:shd w:val="clear" w:color="auto" w:fill="DCE2EF"/>
          </w:tcPr>
          <w:p>
            <w:pPr>
              <w:ind w:left="200"/>
              <w:spacing w:after="0"/>
              <w:rPr>
                <w:sz w:val="20"/>
                <w:szCs w:val="20"/>
                <w:color w:val="auto"/>
              </w:rPr>
            </w:pPr>
            <w:r>
              <w:rPr>
                <w:rFonts w:ascii="Arial" w:cs="Arial" w:eastAsia="Arial" w:hAnsi="Arial"/>
                <w:sz w:val="18"/>
                <w:szCs w:val="18"/>
                <w:color w:val="auto"/>
              </w:rPr>
              <w:t>Unamortized deferred financing costs</w:t>
            </w:r>
          </w:p>
        </w:tc>
        <w:tc>
          <w:tcPr>
            <w:tcW w:w="200" w:type="dxa"/>
            <w:vAlign w:val="bottom"/>
            <w:tcBorders>
              <w:bottom w:val="single" w:sz="8" w:color="auto"/>
            </w:tcBorders>
            <w:shd w:val="clear" w:color="auto" w:fill="DCE2EF"/>
          </w:tcPr>
          <w:p>
            <w:pPr>
              <w:spacing w:after="0"/>
              <w:rPr>
                <w:sz w:val="19"/>
                <w:szCs w:val="19"/>
                <w:color w:val="auto"/>
              </w:rPr>
            </w:pP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DCE2EF"/>
          </w:tcPr>
          <w:p>
            <w:pPr>
              <w:spacing w:after="0"/>
              <w:rPr>
                <w:sz w:val="19"/>
                <w:szCs w:val="19"/>
                <w:color w:val="auto"/>
              </w:rPr>
            </w:pPr>
          </w:p>
        </w:tc>
        <w:tc>
          <w:tcPr>
            <w:tcW w:w="200" w:type="dxa"/>
            <w:vAlign w:val="bottom"/>
            <w:tcBorders>
              <w:bottom w:val="single" w:sz="8" w:color="auto"/>
            </w:tcBorders>
            <w:shd w:val="clear" w:color="auto" w:fill="DCE2EF"/>
          </w:tcPr>
          <w:p>
            <w:pPr>
              <w:spacing w:after="0"/>
              <w:rPr>
                <w:sz w:val="19"/>
                <w:szCs w:val="19"/>
                <w:color w:val="auto"/>
              </w:rPr>
            </w:pP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20" w:type="dxa"/>
            <w:vAlign w:val="bottom"/>
            <w:tcBorders>
              <w:bottom w:val="single" w:sz="8" w:color="DCE2EF"/>
            </w:tcBorders>
          </w:tcPr>
          <w:p>
            <w:pPr>
              <w:spacing w:after="0"/>
              <w:rPr>
                <w:sz w:val="19"/>
                <w:szCs w:val="19"/>
                <w:color w:val="auto"/>
              </w:rPr>
            </w:pPr>
          </w:p>
        </w:tc>
        <w:tc>
          <w:tcPr>
            <w:tcW w:w="7140" w:type="dxa"/>
            <w:vAlign w:val="bottom"/>
            <w:tcBorders>
              <w:bottom w:val="single" w:sz="8" w:color="DCE2EF"/>
            </w:tcBorders>
            <w:gridSpan w:val="2"/>
          </w:tcPr>
          <w:p>
            <w:pPr>
              <w:ind w:left="460"/>
              <w:spacing w:after="0"/>
              <w:rPr>
                <w:sz w:val="20"/>
                <w:szCs w:val="20"/>
                <w:color w:val="auto"/>
              </w:rPr>
            </w:pPr>
            <w:r>
              <w:rPr>
                <w:rFonts w:ascii="Arial" w:cs="Arial" w:eastAsia="Arial" w:hAnsi="Arial"/>
                <w:sz w:val="18"/>
                <w:szCs w:val="18"/>
                <w:color w:val="auto"/>
              </w:rPr>
              <w:t>Current portion of term loan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DCE2E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r>
      <w:tr>
        <w:trPr>
          <w:trHeight w:val="250"/>
        </w:trPr>
        <w:tc>
          <w:tcPr>
            <w:tcW w:w="20" w:type="dxa"/>
            <w:vAlign w:val="bottom"/>
            <w:shd w:val="clear" w:color="auto" w:fill="DCE2EF"/>
          </w:tcPr>
          <w:p>
            <w:pPr>
              <w:spacing w:after="0"/>
              <w:rPr>
                <w:sz w:val="21"/>
                <w:szCs w:val="21"/>
                <w:color w:val="auto"/>
              </w:rPr>
            </w:pPr>
          </w:p>
        </w:tc>
        <w:tc>
          <w:tcPr>
            <w:tcW w:w="720" w:type="dxa"/>
            <w:vAlign w:val="bottom"/>
            <w:shd w:val="clear" w:color="auto" w:fill="DCE2EF"/>
          </w:tcPr>
          <w:p>
            <w:pPr>
              <w:spacing w:after="0"/>
              <w:rPr>
                <w:sz w:val="21"/>
                <w:szCs w:val="21"/>
                <w:color w:val="auto"/>
              </w:rPr>
            </w:pPr>
          </w:p>
        </w:tc>
        <w:tc>
          <w:tcPr>
            <w:tcW w:w="6420" w:type="dxa"/>
            <w:vAlign w:val="bottom"/>
            <w:shd w:val="clear" w:color="auto" w:fill="DCE2EF"/>
          </w:tcPr>
          <w:p>
            <w:pPr>
              <w:spacing w:after="0"/>
              <w:rPr>
                <w:sz w:val="21"/>
                <w:szCs w:val="21"/>
                <w:color w:val="auto"/>
              </w:rPr>
            </w:pPr>
          </w:p>
        </w:tc>
        <w:tc>
          <w:tcPr>
            <w:tcW w:w="200" w:type="dxa"/>
            <w:vAlign w:val="bottom"/>
            <w:shd w:val="clear" w:color="auto" w:fill="DCE2EF"/>
          </w:tcPr>
          <w:p>
            <w:pPr>
              <w:spacing w:after="0"/>
              <w:rPr>
                <w:sz w:val="21"/>
                <w:szCs w:val="21"/>
                <w:color w:val="auto"/>
              </w:rPr>
            </w:pPr>
          </w:p>
        </w:tc>
        <w:tc>
          <w:tcPr>
            <w:tcW w:w="1780" w:type="dxa"/>
            <w:vAlign w:val="bottom"/>
            <w:shd w:val="clear" w:color="auto" w:fill="DCE2EF"/>
          </w:tcPr>
          <w:p>
            <w:pPr>
              <w:spacing w:after="0"/>
              <w:rPr>
                <w:sz w:val="21"/>
                <w:szCs w:val="21"/>
                <w:color w:val="auto"/>
              </w:rPr>
            </w:pPr>
          </w:p>
        </w:tc>
        <w:tc>
          <w:tcPr>
            <w:tcW w:w="120" w:type="dxa"/>
            <w:vAlign w:val="bottom"/>
            <w:shd w:val="clear" w:color="auto" w:fill="DCE2EF"/>
          </w:tcPr>
          <w:p>
            <w:pPr>
              <w:spacing w:after="0"/>
              <w:rPr>
                <w:sz w:val="21"/>
                <w:szCs w:val="21"/>
                <w:color w:val="auto"/>
              </w:rPr>
            </w:pPr>
          </w:p>
        </w:tc>
        <w:tc>
          <w:tcPr>
            <w:tcW w:w="200" w:type="dxa"/>
            <w:vAlign w:val="bottom"/>
            <w:shd w:val="clear" w:color="auto" w:fill="DCE2EF"/>
          </w:tcPr>
          <w:p>
            <w:pPr>
              <w:spacing w:after="0"/>
              <w:rPr>
                <w:sz w:val="21"/>
                <w:szCs w:val="21"/>
                <w:color w:val="auto"/>
              </w:rPr>
            </w:pPr>
          </w:p>
        </w:tc>
        <w:tc>
          <w:tcPr>
            <w:tcW w:w="1780" w:type="dxa"/>
            <w:vAlign w:val="bottom"/>
            <w:shd w:val="clear" w:color="auto" w:fill="DCE2E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20" w:type="dxa"/>
            <w:vAlign w:val="bottom"/>
            <w:shd w:val="clear" w:color="auto" w:fill="DCE2EF"/>
          </w:tcPr>
          <w:p>
            <w:pPr>
              <w:spacing w:after="0"/>
              <w:rPr>
                <w:sz w:val="19"/>
                <w:szCs w:val="19"/>
                <w:color w:val="auto"/>
              </w:rPr>
            </w:pPr>
          </w:p>
        </w:tc>
        <w:tc>
          <w:tcPr>
            <w:tcW w:w="7140" w:type="dxa"/>
            <w:vAlign w:val="bottom"/>
            <w:gridSpan w:val="2"/>
            <w:shd w:val="clear" w:color="auto" w:fill="DCE2EF"/>
          </w:tcPr>
          <w:p>
            <w:pPr>
              <w:ind w:left="200"/>
              <w:spacing w:after="0"/>
              <w:rPr>
                <w:sz w:val="20"/>
                <w:szCs w:val="20"/>
                <w:color w:val="auto"/>
              </w:rPr>
            </w:pPr>
            <w:r>
              <w:rPr>
                <w:rFonts w:ascii="Arial" w:cs="Arial" w:eastAsia="Arial" w:hAnsi="Arial"/>
                <w:sz w:val="18"/>
                <w:szCs w:val="18"/>
                <w:color w:val="auto"/>
              </w:rPr>
              <w:t>Gross term loan</w:t>
            </w:r>
          </w:p>
        </w:tc>
        <w:tc>
          <w:tcPr>
            <w:tcW w:w="2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601.3</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560.0</w:t>
            </w:r>
          </w:p>
        </w:tc>
      </w:tr>
      <w:tr>
        <w:trPr>
          <w:trHeight w:val="230"/>
        </w:trPr>
        <w:tc>
          <w:tcPr>
            <w:tcW w:w="20" w:type="dxa"/>
            <w:vAlign w:val="bottom"/>
            <w:tcBorders>
              <w:bottom w:val="single" w:sz="8" w:color="DCE2EF"/>
            </w:tcBorders>
          </w:tcPr>
          <w:p>
            <w:pPr>
              <w:spacing w:after="0"/>
              <w:rPr>
                <w:sz w:val="19"/>
                <w:szCs w:val="19"/>
                <w:color w:val="auto"/>
              </w:rPr>
            </w:pPr>
          </w:p>
        </w:tc>
        <w:tc>
          <w:tcPr>
            <w:tcW w:w="7140" w:type="dxa"/>
            <w:vAlign w:val="bottom"/>
            <w:tcBorders>
              <w:bottom w:val="single" w:sz="8" w:color="DCE2EF"/>
            </w:tcBorders>
            <w:gridSpan w:val="2"/>
          </w:tcPr>
          <w:p>
            <w:pPr>
              <w:ind w:left="200"/>
              <w:spacing w:after="0"/>
              <w:rPr>
                <w:sz w:val="20"/>
                <w:szCs w:val="20"/>
                <w:color w:val="auto"/>
              </w:rPr>
            </w:pPr>
            <w:r>
              <w:rPr>
                <w:rFonts w:ascii="Arial" w:cs="Arial" w:eastAsia="Arial" w:hAnsi="Arial"/>
                <w:sz w:val="18"/>
                <w:szCs w:val="18"/>
                <w:color w:val="auto"/>
              </w:rPr>
              <w:t>Unamortized deferred financing costs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DCE2E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20" w:type="dxa"/>
            <w:vAlign w:val="bottom"/>
            <w:shd w:val="clear" w:color="auto" w:fill="DCE2EF"/>
          </w:tcPr>
          <w:p>
            <w:pPr>
              <w:spacing w:after="0"/>
              <w:rPr>
                <w:sz w:val="19"/>
                <w:szCs w:val="19"/>
                <w:color w:val="auto"/>
              </w:rPr>
            </w:pPr>
          </w:p>
        </w:tc>
        <w:tc>
          <w:tcPr>
            <w:tcW w:w="7140" w:type="dxa"/>
            <w:vAlign w:val="bottom"/>
            <w:gridSpan w:val="2"/>
            <w:shd w:val="clear" w:color="auto" w:fill="DCE2EF"/>
          </w:tcPr>
          <w:p>
            <w:pPr>
              <w:ind w:left="460"/>
              <w:spacing w:after="0"/>
              <w:rPr>
                <w:sz w:val="20"/>
                <w:szCs w:val="20"/>
                <w:color w:val="auto"/>
              </w:rPr>
            </w:pPr>
            <w:r>
              <w:rPr>
                <w:rFonts w:ascii="Arial" w:cs="Arial" w:eastAsia="Arial" w:hAnsi="Arial"/>
                <w:sz w:val="18"/>
                <w:szCs w:val="18"/>
                <w:color w:val="auto"/>
              </w:rPr>
              <w:t>Total noncurrent portion of term loan</w:t>
            </w:r>
          </w:p>
        </w:tc>
        <w:tc>
          <w:tcPr>
            <w:tcW w:w="20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597.8</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557.7</w:t>
            </w:r>
          </w:p>
        </w:tc>
      </w:tr>
      <w:tr>
        <w:trPr>
          <w:trHeight w:val="230"/>
        </w:trPr>
        <w:tc>
          <w:tcPr>
            <w:tcW w:w="20" w:type="dxa"/>
            <w:vAlign w:val="bottom"/>
            <w:tcBorders>
              <w:bottom w:val="single" w:sz="8" w:color="DCE2EF"/>
            </w:tcBorders>
          </w:tcPr>
          <w:p>
            <w:pPr>
              <w:spacing w:after="0"/>
              <w:rPr>
                <w:sz w:val="19"/>
                <w:szCs w:val="19"/>
                <w:color w:val="auto"/>
              </w:rPr>
            </w:pPr>
          </w:p>
        </w:tc>
        <w:tc>
          <w:tcPr>
            <w:tcW w:w="7140" w:type="dxa"/>
            <w:vAlign w:val="bottom"/>
            <w:tcBorders>
              <w:bottom w:val="single" w:sz="8" w:color="DCE2EF"/>
            </w:tcBorders>
            <w:gridSpan w:val="2"/>
          </w:tcPr>
          <w:p>
            <w:pPr>
              <w:ind w:left="200"/>
              <w:spacing w:after="0" w:line="230" w:lineRule="exact"/>
              <w:rPr>
                <w:sz w:val="20"/>
                <w:szCs w:val="20"/>
                <w:color w:val="auto"/>
              </w:rPr>
            </w:pPr>
            <w:r>
              <w:rPr>
                <w:rFonts w:ascii="Arial" w:cs="Arial" w:eastAsia="Arial" w:hAnsi="Arial"/>
                <w:sz w:val="18"/>
                <w:szCs w:val="18"/>
                <w:color w:val="auto"/>
              </w:rPr>
              <w:t>Revolving line of credit</w:t>
            </w:r>
            <w:r>
              <w:rPr>
                <w:rFonts w:ascii="Arial" w:cs="Arial" w:eastAsia="Arial" w:hAnsi="Arial"/>
                <w:sz w:val="23"/>
                <w:szCs w:val="23"/>
                <w:color w:val="auto"/>
                <w:vertAlign w:val="superscript"/>
              </w:rPr>
              <w:t>(1)(2)</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120" w:type="dxa"/>
            <w:vAlign w:val="bottom"/>
            <w:tcBorders>
              <w:bottom w:val="single" w:sz="8" w:color="DCE2E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r>
      <w:tr>
        <w:trPr>
          <w:trHeight w:val="248"/>
        </w:trPr>
        <w:tc>
          <w:tcPr>
            <w:tcW w:w="20" w:type="dxa"/>
            <w:vAlign w:val="bottom"/>
            <w:tcBorders>
              <w:bottom w:val="single" w:sz="8" w:color="DCE2EF"/>
            </w:tcBorders>
            <w:shd w:val="clear" w:color="auto" w:fill="DCE2EF"/>
          </w:tcPr>
          <w:p>
            <w:pPr>
              <w:spacing w:after="0"/>
              <w:rPr>
                <w:sz w:val="21"/>
                <w:szCs w:val="21"/>
                <w:color w:val="auto"/>
              </w:rPr>
            </w:pPr>
          </w:p>
        </w:tc>
        <w:tc>
          <w:tcPr>
            <w:tcW w:w="7140" w:type="dxa"/>
            <w:vAlign w:val="bottom"/>
            <w:tcBorders>
              <w:bottom w:val="single" w:sz="8" w:color="DCE2EF"/>
            </w:tcBorders>
            <w:gridSpan w:val="2"/>
            <w:shd w:val="clear" w:color="auto" w:fill="DCE2EF"/>
          </w:tcPr>
          <w:p>
            <w:pPr>
              <w:ind w:left="20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852.8</w:t>
            </w:r>
          </w:p>
        </w:tc>
        <w:tc>
          <w:tcPr>
            <w:tcW w:w="120" w:type="dxa"/>
            <w:vAlign w:val="bottom"/>
            <w:tcBorders>
              <w:bottom w:val="single" w:sz="8" w:color="DCE2EF"/>
            </w:tcBorders>
            <w:shd w:val="clear" w:color="auto" w:fill="DCE2EF"/>
          </w:tcPr>
          <w:p>
            <w:pPr>
              <w:spacing w:after="0"/>
              <w:rPr>
                <w:sz w:val="21"/>
                <w:szCs w:val="21"/>
                <w:color w:val="auto"/>
              </w:rPr>
            </w:pPr>
          </w:p>
        </w:tc>
        <w:tc>
          <w:tcPr>
            <w:tcW w:w="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603.0</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6420" w:type="dxa"/>
            <w:vAlign w:val="bottom"/>
            <w:tcBorders>
              <w:top w:val="single" w:sz="8" w:color="DCE2EF"/>
            </w:tcBorders>
          </w:tcPr>
          <w:p>
            <w:pPr>
              <w:spacing w:after="0" w:line="20" w:lineRule="exact"/>
              <w:rPr>
                <w:sz w:val="1"/>
                <w:szCs w:val="1"/>
                <w:color w:val="auto"/>
              </w:rPr>
            </w:pPr>
          </w:p>
        </w:tc>
        <w:tc>
          <w:tcPr>
            <w:tcW w:w="200" w:type="dxa"/>
            <w:vAlign w:val="bottom"/>
            <w:tcBorders>
              <w:top w:val="single" w:sz="8" w:color="DCE2EF"/>
              <w:bottom w:val="single" w:sz="8" w:color="auto"/>
            </w:tcBorders>
          </w:tcPr>
          <w:p>
            <w:pPr>
              <w:spacing w:after="0" w:line="20" w:lineRule="exact"/>
              <w:rPr>
                <w:sz w:val="1"/>
                <w:szCs w:val="1"/>
                <w:color w:val="auto"/>
              </w:rPr>
            </w:pPr>
          </w:p>
        </w:tc>
        <w:tc>
          <w:tcPr>
            <w:tcW w:w="178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200" w:type="dxa"/>
            <w:vAlign w:val="bottom"/>
            <w:tcBorders>
              <w:top w:val="single" w:sz="8" w:color="DCE2EF"/>
              <w:bottom w:val="single" w:sz="8" w:color="auto"/>
            </w:tcBorders>
          </w:tcPr>
          <w:p>
            <w:pPr>
              <w:spacing w:after="0" w:line="20" w:lineRule="exact"/>
              <w:rPr>
                <w:sz w:val="1"/>
                <w:szCs w:val="1"/>
                <w:color w:val="auto"/>
              </w:rPr>
            </w:pPr>
          </w:p>
        </w:tc>
        <w:tc>
          <w:tcPr>
            <w:tcW w:w="1780" w:type="dxa"/>
            <w:vAlign w:val="bottom"/>
            <w:tcBorders>
              <w:top w:val="single" w:sz="8" w:color="DCE2E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Standby letters of credit amounted to $167.7 million at October 31, 2021.</w:t>
      </w:r>
    </w:p>
    <w:p>
      <w:pPr>
        <w:spacing w:after="0" w:line="70" w:lineRule="exact"/>
        <w:rPr>
          <w:rFonts w:ascii="Arial" w:cs="Arial" w:eastAsia="Arial" w:hAnsi="Arial"/>
          <w:sz w:val="21"/>
          <w:szCs w:val="21"/>
          <w:color w:val="auto"/>
          <w:vertAlign w:val="superscript"/>
        </w:rPr>
      </w:pPr>
    </w:p>
    <w:p>
      <w:pPr>
        <w:ind w:left="180" w:hanging="172"/>
        <w:spacing w:after="0" w:line="224" w:lineRule="auto"/>
        <w:tabs>
          <w:tab w:leader="none" w:pos="180"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At October 31, 2021, we had borrowing capacity of $875.0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Term Loan Maturities</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During 2021, we made principal payments under the term loan of $76.3 million. As of October 31, 2021, the following principal payments are required under the term loan.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8"/>
                <w:szCs w:val="18"/>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2026</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224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29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Debt maturities</w:t>
            </w: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DCE2EF"/>
          </w:tcPr>
          <w:p>
            <w:pPr>
              <w:spacing w:after="0"/>
              <w:rPr>
                <w:sz w:val="19"/>
                <w:szCs w:val="19"/>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DCE2EF"/>
          </w:tcPr>
          <w:p>
            <w:pPr>
              <w:spacing w:after="0"/>
              <w:rPr>
                <w:sz w:val="19"/>
                <w:szCs w:val="19"/>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DCE2EF"/>
          </w:tcPr>
          <w:p>
            <w:pPr>
              <w:spacing w:after="0"/>
              <w:rPr>
                <w:sz w:val="19"/>
                <w:szCs w:val="19"/>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503.8</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Interest Rate Swaps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enter into interest rate swaps to manage the interest rate risk associated with our floating-rate, LIBOR-based borrowings. Under these arrangements, we typically pay a fixed interest rate in exchange for LIBOR-based variable interest throughout the life of the agreement. We initially report the mark-to-market gain or loss on a derivative as a component of AOCL and subsequently reclassify the gain or loss into earnings when the hedged transactions occur and affect earnings. Interest payables and receivables under the swap agreements are accrued and recorded as adjustments to interest expense. All of our interest rate swaps have been designated and accounted for as cash flow hedges from inception. See Note 7, “Fair Value of Financial Instruments,” regarding the valuation of our interest rate swaps.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Notional Amount</w:t>
            </w:r>
          </w:p>
        </w:tc>
        <w:tc>
          <w:tcPr>
            <w:tcW w:w="120" w:type="dxa"/>
            <w:vAlign w:val="bottom"/>
            <w:tcBorders>
              <w:bottom w:val="single" w:sz="8" w:color="DCE2EF"/>
            </w:tcBorders>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Fixed Interest Rate</w:t>
            </w:r>
          </w:p>
        </w:tc>
        <w:tc>
          <w:tcPr>
            <w:tcW w:w="120" w:type="dxa"/>
            <w:vAlign w:val="bottom"/>
            <w:tcBorders>
              <w:bottom w:val="single" w:sz="8" w:color="DCE2EF"/>
            </w:tcBorders>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Effective Date</w:t>
            </w:r>
          </w:p>
        </w:tc>
        <w:tc>
          <w:tcPr>
            <w:tcW w:w="100" w:type="dxa"/>
            <w:vAlign w:val="bottom"/>
            <w:tcBorders>
              <w:bottom w:val="single" w:sz="8" w:color="DCE2EF"/>
            </w:tcBorders>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Maturity Date</w:t>
            </w:r>
          </w:p>
        </w:tc>
      </w:tr>
      <w:tr>
        <w:trPr>
          <w:trHeight w:val="223"/>
        </w:trPr>
        <w:tc>
          <w:tcPr>
            <w:tcW w:w="2940" w:type="dxa"/>
            <w:vAlign w:val="bottom"/>
            <w:gridSpan w:val="2"/>
            <w:shd w:val="clear" w:color="auto" w:fill="DCE2EF"/>
          </w:tcPr>
          <w:p>
            <w:pPr>
              <w:jc w:val="center"/>
              <w:ind w:right="100"/>
              <w:spacing w:after="0"/>
              <w:rPr>
                <w:sz w:val="20"/>
                <w:szCs w:val="20"/>
                <w:color w:val="auto"/>
              </w:rPr>
            </w:pPr>
            <w:r>
              <w:rPr>
                <w:rFonts w:ascii="Arial" w:cs="Arial" w:eastAsia="Arial" w:hAnsi="Arial"/>
                <w:sz w:val="18"/>
                <w:szCs w:val="18"/>
                <w:color w:val="auto"/>
                <w:w w:val="99"/>
              </w:rPr>
              <w:t>$ 130.0 million</w:t>
            </w:r>
          </w:p>
        </w:tc>
        <w:tc>
          <w:tcPr>
            <w:tcW w:w="268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DCE2EF"/>
          </w:tcPr>
          <w:p>
            <w:pPr>
              <w:spacing w:after="0"/>
              <w:rPr>
                <w:sz w:val="19"/>
                <w:szCs w:val="19"/>
                <w:color w:val="auto"/>
              </w:rPr>
            </w:pPr>
          </w:p>
        </w:tc>
        <w:tc>
          <w:tcPr>
            <w:tcW w:w="280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0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April 30, 2022</w:t>
            </w:r>
          </w:p>
        </w:tc>
      </w:tr>
      <w:tr>
        <w:trPr>
          <w:trHeight w:val="230"/>
        </w:trPr>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$ 130.0 million</w:t>
            </w:r>
          </w:p>
        </w:tc>
        <w:tc>
          <w:tcPr>
            <w:tcW w:w="2680" w:type="dxa"/>
            <w:vAlign w:val="bottom"/>
          </w:tcPr>
          <w:p>
            <w:pPr>
              <w:jc w:val="center"/>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00" w:type="dxa"/>
            <w:vAlign w:val="bottom"/>
          </w:tcPr>
          <w:p>
            <w:pPr>
              <w:jc w:val="center"/>
              <w:spacing w:after="0"/>
              <w:rPr>
                <w:sz w:val="20"/>
                <w:szCs w:val="20"/>
                <w:color w:val="auto"/>
              </w:rPr>
            </w:pPr>
            <w:r>
              <w:rPr>
                <w:rFonts w:ascii="Arial" w:cs="Arial" w:eastAsia="Arial" w:hAnsi="Arial"/>
                <w:sz w:val="18"/>
                <w:szCs w:val="18"/>
                <w:color w:val="auto"/>
              </w:rPr>
              <w:t>September 1, 2022</w:t>
            </w:r>
          </w:p>
        </w:tc>
      </w:tr>
    </w:tbl>
    <w:p>
      <w:pPr>
        <w:spacing w:after="0" w:line="2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At October 31, 2021 and 2020, amounts recorded in AOCL for interest rate swaps were a loss of $0.2 million, net of taxes of $0.3 million, and a loss of $3.3 million, net of taxes of $0.9 million, respectively. These amounts included the gain associated with the interest rate swaps we terminated in 2018, which is being amortized to interest expense as interest payments are made over the original term of our Credit Facility. During 2021, we amortized $4.7 million, net of taxes of $1.7 million, of that gain and we amortized $4.9 million, net of taxes of $1.8 million, during 2020. At October 31, 2021, the total amount expected to be reclassified from AOCL to earnings during the next 12 months was $0.1 million, net of a taxes of $0.1 million.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0046AD"/>
        </w:rPr>
        <w:t>12.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Defined Benefit Plans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provide benefits to certain employees under various defined benefit and postretirement benefit plans (collectively, the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Plans were previously amended to preclude new participants. All but one of the Plans are unfunded.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Information for the Plans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300" w:type="dxa"/>
            <w:vAlign w:val="bottom"/>
            <w:tcBorders>
              <w:bottom w:val="single" w:sz="8" w:color="auto"/>
            </w:tcBorders>
          </w:tcPr>
          <w:p>
            <w:pPr>
              <w:spacing w:after="0"/>
              <w:rPr>
                <w:sz w:val="20"/>
                <w:szCs w:val="20"/>
                <w:color w:val="auto"/>
              </w:rPr>
            </w:pPr>
          </w:p>
        </w:tc>
      </w:tr>
      <w:tr>
        <w:trPr>
          <w:trHeight w:val="183"/>
        </w:trPr>
        <w:tc>
          <w:tcPr>
            <w:tcW w:w="70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460" w:type="dxa"/>
            <w:vAlign w:val="bottom"/>
          </w:tcPr>
          <w:p>
            <w:pPr>
              <w:spacing w:after="0"/>
              <w:rPr>
                <w:sz w:val="15"/>
                <w:szCs w:val="15"/>
                <w:color w:val="auto"/>
              </w:rPr>
            </w:pPr>
          </w:p>
        </w:tc>
        <w:tc>
          <w:tcPr>
            <w:tcW w:w="1560" w:type="dxa"/>
            <w:vAlign w:val="bottom"/>
          </w:tcPr>
          <w:p>
            <w:pPr>
              <w:jc w:val="right"/>
              <w:ind w:right="73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jc w:val="right"/>
              <w:ind w:right="750"/>
              <w:spacing w:after="0" w:line="182" w:lineRule="exact"/>
              <w:rPr>
                <w:sz w:val="20"/>
                <w:szCs w:val="20"/>
                <w:color w:val="auto"/>
              </w:rPr>
            </w:pPr>
            <w:r>
              <w:rPr>
                <w:rFonts w:ascii="Arial" w:cs="Arial" w:eastAsia="Arial" w:hAnsi="Arial"/>
                <w:sz w:val="18"/>
                <w:szCs w:val="18"/>
                <w:b w:val="1"/>
                <w:bCs w:val="1"/>
                <w:color w:val="auto"/>
              </w:rPr>
              <w:t>2020</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280" w:type="dxa"/>
            <w:vAlign w:val="bottom"/>
            <w:tcBorders>
              <w:bottom w:val="single" w:sz="8" w:color="DCE2E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700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Net obligations</w:t>
            </w:r>
          </w:p>
        </w:tc>
        <w:tc>
          <w:tcPr>
            <w:tcW w:w="460" w:type="dxa"/>
            <w:vAlign w:val="bottom"/>
            <w:shd w:val="clear" w:color="auto" w:fill="DCE2E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DCE2EF"/>
          </w:tcPr>
          <w:p>
            <w:pPr>
              <w:spacing w:after="0"/>
              <w:rPr>
                <w:sz w:val="19"/>
                <w:szCs w:val="19"/>
                <w:color w:val="auto"/>
              </w:rPr>
            </w:pPr>
          </w:p>
        </w:tc>
        <w:tc>
          <w:tcPr>
            <w:tcW w:w="74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9.6</w:t>
            </w:r>
          </w:p>
        </w:tc>
      </w:tr>
      <w:tr>
        <w:trPr>
          <w:trHeight w:val="230"/>
        </w:trPr>
        <w:tc>
          <w:tcPr>
            <w:tcW w:w="700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Projected benefit obligations</w:t>
            </w:r>
            <w:r>
              <w:rPr>
                <w:rFonts w:ascii="Arial" w:cs="Arial" w:eastAsia="Arial" w:hAnsi="Arial"/>
                <w:sz w:val="23"/>
                <w:szCs w:val="23"/>
                <w:color w:val="auto"/>
                <w:vertAlign w:val="superscript"/>
              </w:rPr>
              <w:t>(1)</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29"/>
        </w:trPr>
        <w:tc>
          <w:tcPr>
            <w:tcW w:w="700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Fair value of assets</w:t>
            </w:r>
          </w:p>
        </w:tc>
        <w:tc>
          <w:tcPr>
            <w:tcW w:w="46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DCE2EF"/>
          </w:tcPr>
          <w:p>
            <w:pPr>
              <w:spacing w:after="0"/>
              <w:rPr>
                <w:sz w:val="19"/>
                <w:szCs w:val="19"/>
                <w:color w:val="auto"/>
              </w:rPr>
            </w:pPr>
          </w:p>
        </w:tc>
        <w:tc>
          <w:tcPr>
            <w:tcW w:w="740" w:type="dxa"/>
            <w:vAlign w:val="bottom"/>
            <w:shd w:val="clear" w:color="auto" w:fill="DCE2EF"/>
          </w:tcPr>
          <w:p>
            <w:pPr>
              <w:spacing w:after="0"/>
              <w:rPr>
                <w:sz w:val="19"/>
                <w:szCs w:val="19"/>
                <w:color w:val="auto"/>
              </w:rPr>
            </w:pPr>
          </w:p>
        </w:tc>
        <w:tc>
          <w:tcPr>
            <w:tcW w:w="13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7.4</w:t>
            </w:r>
          </w:p>
        </w:tc>
      </w:tr>
    </w:tbl>
    <w:p>
      <w:pPr>
        <w:spacing w:after="0" w:line="96" w:lineRule="exact"/>
        <w:rPr>
          <w:sz w:val="20"/>
          <w:szCs w:val="20"/>
          <w:color w:val="auto"/>
        </w:rPr>
      </w:pPr>
    </w:p>
    <w:p>
      <w:pPr>
        <w:ind w:right="100" w:firstLine="8"/>
        <w:spacing w:after="0" w:line="212" w:lineRule="auto"/>
        <w:tabs>
          <w:tab w:leader="none" w:pos="173" w:val="left"/>
        </w:tabs>
        <w:numPr>
          <w:ilvl w:val="0"/>
          <w:numId w:val="38"/>
        </w:numPr>
        <w:rPr>
          <w:rFonts w:ascii="Arial" w:cs="Arial" w:eastAsia="Arial" w:hAnsi="Arial"/>
          <w:sz w:val="20"/>
          <w:szCs w:val="20"/>
          <w:color w:val="auto"/>
          <w:vertAlign w:val="superscript"/>
        </w:rPr>
      </w:pPr>
      <w:r>
        <w:rPr>
          <w:rFonts w:ascii="Arial" w:cs="Arial" w:eastAsia="Arial" w:hAnsi="Arial"/>
          <w:sz w:val="15"/>
          <w:szCs w:val="15"/>
          <w:color w:val="auto"/>
        </w:rPr>
        <w:t>At October 31, 2021, total projected benefit obligations related to unfunded plans was $8.2 million. At October 31, 2020, all plans were either unfunded or underfunded.</w:t>
      </w:r>
    </w:p>
    <w:p>
      <w:pPr>
        <w:spacing w:after="0" w:line="14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2021, assets of the Plans were invested 30% in equities and 70% in fixed income. The expected return on assets was $0.3 million in 2021 and $0.4 million in 2020 and 2019. The aggregate net periodic benefit cost for all Plans was $ 0.3 million, $0.2 million, and $0.6 million for 2021, 2020, and 2019, respectively. Future benefit payments in the aggregate are expected to be $13.5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Deferred Compensation Plans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maintain deferred compensation plans that permit eligible employees and directors to defer a portion of their compensation. At October 31, 2021 and 2020, the total liability of all deferred compensation was $32.1 million (including $ 18.0 million assumed from the Able Acquisition) and $13.6 million, respectively, and these amounts are included in “Other accrued liabilities” and “Other noncurrent liabilities” on the accompanying Consolidated Balance Sheets. Under one of our deferred compensation plans, a Rabbi trust was created to fund the obligations, and we are required to contribute a portion of the deferred compensation contributions for eligible participants. The assets held in the Rabbi trust are not available for general corporate purposes. At October 31, 2021 and 2020, the fair value of these assets was $4.9 million and $2.6 million, respectively, and these amounts are included in “Other noncurrent assets” on the accompanying Consolidated Balance Sheets. Aggregate expense recognized under these deferred compensation plans was $0.2 million, $0.2 million, and $0.3 million for 2021, 2020, and 2019,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Defined Contribution Plans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sponsor four defined contribution plans covering certain employees that are subject to the applicable provisions of the Employee Retirement Income Security Act of 1974 and the Internal Revenue Code (“IRC”). Certain plans permit a company match of a portion of the participant’s contributions or a discretionary contribution after the participant has met the eligibility requirements set forth in the plan. During 2021, 2020, and 2019, we made matching contributions required by the plans of $21.6 million, $18.2 million, and $24.3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0046AD"/>
        </w:rPr>
        <w:t>Multiemployer Pension and Postretirement Plans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participate in various multiemployer pension plans under union and industry-wide agreements that provide defined pension benefits to employees covered by collective bargaining agreements. Because of the nature of multiemployer plans, there are risks associated with participation in these plans that differ from single-employer plans. Assets contributed by an employer to a multiemployer plan are not segregated into a separate account and are not restricted to provide benefits only to employees of that contributing employer. In the event another participating employer in a multiemployer plan no longer contributes to the plan, the unfunded obligations of the plan may be borne by the remaining participating employers, including us. In the event of the termination of a multiemployer pension plan or a withdrawal from a multiemployer pension plan, we could incur material liabilities under applicable law.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Key Information for Individually Significant Multiemployer Defined Benefit Pension Plans</w:t>
      </w:r>
      <w:r>
        <w:rPr>
          <w:rFonts w:ascii="Arial" w:cs="Arial" w:eastAsia="Arial" w:hAnsi="Arial"/>
          <w:sz w:val="23"/>
          <w:szCs w:val="23"/>
          <w:b w:val="1"/>
          <w:bCs w:val="1"/>
          <w:i w:val="1"/>
          <w:iCs w:val="1"/>
          <w:color w:val="0046AD"/>
          <w:vertAlign w:val="superscript"/>
        </w:rPr>
        <w:t>(1)</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rPr>
              <w:t>Pension Protection Act</w:t>
            </w:r>
          </w:p>
        </w:tc>
        <w:tc>
          <w:tcPr>
            <w:tcW w:w="12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FIP/RP</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Expiration</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gridSpan w:val="4"/>
            <w:vMerge w:val="restart"/>
          </w:tcPr>
          <w:p>
            <w:pPr>
              <w:jc w:val="center"/>
              <w:ind w:right="100"/>
              <w:spacing w:after="0" w:line="190" w:lineRule="exact"/>
              <w:rPr>
                <w:sz w:val="20"/>
                <w:szCs w:val="20"/>
                <w:color w:val="auto"/>
              </w:rPr>
            </w:pPr>
            <w:r>
              <w:rPr>
                <w:rFonts w:ascii="Arial" w:cs="Arial" w:eastAsia="Arial" w:hAnsi="Arial"/>
                <w:sz w:val="13"/>
                <w:szCs w:val="13"/>
                <w:b w:val="1"/>
                <w:bCs w:val="1"/>
                <w:color w:val="auto"/>
                <w:w w:val="99"/>
              </w:rPr>
              <w:t>Zone Status</w:t>
            </w:r>
            <w:r>
              <w:rPr>
                <w:rFonts w:ascii="Arial" w:cs="Arial" w:eastAsia="Arial" w:hAnsi="Arial"/>
                <w:sz w:val="17"/>
                <w:szCs w:val="17"/>
                <w:b w:val="1"/>
                <w:bCs w:val="1"/>
                <w:color w:val="auto"/>
                <w:w w:val="99"/>
                <w:vertAlign w:val="superscript"/>
              </w:rPr>
              <w:t>(3)</w:t>
            </w:r>
          </w:p>
        </w:tc>
        <w:tc>
          <w:tcPr>
            <w:tcW w:w="1280" w:type="dxa"/>
            <w:vAlign w:val="bottom"/>
            <w:gridSpan w:val="2"/>
            <w:vMerge w:val="restart"/>
          </w:tcPr>
          <w:p>
            <w:pPr>
              <w:jc w:val="center"/>
              <w:ind w:right="120"/>
              <w:spacing w:after="0" w:line="190" w:lineRule="exact"/>
              <w:rPr>
                <w:sz w:val="20"/>
                <w:szCs w:val="20"/>
                <w:color w:val="auto"/>
              </w:rPr>
            </w:pPr>
            <w:r>
              <w:rPr>
                <w:rFonts w:ascii="Arial" w:cs="Arial" w:eastAsia="Arial" w:hAnsi="Arial"/>
                <w:sz w:val="13"/>
                <w:szCs w:val="13"/>
                <w:b w:val="1"/>
                <w:bCs w:val="1"/>
                <w:color w:val="auto"/>
                <w:w w:val="96"/>
              </w:rPr>
              <w:t>Status</w:t>
            </w:r>
            <w:r>
              <w:rPr>
                <w:rFonts w:ascii="Arial" w:cs="Arial" w:eastAsia="Arial" w:hAnsi="Arial"/>
                <w:sz w:val="17"/>
                <w:szCs w:val="17"/>
                <w:b w:val="1"/>
                <w:bCs w:val="1"/>
                <w:color w:val="auto"/>
                <w:w w:val="96"/>
                <w:vertAlign w:val="superscript"/>
              </w:rPr>
              <w:t>(4)</w:t>
            </w: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240" w:type="dxa"/>
            <w:vAlign w:val="bottom"/>
            <w:gridSpan w:val="3"/>
          </w:tcPr>
          <w:p>
            <w:pPr>
              <w:spacing w:after="0"/>
              <w:rPr>
                <w:sz w:val="20"/>
                <w:szCs w:val="20"/>
                <w:color w:val="auto"/>
              </w:rPr>
            </w:pPr>
            <w:r>
              <w:rPr>
                <w:rFonts w:ascii="Arial" w:cs="Arial" w:eastAsia="Arial" w:hAnsi="Arial"/>
                <w:sz w:val="12"/>
                <w:szCs w:val="12"/>
                <w:i w:val="1"/>
                <w:iCs w:val="1"/>
                <w:u w:val="single" w:color="auto"/>
                <w:color w:val="auto"/>
              </w:rPr>
              <w:t>(</w:t>
            </w:r>
            <w:r>
              <w:rPr>
                <w:rFonts w:ascii="Arial" w:cs="Arial" w:eastAsia="Arial" w:hAnsi="Arial"/>
                <w:sz w:val="12"/>
                <w:szCs w:val="12"/>
                <w:i w:val="1"/>
                <w:iCs w:val="1"/>
                <w:color w:val="auto"/>
              </w:rPr>
              <w:t>$ in millions)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6"/>
          </w:tcPr>
          <w:p>
            <w:pPr>
              <w:jc w:val="right"/>
              <w:spacing w:after="0"/>
              <w:rPr>
                <w:sz w:val="20"/>
                <w:szCs w:val="20"/>
                <w:color w:val="auto"/>
              </w:rPr>
            </w:pPr>
            <w:r>
              <w:rPr>
                <w:rFonts w:ascii="Arial" w:cs="Arial" w:eastAsia="Arial" w:hAnsi="Arial"/>
                <w:sz w:val="13"/>
                <w:szCs w:val="13"/>
                <w:b w:val="1"/>
                <w:bCs w:val="1"/>
                <w:color w:val="auto"/>
              </w:rPr>
              <w:t>Contributions by ABM</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Dates of</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vMerge w:val="restart"/>
          </w:tcPr>
          <w:p>
            <w:pPr>
              <w:jc w:val="center"/>
              <w:ind w:right="100"/>
              <w:spacing w:after="0" w:line="68" w:lineRule="exact"/>
              <w:rPr>
                <w:sz w:val="20"/>
                <w:szCs w:val="20"/>
                <w:color w:val="auto"/>
              </w:rPr>
            </w:pPr>
            <w:r>
              <w:rPr>
                <w:rFonts w:ascii="Arial" w:cs="Arial" w:eastAsia="Arial" w:hAnsi="Arial"/>
                <w:sz w:val="7"/>
                <w:szCs w:val="7"/>
                <w:b w:val="1"/>
                <w:bCs w:val="1"/>
                <w:color w:val="auto"/>
              </w:rPr>
              <w:t>Surcharge</w:t>
            </w:r>
          </w:p>
        </w:tc>
        <w:tc>
          <w:tcPr>
            <w:tcW w:w="1060" w:type="dxa"/>
            <w:vAlign w:val="bottom"/>
            <w:vMerge w:val="restart"/>
          </w:tcPr>
          <w:p>
            <w:pPr>
              <w:jc w:val="center"/>
              <w:spacing w:after="0" w:line="68" w:lineRule="exact"/>
              <w:rPr>
                <w:sz w:val="20"/>
                <w:szCs w:val="20"/>
                <w:color w:val="auto"/>
              </w:rPr>
            </w:pPr>
            <w:r>
              <w:rPr>
                <w:rFonts w:ascii="Arial" w:cs="Arial" w:eastAsia="Arial" w:hAnsi="Arial"/>
                <w:sz w:val="7"/>
                <w:szCs w:val="7"/>
                <w:b w:val="1"/>
                <w:bCs w:val="1"/>
                <w:color w:val="auto"/>
              </w:rPr>
              <w:t>Collective</w:t>
            </w:r>
          </w:p>
        </w:tc>
        <w:tc>
          <w:tcPr>
            <w:tcW w:w="0" w:type="dxa"/>
            <w:vAlign w:val="bottom"/>
          </w:tcPr>
          <w:p>
            <w:pPr>
              <w:spacing w:after="0" w:line="20" w:lineRule="exact"/>
              <w:rPr>
                <w:sz w:val="1"/>
                <w:szCs w:val="1"/>
                <w:color w:val="auto"/>
              </w:rPr>
            </w:pPr>
          </w:p>
        </w:tc>
      </w:tr>
      <w:tr>
        <w:trPr>
          <w:trHeight w:val="28"/>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restart"/>
          </w:tcPr>
          <w:p>
            <w:pPr>
              <w:jc w:val="center"/>
              <w:ind w:right="120"/>
              <w:spacing w:after="0" w:line="136" w:lineRule="exact"/>
              <w:rPr>
                <w:sz w:val="20"/>
                <w:szCs w:val="20"/>
                <w:color w:val="auto"/>
              </w:rPr>
            </w:pPr>
            <w:r>
              <w:rPr>
                <w:rFonts w:ascii="Arial" w:cs="Arial" w:eastAsia="Arial" w:hAnsi="Arial"/>
                <w:sz w:val="13"/>
                <w:szCs w:val="13"/>
                <w:b w:val="1"/>
                <w:bCs w:val="1"/>
                <w:color w:val="auto"/>
              </w:rPr>
              <w:t>Pending/</w:t>
            </w: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2140" w:type="dxa"/>
            <w:vAlign w:val="bottom"/>
            <w:gridSpan w:val="2"/>
            <w:vMerge w:val="restart"/>
          </w:tcPr>
          <w:p>
            <w:pPr>
              <w:ind w:left="620"/>
              <w:spacing w:after="0"/>
              <w:rPr>
                <w:sz w:val="20"/>
                <w:szCs w:val="20"/>
                <w:color w:val="auto"/>
              </w:rPr>
            </w:pPr>
            <w:r>
              <w:rPr>
                <w:rFonts w:ascii="Arial" w:cs="Arial" w:eastAsia="Arial" w:hAnsi="Arial"/>
                <w:sz w:val="13"/>
                <w:szCs w:val="13"/>
                <w:b w:val="1"/>
                <w:bCs w:val="1"/>
                <w:color w:val="auto"/>
              </w:rPr>
              <w:t>Pension Fund</w:t>
            </w:r>
          </w:p>
        </w:tc>
        <w:tc>
          <w:tcPr>
            <w:tcW w:w="100" w:type="dxa"/>
            <w:vAlign w:val="bottom"/>
            <w:vMerge w:val="restart"/>
          </w:tcPr>
          <w:p>
            <w:pPr>
              <w:spacing w:after="0"/>
              <w:rPr>
                <w:sz w:val="9"/>
                <w:szCs w:val="9"/>
                <w:color w:val="auto"/>
              </w:rPr>
            </w:pPr>
          </w:p>
        </w:tc>
        <w:tc>
          <w:tcPr>
            <w:tcW w:w="1040" w:type="dxa"/>
            <w:vAlign w:val="bottom"/>
            <w:vMerge w:val="restart"/>
          </w:tcPr>
          <w:p>
            <w:pPr>
              <w:ind w:left="240"/>
              <w:spacing w:after="0"/>
              <w:rPr>
                <w:sz w:val="20"/>
                <w:szCs w:val="20"/>
                <w:color w:val="auto"/>
              </w:rPr>
            </w:pPr>
            <w:r>
              <w:rPr>
                <w:rFonts w:ascii="Arial" w:cs="Arial" w:eastAsia="Arial" w:hAnsi="Arial"/>
                <w:sz w:val="13"/>
                <w:szCs w:val="13"/>
                <w:b w:val="1"/>
                <w:bCs w:val="1"/>
                <w:color w:val="auto"/>
              </w:rPr>
              <w:t>EIN/PN</w:t>
            </w:r>
            <w:r>
              <w:rPr>
                <w:rFonts w:ascii="Arial" w:cs="Arial" w:eastAsia="Arial" w:hAnsi="Arial"/>
                <w:sz w:val="17"/>
                <w:szCs w:val="17"/>
                <w:b w:val="1"/>
                <w:bCs w:val="1"/>
                <w:color w:val="auto"/>
                <w:vertAlign w:val="superscript"/>
              </w:rPr>
              <w:t>(2)</w:t>
            </w:r>
          </w:p>
        </w:tc>
        <w:tc>
          <w:tcPr>
            <w:tcW w:w="100" w:type="dxa"/>
            <w:vAlign w:val="bottom"/>
            <w:vMerge w:val="restart"/>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jc w:val="right"/>
              <w:ind w:right="116"/>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9"/>
                <w:szCs w:val="9"/>
                <w:color w:val="auto"/>
              </w:rPr>
            </w:pPr>
          </w:p>
        </w:tc>
        <w:tc>
          <w:tcPr>
            <w:tcW w:w="660" w:type="dxa"/>
            <w:vAlign w:val="bottom"/>
            <w:gridSpan w:val="2"/>
            <w:vMerge w:val="restart"/>
          </w:tcPr>
          <w:p>
            <w:pPr>
              <w:jc w:val="right"/>
              <w:ind w:right="117"/>
              <w:spacing w:after="0"/>
              <w:rPr>
                <w:sz w:val="20"/>
                <w:szCs w:val="20"/>
                <w:color w:val="auto"/>
              </w:rPr>
            </w:pPr>
            <w:r>
              <w:rPr>
                <w:rFonts w:ascii="Arial" w:cs="Arial" w:eastAsia="Arial" w:hAnsi="Arial"/>
                <w:sz w:val="13"/>
                <w:szCs w:val="13"/>
                <w:b w:val="1"/>
                <w:bCs w:val="1"/>
                <w:color w:val="auto"/>
              </w:rPr>
              <w:t>2019</w:t>
            </w:r>
          </w:p>
        </w:tc>
        <w:tc>
          <w:tcPr>
            <w:tcW w:w="1080" w:type="dxa"/>
            <w:vAlign w:val="bottom"/>
            <w:gridSpan w:val="2"/>
          </w:tcPr>
          <w:p>
            <w:pPr>
              <w:jc w:val="right"/>
              <w:ind w:right="100"/>
              <w:spacing w:after="0"/>
              <w:rPr>
                <w:sz w:val="20"/>
                <w:szCs w:val="20"/>
                <w:color w:val="auto"/>
              </w:rPr>
            </w:pPr>
            <w:r>
              <w:rPr>
                <w:rFonts w:ascii="Arial" w:cs="Arial" w:eastAsia="Arial" w:hAnsi="Arial"/>
                <w:sz w:val="9"/>
                <w:szCs w:val="9"/>
                <w:b w:val="1"/>
                <w:bCs w:val="1"/>
                <w:color w:val="auto"/>
              </w:rPr>
              <w:t>(5)</w:t>
            </w:r>
          </w:p>
        </w:tc>
        <w:tc>
          <w:tcPr>
            <w:tcW w:w="100" w:type="dxa"/>
            <w:vAlign w:val="bottom"/>
          </w:tcPr>
          <w:p>
            <w:pPr>
              <w:spacing w:after="0"/>
              <w:rPr>
                <w:sz w:val="9"/>
                <w:szCs w:val="9"/>
                <w:color w:val="auto"/>
              </w:rPr>
            </w:pPr>
          </w:p>
        </w:tc>
        <w:tc>
          <w:tcPr>
            <w:tcW w:w="106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rPr>
              <w:t>Bargaining</w:t>
            </w: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DCE2EF"/>
            </w:tcBorders>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DCE2E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DCE2E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DCE2E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Implemented</w:t>
            </w:r>
          </w:p>
        </w:tc>
        <w:tc>
          <w:tcPr>
            <w:tcW w:w="120" w:type="dxa"/>
            <w:vAlign w:val="bottom"/>
            <w:tcBorders>
              <w:bottom w:val="single" w:sz="8" w:color="DCE2E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DCE2E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DCE2EF"/>
            </w:tcBorders>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DCE2EF"/>
            </w:tcBorders>
          </w:tcPr>
          <w:p>
            <w:pPr>
              <w:spacing w:after="0"/>
              <w:rPr>
                <w:sz w:val="14"/>
                <w:szCs w:val="14"/>
                <w:color w:val="auto"/>
              </w:rPr>
            </w:pPr>
          </w:p>
        </w:tc>
        <w:tc>
          <w:tcPr>
            <w:tcW w:w="98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Imposed</w:t>
            </w:r>
          </w:p>
        </w:tc>
        <w:tc>
          <w:tcPr>
            <w:tcW w:w="100" w:type="dxa"/>
            <w:vAlign w:val="bottom"/>
            <w:tcBorders>
              <w:bottom w:val="single" w:sz="8" w:color="DCE2E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Agreements</w:t>
            </w:r>
          </w:p>
        </w:tc>
        <w:tc>
          <w:tcPr>
            <w:tcW w:w="0" w:type="dxa"/>
            <w:vAlign w:val="bottom"/>
          </w:tcPr>
          <w:p>
            <w:pPr>
              <w:spacing w:after="0"/>
              <w:rPr>
                <w:sz w:val="1"/>
                <w:szCs w:val="1"/>
                <w:color w:val="auto"/>
              </w:rPr>
            </w:pPr>
          </w:p>
        </w:tc>
      </w:tr>
      <w:tr>
        <w:trPr>
          <w:trHeight w:val="123"/>
        </w:trPr>
        <w:tc>
          <w:tcPr>
            <w:tcW w:w="20" w:type="dxa"/>
            <w:vAlign w:val="bottom"/>
            <w:shd w:val="clear" w:color="auto" w:fill="DCE2EF"/>
          </w:tcPr>
          <w:p>
            <w:pPr>
              <w:spacing w:after="0"/>
              <w:rPr>
                <w:sz w:val="10"/>
                <w:szCs w:val="10"/>
                <w:color w:val="auto"/>
              </w:rPr>
            </w:pPr>
          </w:p>
        </w:tc>
        <w:tc>
          <w:tcPr>
            <w:tcW w:w="2240" w:type="dxa"/>
            <w:vAlign w:val="bottom"/>
            <w:gridSpan w:val="3"/>
            <w:vMerge w:val="restart"/>
            <w:shd w:val="clear" w:color="auto" w:fill="DCE2EF"/>
          </w:tcPr>
          <w:p>
            <w:pPr>
              <w:spacing w:after="0"/>
              <w:rPr>
                <w:sz w:val="20"/>
                <w:szCs w:val="20"/>
                <w:color w:val="auto"/>
              </w:rPr>
            </w:pPr>
            <w:r>
              <w:rPr>
                <w:rFonts w:ascii="Arial" w:cs="Arial" w:eastAsia="Arial" w:hAnsi="Arial"/>
                <w:sz w:val="13"/>
                <w:szCs w:val="13"/>
                <w:color w:val="auto"/>
              </w:rPr>
              <w:t>Building Service 32BJ Pension Fund</w:t>
            </w:r>
          </w:p>
        </w:tc>
        <w:tc>
          <w:tcPr>
            <w:tcW w:w="104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8"/>
              </w:rPr>
              <w:t>13-1879376 / 001</w:t>
            </w:r>
          </w:p>
        </w:tc>
        <w:tc>
          <w:tcPr>
            <w:tcW w:w="100" w:type="dxa"/>
            <w:vAlign w:val="bottom"/>
            <w:shd w:val="clear" w:color="auto" w:fill="DCE2EF"/>
          </w:tcPr>
          <w:p>
            <w:pPr>
              <w:spacing w:after="0"/>
              <w:rPr>
                <w:sz w:val="10"/>
                <w:szCs w:val="10"/>
                <w:color w:val="auto"/>
              </w:rPr>
            </w:pPr>
          </w:p>
        </w:tc>
        <w:tc>
          <w:tcPr>
            <w:tcW w:w="1080" w:type="dxa"/>
            <w:vAlign w:val="bottom"/>
            <w:gridSpan w:val="2"/>
            <w:shd w:val="clear" w:color="auto" w:fill="DCE2EF"/>
          </w:tcPr>
          <w:p>
            <w:pPr>
              <w:jc w:val="center"/>
              <w:ind w:right="100"/>
              <w:spacing w:after="0" w:line="123" w:lineRule="exact"/>
              <w:rPr>
                <w:sz w:val="20"/>
                <w:szCs w:val="20"/>
                <w:color w:val="auto"/>
              </w:rPr>
            </w:pPr>
            <w:r>
              <w:rPr>
                <w:rFonts w:ascii="Arial" w:cs="Arial" w:eastAsia="Arial" w:hAnsi="Arial"/>
                <w:sz w:val="13"/>
                <w:szCs w:val="13"/>
                <w:color w:val="auto"/>
                <w:w w:val="92"/>
              </w:rPr>
              <w:t>Red</w:t>
            </w:r>
          </w:p>
        </w:tc>
        <w:tc>
          <w:tcPr>
            <w:tcW w:w="1060" w:type="dxa"/>
            <w:vAlign w:val="bottom"/>
            <w:gridSpan w:val="2"/>
            <w:vMerge w:val="restart"/>
            <w:shd w:val="clear" w:color="auto" w:fill="DCE2EF"/>
          </w:tcPr>
          <w:p>
            <w:pPr>
              <w:jc w:val="center"/>
              <w:ind w:right="120"/>
              <w:spacing w:after="0"/>
              <w:rPr>
                <w:sz w:val="20"/>
                <w:szCs w:val="20"/>
                <w:color w:val="auto"/>
              </w:rPr>
            </w:pPr>
            <w:r>
              <w:rPr>
                <w:rFonts w:ascii="Arial" w:cs="Arial" w:eastAsia="Arial" w:hAnsi="Arial"/>
                <w:sz w:val="13"/>
                <w:szCs w:val="13"/>
                <w:color w:val="auto"/>
                <w:w w:val="96"/>
              </w:rPr>
              <w:t>Red 6/30/2019</w:t>
            </w:r>
          </w:p>
        </w:tc>
        <w:tc>
          <w:tcPr>
            <w:tcW w:w="1280" w:type="dxa"/>
            <w:vAlign w:val="bottom"/>
            <w:gridSpan w:val="2"/>
            <w:vMerge w:val="restart"/>
            <w:shd w:val="clear" w:color="auto" w:fill="DCE2EF"/>
          </w:tcPr>
          <w:p>
            <w:pPr>
              <w:jc w:val="center"/>
              <w:ind w:right="120"/>
              <w:spacing w:after="0"/>
              <w:rPr>
                <w:sz w:val="20"/>
                <w:szCs w:val="20"/>
                <w:color w:val="auto"/>
              </w:rPr>
            </w:pPr>
            <w:r>
              <w:rPr>
                <w:rFonts w:ascii="Arial" w:cs="Arial" w:eastAsia="Arial" w:hAnsi="Arial"/>
                <w:sz w:val="13"/>
                <w:szCs w:val="13"/>
                <w:color w:val="auto"/>
                <w:w w:val="95"/>
              </w:rPr>
              <w:t>Implemented</w:t>
            </w:r>
          </w:p>
        </w:tc>
        <w:tc>
          <w:tcPr>
            <w:tcW w:w="12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18.8</w:t>
            </w:r>
          </w:p>
        </w:tc>
        <w:tc>
          <w:tcPr>
            <w:tcW w:w="100" w:type="dxa"/>
            <w:vAlign w:val="bottom"/>
            <w:shd w:val="clear" w:color="auto" w:fill="DCE2EF"/>
          </w:tcPr>
          <w:p>
            <w:pPr>
              <w:spacing w:after="0"/>
              <w:rPr>
                <w:sz w:val="10"/>
                <w:szCs w:val="10"/>
                <w:color w:val="auto"/>
              </w:rPr>
            </w:pPr>
          </w:p>
        </w:tc>
        <w:tc>
          <w:tcPr>
            <w:tcW w:w="14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16.8</w:t>
            </w:r>
          </w:p>
        </w:tc>
        <w:tc>
          <w:tcPr>
            <w:tcW w:w="100" w:type="dxa"/>
            <w:vAlign w:val="bottom"/>
            <w:shd w:val="clear" w:color="auto" w:fill="DCE2EF"/>
          </w:tcPr>
          <w:p>
            <w:pPr>
              <w:spacing w:after="0"/>
              <w:rPr>
                <w:sz w:val="10"/>
                <w:szCs w:val="10"/>
                <w:color w:val="auto"/>
              </w:rPr>
            </w:pPr>
          </w:p>
        </w:tc>
        <w:tc>
          <w:tcPr>
            <w:tcW w:w="300" w:type="dxa"/>
            <w:vAlign w:val="bottom"/>
            <w:vMerge w:val="restart"/>
            <w:shd w:val="clear" w:color="auto" w:fill="DCE2EF"/>
          </w:tcPr>
          <w:p>
            <w:pPr>
              <w:jc w:val="right"/>
              <w:ind w:right="136"/>
              <w:spacing w:after="0"/>
              <w:rPr>
                <w:sz w:val="20"/>
                <w:szCs w:val="20"/>
                <w:color w:val="auto"/>
              </w:rPr>
            </w:pPr>
            <w:r>
              <w:rPr>
                <w:rFonts w:ascii="Arial" w:cs="Arial" w:eastAsia="Arial" w:hAnsi="Arial"/>
                <w:sz w:val="13"/>
                <w:szCs w:val="13"/>
                <w:color w:val="auto"/>
              </w:rPr>
              <w:t>$</w:t>
            </w:r>
          </w:p>
        </w:tc>
        <w:tc>
          <w:tcPr>
            <w:tcW w:w="36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19.3</w:t>
            </w:r>
          </w:p>
        </w:tc>
        <w:tc>
          <w:tcPr>
            <w:tcW w:w="100" w:type="dxa"/>
            <w:vAlign w:val="bottom"/>
            <w:shd w:val="clear" w:color="auto" w:fill="DCE2EF"/>
          </w:tcPr>
          <w:p>
            <w:pPr>
              <w:spacing w:after="0"/>
              <w:rPr>
                <w:sz w:val="10"/>
                <w:szCs w:val="10"/>
                <w:color w:val="auto"/>
              </w:rPr>
            </w:pPr>
          </w:p>
        </w:tc>
        <w:tc>
          <w:tcPr>
            <w:tcW w:w="1080" w:type="dxa"/>
            <w:vAlign w:val="bottom"/>
            <w:gridSpan w:val="2"/>
            <w:vMerge w:val="restart"/>
            <w:shd w:val="clear" w:color="auto" w:fill="DCE2EF"/>
          </w:tcPr>
          <w:p>
            <w:pPr>
              <w:jc w:val="center"/>
              <w:ind w:right="120"/>
              <w:spacing w:after="0"/>
              <w:rPr>
                <w:sz w:val="20"/>
                <w:szCs w:val="20"/>
                <w:color w:val="auto"/>
              </w:rPr>
            </w:pPr>
            <w:r>
              <w:rPr>
                <w:rFonts w:ascii="Arial" w:cs="Arial" w:eastAsia="Arial" w:hAnsi="Arial"/>
                <w:sz w:val="13"/>
                <w:szCs w:val="13"/>
                <w:color w:val="auto"/>
                <w:w w:val="96"/>
              </w:rPr>
              <w:t>No</w:t>
            </w:r>
          </w:p>
        </w:tc>
        <w:tc>
          <w:tcPr>
            <w:tcW w:w="1060" w:type="dxa"/>
            <w:vAlign w:val="bottom"/>
            <w:shd w:val="clear" w:color="auto" w:fill="DCE2EF"/>
          </w:tcPr>
          <w:p>
            <w:pPr>
              <w:jc w:val="center"/>
              <w:spacing w:after="0" w:line="123" w:lineRule="exact"/>
              <w:rPr>
                <w:sz w:val="20"/>
                <w:szCs w:val="20"/>
                <w:color w:val="auto"/>
              </w:rPr>
            </w:pPr>
            <w:r>
              <w:rPr>
                <w:rFonts w:ascii="Arial" w:cs="Arial" w:eastAsia="Arial" w:hAnsi="Arial"/>
                <w:sz w:val="13"/>
                <w:szCs w:val="13"/>
                <w:color w:val="auto"/>
                <w:w w:val="97"/>
              </w:rPr>
              <w:t>10/15/2023 –</w:t>
            </w:r>
          </w:p>
        </w:tc>
        <w:tc>
          <w:tcPr>
            <w:tcW w:w="0" w:type="dxa"/>
            <w:vAlign w:val="bottom"/>
          </w:tcPr>
          <w:p>
            <w:pPr>
              <w:spacing w:after="0"/>
              <w:rPr>
                <w:sz w:val="1"/>
                <w:szCs w:val="1"/>
                <w:color w:val="auto"/>
              </w:rPr>
            </w:pPr>
          </w:p>
        </w:tc>
      </w:tr>
      <w:tr>
        <w:trPr>
          <w:trHeight w:val="84"/>
        </w:trPr>
        <w:tc>
          <w:tcPr>
            <w:tcW w:w="20" w:type="dxa"/>
            <w:vAlign w:val="bottom"/>
            <w:shd w:val="clear" w:color="auto" w:fill="DCE2EF"/>
          </w:tcPr>
          <w:p>
            <w:pPr>
              <w:spacing w:after="0"/>
              <w:rPr>
                <w:sz w:val="7"/>
                <w:szCs w:val="7"/>
                <w:color w:val="auto"/>
              </w:rPr>
            </w:pPr>
          </w:p>
        </w:tc>
        <w:tc>
          <w:tcPr>
            <w:tcW w:w="2240" w:type="dxa"/>
            <w:vAlign w:val="bottom"/>
            <w:gridSpan w:val="3"/>
            <w:vMerge w:val="continue"/>
            <w:shd w:val="clear" w:color="auto" w:fill="DCE2EF"/>
          </w:tcPr>
          <w:p>
            <w:pPr>
              <w:spacing w:after="0"/>
              <w:rPr>
                <w:sz w:val="7"/>
                <w:szCs w:val="7"/>
                <w:color w:val="auto"/>
              </w:rPr>
            </w:pPr>
          </w:p>
        </w:tc>
        <w:tc>
          <w:tcPr>
            <w:tcW w:w="104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96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6"/>
              </w:rPr>
              <w:t>6/30/2020</w:t>
            </w:r>
          </w:p>
        </w:tc>
        <w:tc>
          <w:tcPr>
            <w:tcW w:w="120" w:type="dxa"/>
            <w:vAlign w:val="bottom"/>
            <w:shd w:val="clear" w:color="auto" w:fill="DCE2EF"/>
          </w:tcPr>
          <w:p>
            <w:pPr>
              <w:spacing w:after="0"/>
              <w:rPr>
                <w:sz w:val="7"/>
                <w:szCs w:val="7"/>
                <w:color w:val="auto"/>
              </w:rPr>
            </w:pPr>
          </w:p>
        </w:tc>
        <w:tc>
          <w:tcPr>
            <w:tcW w:w="1060" w:type="dxa"/>
            <w:vAlign w:val="bottom"/>
            <w:gridSpan w:val="2"/>
            <w:vMerge w:val="continue"/>
            <w:shd w:val="clear" w:color="auto" w:fill="DCE2EF"/>
          </w:tcPr>
          <w:p>
            <w:pPr>
              <w:spacing w:after="0"/>
              <w:rPr>
                <w:sz w:val="7"/>
                <w:szCs w:val="7"/>
                <w:color w:val="auto"/>
              </w:rPr>
            </w:pPr>
          </w:p>
        </w:tc>
        <w:tc>
          <w:tcPr>
            <w:tcW w:w="1280" w:type="dxa"/>
            <w:vAlign w:val="bottom"/>
            <w:gridSpan w:val="2"/>
            <w:vMerge w:val="continue"/>
            <w:shd w:val="clear" w:color="auto" w:fill="DCE2EF"/>
          </w:tcPr>
          <w:p>
            <w:pPr>
              <w:spacing w:after="0"/>
              <w:rPr>
                <w:sz w:val="7"/>
                <w:szCs w:val="7"/>
                <w:color w:val="auto"/>
              </w:rPr>
            </w:pPr>
          </w:p>
        </w:tc>
        <w:tc>
          <w:tcPr>
            <w:tcW w:w="120" w:type="dxa"/>
            <w:vAlign w:val="bottom"/>
            <w:vMerge w:val="continue"/>
            <w:shd w:val="clear" w:color="auto" w:fill="DCE2EF"/>
          </w:tcPr>
          <w:p>
            <w:pPr>
              <w:spacing w:after="0"/>
              <w:rPr>
                <w:sz w:val="7"/>
                <w:szCs w:val="7"/>
                <w:color w:val="auto"/>
              </w:rPr>
            </w:pPr>
          </w:p>
        </w:tc>
        <w:tc>
          <w:tcPr>
            <w:tcW w:w="52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40" w:type="dxa"/>
            <w:vAlign w:val="bottom"/>
            <w:vMerge w:val="continue"/>
            <w:shd w:val="clear" w:color="auto" w:fill="DCE2EF"/>
          </w:tcPr>
          <w:p>
            <w:pPr>
              <w:spacing w:after="0"/>
              <w:rPr>
                <w:sz w:val="7"/>
                <w:szCs w:val="7"/>
                <w:color w:val="auto"/>
              </w:rPr>
            </w:pPr>
          </w:p>
        </w:tc>
        <w:tc>
          <w:tcPr>
            <w:tcW w:w="52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300" w:type="dxa"/>
            <w:vAlign w:val="bottom"/>
            <w:vMerge w:val="continue"/>
            <w:shd w:val="clear" w:color="auto" w:fill="DCE2EF"/>
          </w:tcPr>
          <w:p>
            <w:pPr>
              <w:spacing w:after="0"/>
              <w:rPr>
                <w:sz w:val="7"/>
                <w:szCs w:val="7"/>
                <w:color w:val="auto"/>
              </w:rPr>
            </w:pPr>
          </w:p>
        </w:tc>
        <w:tc>
          <w:tcPr>
            <w:tcW w:w="36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080" w:type="dxa"/>
            <w:vAlign w:val="bottom"/>
            <w:gridSpan w:val="2"/>
            <w:vMerge w:val="continue"/>
            <w:shd w:val="clear" w:color="auto" w:fill="DCE2EF"/>
          </w:tcPr>
          <w:p>
            <w:pPr>
              <w:spacing w:after="0"/>
              <w:rPr>
                <w:sz w:val="7"/>
                <w:szCs w:val="7"/>
                <w:color w:val="auto"/>
              </w:rPr>
            </w:pPr>
          </w:p>
        </w:tc>
        <w:tc>
          <w:tcPr>
            <w:tcW w:w="106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5"/>
              </w:rPr>
              <w:t>12/31/2023</w:t>
            </w:r>
          </w:p>
        </w:tc>
        <w:tc>
          <w:tcPr>
            <w:tcW w:w="0" w:type="dxa"/>
            <w:vAlign w:val="bottom"/>
          </w:tcPr>
          <w:p>
            <w:pPr>
              <w:spacing w:after="0"/>
              <w:rPr>
                <w:sz w:val="1"/>
                <w:szCs w:val="1"/>
                <w:color w:val="auto"/>
              </w:rPr>
            </w:pPr>
          </w:p>
        </w:tc>
      </w:tr>
      <w:tr>
        <w:trPr>
          <w:trHeight w:val="83"/>
        </w:trPr>
        <w:tc>
          <w:tcPr>
            <w:tcW w:w="20" w:type="dxa"/>
            <w:vAlign w:val="bottom"/>
            <w:shd w:val="clear" w:color="auto" w:fill="DCE2EF"/>
          </w:tcPr>
          <w:p>
            <w:pPr>
              <w:spacing w:after="0"/>
              <w:rPr>
                <w:sz w:val="7"/>
                <w:szCs w:val="7"/>
                <w:color w:val="auto"/>
              </w:rPr>
            </w:pPr>
          </w:p>
        </w:tc>
        <w:tc>
          <w:tcPr>
            <w:tcW w:w="660" w:type="dxa"/>
            <w:vAlign w:val="bottom"/>
            <w:shd w:val="clear" w:color="auto" w:fill="DCE2EF"/>
          </w:tcPr>
          <w:p>
            <w:pPr>
              <w:spacing w:after="0"/>
              <w:rPr>
                <w:sz w:val="7"/>
                <w:szCs w:val="7"/>
                <w:color w:val="auto"/>
              </w:rPr>
            </w:pPr>
          </w:p>
        </w:tc>
        <w:tc>
          <w:tcPr>
            <w:tcW w:w="148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04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960" w:type="dxa"/>
            <w:vAlign w:val="bottom"/>
            <w:vMerge w:val="continue"/>
            <w:shd w:val="clear" w:color="auto" w:fill="DCE2EF"/>
          </w:tcPr>
          <w:p>
            <w:pPr>
              <w:spacing w:after="0"/>
              <w:rPr>
                <w:sz w:val="7"/>
                <w:szCs w:val="7"/>
                <w:color w:val="auto"/>
              </w:rPr>
            </w:pPr>
          </w:p>
        </w:tc>
        <w:tc>
          <w:tcPr>
            <w:tcW w:w="120" w:type="dxa"/>
            <w:vAlign w:val="bottom"/>
            <w:shd w:val="clear" w:color="auto" w:fill="DCE2EF"/>
          </w:tcPr>
          <w:p>
            <w:pPr>
              <w:spacing w:after="0"/>
              <w:rPr>
                <w:sz w:val="7"/>
                <w:szCs w:val="7"/>
                <w:color w:val="auto"/>
              </w:rPr>
            </w:pPr>
          </w:p>
        </w:tc>
        <w:tc>
          <w:tcPr>
            <w:tcW w:w="96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160" w:type="dxa"/>
            <w:vAlign w:val="bottom"/>
            <w:shd w:val="clear" w:color="auto" w:fill="DCE2EF"/>
          </w:tcPr>
          <w:p>
            <w:pPr>
              <w:spacing w:after="0"/>
              <w:rPr>
                <w:sz w:val="7"/>
                <w:szCs w:val="7"/>
                <w:color w:val="auto"/>
              </w:rPr>
            </w:pPr>
          </w:p>
        </w:tc>
        <w:tc>
          <w:tcPr>
            <w:tcW w:w="120" w:type="dxa"/>
            <w:vAlign w:val="bottom"/>
            <w:shd w:val="clear" w:color="auto" w:fill="DCE2EF"/>
          </w:tcPr>
          <w:p>
            <w:pPr>
              <w:spacing w:after="0"/>
              <w:rPr>
                <w:sz w:val="7"/>
                <w:szCs w:val="7"/>
                <w:color w:val="auto"/>
              </w:rPr>
            </w:pPr>
          </w:p>
        </w:tc>
        <w:tc>
          <w:tcPr>
            <w:tcW w:w="120" w:type="dxa"/>
            <w:vAlign w:val="bottom"/>
            <w:shd w:val="clear" w:color="auto" w:fill="DCE2EF"/>
          </w:tcPr>
          <w:p>
            <w:pPr>
              <w:spacing w:after="0"/>
              <w:rPr>
                <w:sz w:val="7"/>
                <w:szCs w:val="7"/>
                <w:color w:val="auto"/>
              </w:rPr>
            </w:pPr>
          </w:p>
        </w:tc>
        <w:tc>
          <w:tcPr>
            <w:tcW w:w="52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40" w:type="dxa"/>
            <w:vAlign w:val="bottom"/>
            <w:shd w:val="clear" w:color="auto" w:fill="DCE2EF"/>
          </w:tcPr>
          <w:p>
            <w:pPr>
              <w:spacing w:after="0"/>
              <w:rPr>
                <w:sz w:val="7"/>
                <w:szCs w:val="7"/>
                <w:color w:val="auto"/>
              </w:rPr>
            </w:pPr>
          </w:p>
        </w:tc>
        <w:tc>
          <w:tcPr>
            <w:tcW w:w="52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300" w:type="dxa"/>
            <w:vAlign w:val="bottom"/>
            <w:shd w:val="clear" w:color="auto" w:fill="DCE2EF"/>
          </w:tcPr>
          <w:p>
            <w:pPr>
              <w:spacing w:after="0"/>
              <w:rPr>
                <w:sz w:val="7"/>
                <w:szCs w:val="7"/>
                <w:color w:val="auto"/>
              </w:rPr>
            </w:pPr>
          </w:p>
        </w:tc>
        <w:tc>
          <w:tcPr>
            <w:tcW w:w="36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98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060" w:type="dxa"/>
            <w:vAlign w:val="bottom"/>
            <w:vMerge w:val="continue"/>
            <w:shd w:val="clear" w:color="auto" w:fill="DCE2EF"/>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40" w:type="dxa"/>
            <w:vAlign w:val="bottom"/>
            <w:gridSpan w:val="3"/>
          </w:tcPr>
          <w:p>
            <w:pPr>
              <w:spacing w:after="0" w:line="129" w:lineRule="exact"/>
              <w:rPr>
                <w:sz w:val="20"/>
                <w:szCs w:val="20"/>
                <w:color w:val="auto"/>
              </w:rPr>
            </w:pPr>
            <w:r>
              <w:rPr>
                <w:rFonts w:ascii="Arial" w:cs="Arial" w:eastAsia="Arial" w:hAnsi="Arial"/>
                <w:sz w:val="13"/>
                <w:szCs w:val="13"/>
                <w:color w:val="auto"/>
              </w:rPr>
              <w:t>S.E.I.U. National Industry Pension</w:t>
            </w:r>
          </w:p>
        </w:tc>
        <w:tc>
          <w:tcPr>
            <w:tcW w:w="1040" w:type="dxa"/>
            <w:vAlign w:val="bottom"/>
          </w:tcPr>
          <w:p>
            <w:pPr>
              <w:jc w:val="center"/>
              <w:spacing w:after="0" w:line="129" w:lineRule="exact"/>
              <w:rPr>
                <w:sz w:val="20"/>
                <w:szCs w:val="20"/>
                <w:color w:val="auto"/>
              </w:rPr>
            </w:pPr>
            <w:r>
              <w:rPr>
                <w:rFonts w:ascii="Arial" w:cs="Arial" w:eastAsia="Arial" w:hAnsi="Arial"/>
                <w:sz w:val="13"/>
                <w:szCs w:val="13"/>
                <w:color w:val="auto"/>
                <w:w w:val="96"/>
              </w:rPr>
              <w:t>52-6148540 /</w:t>
            </w:r>
          </w:p>
        </w:tc>
        <w:tc>
          <w:tcPr>
            <w:tcW w:w="100" w:type="dxa"/>
            <w:vAlign w:val="bottom"/>
          </w:tcPr>
          <w:p>
            <w:pPr>
              <w:spacing w:after="0"/>
              <w:rPr>
                <w:sz w:val="11"/>
                <w:szCs w:val="11"/>
                <w:color w:val="auto"/>
              </w:rPr>
            </w:pPr>
          </w:p>
        </w:tc>
        <w:tc>
          <w:tcPr>
            <w:tcW w:w="108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w w:val="92"/>
              </w:rPr>
              <w:t>Red</w:t>
            </w: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7"/>
              </w:rPr>
              <w:t>Red 12/31/2019</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5"/>
              </w:rPr>
              <w:t>Implemented</w:t>
            </w: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1"/>
                <w:szCs w:val="11"/>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9"/>
              </w:rPr>
              <w:t>Yes</w:t>
            </w:r>
          </w:p>
        </w:tc>
        <w:tc>
          <w:tcPr>
            <w:tcW w:w="1060" w:type="dxa"/>
            <w:vAlign w:val="bottom"/>
          </w:tcPr>
          <w:p>
            <w:pPr>
              <w:jc w:val="center"/>
              <w:spacing w:after="0" w:line="129" w:lineRule="exact"/>
              <w:rPr>
                <w:sz w:val="20"/>
                <w:szCs w:val="20"/>
                <w:color w:val="auto"/>
              </w:rPr>
            </w:pPr>
            <w:r>
              <w:rPr>
                <w:rFonts w:ascii="Arial" w:cs="Arial" w:eastAsia="Arial" w:hAnsi="Arial"/>
                <w:sz w:val="13"/>
                <w:szCs w:val="13"/>
                <w:color w:val="auto"/>
                <w:w w:val="96"/>
              </w:rPr>
              <w:t>7/31/2022 –</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240" w:type="dxa"/>
            <w:vAlign w:val="bottom"/>
            <w:gridSpan w:val="3"/>
            <w:vMerge w:val="restart"/>
          </w:tcPr>
          <w:p>
            <w:pPr>
              <w:spacing w:after="0"/>
              <w:rPr>
                <w:sz w:val="20"/>
                <w:szCs w:val="20"/>
                <w:color w:val="auto"/>
              </w:rPr>
            </w:pPr>
            <w:r>
              <w:rPr>
                <w:rFonts w:ascii="Arial" w:cs="Arial" w:eastAsia="Arial" w:hAnsi="Arial"/>
                <w:sz w:val="13"/>
                <w:szCs w:val="13"/>
                <w:color w:val="auto"/>
              </w:rPr>
              <w:t>Fund</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2"/>
              </w:rPr>
              <w:t>001</w:t>
            </w:r>
          </w:p>
        </w:tc>
        <w:tc>
          <w:tcPr>
            <w:tcW w:w="100" w:type="dxa"/>
            <w:vAlign w:val="bottom"/>
          </w:tcPr>
          <w:p>
            <w:pPr>
              <w:spacing w:after="0"/>
              <w:rPr>
                <w:sz w:val="7"/>
                <w:szCs w:val="7"/>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5"/>
              </w:rPr>
              <w:t>12/31/2020</w:t>
            </w:r>
          </w:p>
        </w:tc>
        <w:tc>
          <w:tcPr>
            <w:tcW w:w="1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95"/>
              </w:rPr>
              <w:t>10/31/2023</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shd w:val="clear" w:color="auto" w:fill="DCE2EF"/>
          </w:tcPr>
          <w:p>
            <w:pPr>
              <w:spacing w:after="0"/>
              <w:rPr>
                <w:sz w:val="11"/>
                <w:szCs w:val="11"/>
                <w:color w:val="auto"/>
              </w:rPr>
            </w:pPr>
          </w:p>
        </w:tc>
        <w:tc>
          <w:tcPr>
            <w:tcW w:w="2240" w:type="dxa"/>
            <w:vAlign w:val="bottom"/>
            <w:gridSpan w:val="3"/>
            <w:shd w:val="clear" w:color="auto" w:fill="DCE2EF"/>
          </w:tcPr>
          <w:p>
            <w:pPr>
              <w:spacing w:after="0" w:line="137" w:lineRule="exact"/>
              <w:rPr>
                <w:sz w:val="20"/>
                <w:szCs w:val="20"/>
                <w:color w:val="auto"/>
              </w:rPr>
            </w:pPr>
            <w:r>
              <w:rPr>
                <w:rFonts w:ascii="Arial" w:cs="Arial" w:eastAsia="Arial" w:hAnsi="Arial"/>
                <w:sz w:val="13"/>
                <w:szCs w:val="13"/>
                <w:color w:val="auto"/>
              </w:rPr>
              <w:t>IUOE Stationary Engineers Local 39</w:t>
            </w:r>
          </w:p>
        </w:tc>
        <w:tc>
          <w:tcPr>
            <w:tcW w:w="1040" w:type="dxa"/>
            <w:vAlign w:val="bottom"/>
            <w:shd w:val="clear" w:color="auto" w:fill="DCE2EF"/>
          </w:tcPr>
          <w:p>
            <w:pPr>
              <w:jc w:val="center"/>
              <w:spacing w:after="0" w:line="137" w:lineRule="exact"/>
              <w:rPr>
                <w:sz w:val="20"/>
                <w:szCs w:val="20"/>
                <w:color w:val="auto"/>
              </w:rPr>
            </w:pPr>
            <w:r>
              <w:rPr>
                <w:rFonts w:ascii="Arial" w:cs="Arial" w:eastAsia="Arial" w:hAnsi="Arial"/>
                <w:sz w:val="13"/>
                <w:szCs w:val="13"/>
                <w:color w:val="auto"/>
                <w:w w:val="96"/>
              </w:rPr>
              <w:t>94-6118939 /</w:t>
            </w:r>
          </w:p>
        </w:tc>
        <w:tc>
          <w:tcPr>
            <w:tcW w:w="100" w:type="dxa"/>
            <w:vAlign w:val="bottom"/>
            <w:shd w:val="clear" w:color="auto" w:fill="DCE2EF"/>
          </w:tcPr>
          <w:p>
            <w:pPr>
              <w:spacing w:after="0"/>
              <w:rPr>
                <w:sz w:val="11"/>
                <w:szCs w:val="11"/>
                <w:color w:val="auto"/>
              </w:rPr>
            </w:pPr>
          </w:p>
        </w:tc>
        <w:tc>
          <w:tcPr>
            <w:tcW w:w="1080" w:type="dxa"/>
            <w:vAlign w:val="bottom"/>
            <w:gridSpan w:val="2"/>
            <w:shd w:val="clear" w:color="auto" w:fill="DCE2EF"/>
          </w:tcPr>
          <w:p>
            <w:pPr>
              <w:jc w:val="center"/>
              <w:ind w:right="100"/>
              <w:spacing w:after="0" w:line="137" w:lineRule="exact"/>
              <w:rPr>
                <w:sz w:val="20"/>
                <w:szCs w:val="20"/>
                <w:color w:val="auto"/>
              </w:rPr>
            </w:pPr>
            <w:r>
              <w:rPr>
                <w:rFonts w:ascii="Arial" w:cs="Arial" w:eastAsia="Arial" w:hAnsi="Arial"/>
                <w:sz w:val="13"/>
                <w:szCs w:val="13"/>
                <w:color w:val="auto"/>
                <w:w w:val="93"/>
              </w:rPr>
              <w:t>Green</w:t>
            </w:r>
          </w:p>
        </w:tc>
        <w:tc>
          <w:tcPr>
            <w:tcW w:w="1060" w:type="dxa"/>
            <w:vAlign w:val="bottom"/>
            <w:gridSpan w:val="2"/>
            <w:shd w:val="clear" w:color="auto" w:fill="DCE2EF"/>
          </w:tcPr>
          <w:p>
            <w:pPr>
              <w:jc w:val="center"/>
              <w:ind w:right="100"/>
              <w:spacing w:after="0" w:line="137" w:lineRule="exact"/>
              <w:rPr>
                <w:sz w:val="20"/>
                <w:szCs w:val="20"/>
                <w:color w:val="auto"/>
              </w:rPr>
            </w:pPr>
            <w:r>
              <w:rPr>
                <w:rFonts w:ascii="Arial" w:cs="Arial" w:eastAsia="Arial" w:hAnsi="Arial"/>
                <w:sz w:val="13"/>
                <w:szCs w:val="13"/>
                <w:color w:val="auto"/>
                <w:w w:val="99"/>
              </w:rPr>
              <w:t>Green</w:t>
            </w:r>
          </w:p>
        </w:tc>
        <w:tc>
          <w:tcPr>
            <w:tcW w:w="1280" w:type="dxa"/>
            <w:vAlign w:val="bottom"/>
            <w:gridSpan w:val="2"/>
            <w:vMerge w:val="restart"/>
            <w:shd w:val="clear" w:color="auto" w:fill="DCE2EF"/>
          </w:tcPr>
          <w:p>
            <w:pPr>
              <w:jc w:val="center"/>
              <w:ind w:right="100"/>
              <w:spacing w:after="0"/>
              <w:rPr>
                <w:sz w:val="20"/>
                <w:szCs w:val="20"/>
                <w:color w:val="auto"/>
              </w:rPr>
            </w:pPr>
            <w:r>
              <w:rPr>
                <w:rFonts w:ascii="Arial" w:cs="Arial" w:eastAsia="Arial" w:hAnsi="Arial"/>
                <w:sz w:val="13"/>
                <w:szCs w:val="13"/>
                <w:color w:val="auto"/>
                <w:w w:val="97"/>
              </w:rPr>
              <w:t>N/A*</w:t>
            </w:r>
          </w:p>
        </w:tc>
        <w:tc>
          <w:tcPr>
            <w:tcW w:w="120" w:type="dxa"/>
            <w:vAlign w:val="bottom"/>
            <w:shd w:val="clear" w:color="auto" w:fill="DCE2EF"/>
          </w:tcPr>
          <w:p>
            <w:pPr>
              <w:spacing w:after="0"/>
              <w:rPr>
                <w:sz w:val="11"/>
                <w:szCs w:val="11"/>
                <w:color w:val="auto"/>
              </w:rPr>
            </w:pP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DCE2EF"/>
          </w:tcPr>
          <w:p>
            <w:pPr>
              <w:spacing w:after="0"/>
              <w:rPr>
                <w:sz w:val="11"/>
                <w:szCs w:val="11"/>
                <w:color w:val="auto"/>
              </w:rPr>
            </w:pPr>
          </w:p>
        </w:tc>
        <w:tc>
          <w:tcPr>
            <w:tcW w:w="140" w:type="dxa"/>
            <w:vAlign w:val="bottom"/>
            <w:shd w:val="clear" w:color="auto" w:fill="DCE2EF"/>
          </w:tcPr>
          <w:p>
            <w:pPr>
              <w:spacing w:after="0"/>
              <w:rPr>
                <w:sz w:val="11"/>
                <w:szCs w:val="11"/>
                <w:color w:val="auto"/>
              </w:rPr>
            </w:pP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DCE2EF"/>
          </w:tcPr>
          <w:p>
            <w:pPr>
              <w:spacing w:after="0"/>
              <w:rPr>
                <w:sz w:val="11"/>
                <w:szCs w:val="11"/>
                <w:color w:val="auto"/>
              </w:rPr>
            </w:pPr>
          </w:p>
        </w:tc>
        <w:tc>
          <w:tcPr>
            <w:tcW w:w="300" w:type="dxa"/>
            <w:vAlign w:val="bottom"/>
            <w:shd w:val="clear" w:color="auto" w:fill="DCE2EF"/>
          </w:tcPr>
          <w:p>
            <w:pPr>
              <w:spacing w:after="0"/>
              <w:rPr>
                <w:sz w:val="11"/>
                <w:szCs w:val="11"/>
                <w:color w:val="auto"/>
              </w:rPr>
            </w:pPr>
          </w:p>
        </w:tc>
        <w:tc>
          <w:tcPr>
            <w:tcW w:w="36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DCE2EF"/>
          </w:tcPr>
          <w:p>
            <w:pPr>
              <w:spacing w:after="0"/>
              <w:rPr>
                <w:sz w:val="11"/>
                <w:szCs w:val="11"/>
                <w:color w:val="auto"/>
              </w:rPr>
            </w:pPr>
          </w:p>
        </w:tc>
        <w:tc>
          <w:tcPr>
            <w:tcW w:w="1080" w:type="dxa"/>
            <w:vAlign w:val="bottom"/>
            <w:gridSpan w:val="2"/>
            <w:vMerge w:val="restart"/>
            <w:shd w:val="clear" w:color="auto" w:fill="DCE2EF"/>
          </w:tcPr>
          <w:p>
            <w:pPr>
              <w:jc w:val="center"/>
              <w:ind w:right="100"/>
              <w:spacing w:after="0"/>
              <w:rPr>
                <w:sz w:val="20"/>
                <w:szCs w:val="20"/>
                <w:color w:val="auto"/>
              </w:rPr>
            </w:pPr>
            <w:r>
              <w:rPr>
                <w:rFonts w:ascii="Arial" w:cs="Arial" w:eastAsia="Arial" w:hAnsi="Arial"/>
                <w:sz w:val="13"/>
                <w:szCs w:val="13"/>
                <w:color w:val="auto"/>
                <w:w w:val="97"/>
              </w:rPr>
              <w:t>N/A*</w:t>
            </w:r>
          </w:p>
        </w:tc>
        <w:tc>
          <w:tcPr>
            <w:tcW w:w="1060" w:type="dxa"/>
            <w:vAlign w:val="bottom"/>
            <w:shd w:val="clear" w:color="auto" w:fill="DCE2EF"/>
          </w:tcPr>
          <w:p>
            <w:pPr>
              <w:jc w:val="center"/>
              <w:spacing w:after="0" w:line="137" w:lineRule="exact"/>
              <w:rPr>
                <w:sz w:val="20"/>
                <w:szCs w:val="20"/>
                <w:color w:val="auto"/>
              </w:rPr>
            </w:pPr>
            <w:r>
              <w:rPr>
                <w:rFonts w:ascii="Arial" w:cs="Arial" w:eastAsia="Arial" w:hAnsi="Arial"/>
                <w:sz w:val="13"/>
                <w:szCs w:val="13"/>
                <w:color w:val="auto"/>
                <w:w w:val="96"/>
              </w:rPr>
              <w:t>8/31/2023 –</w:t>
            </w:r>
          </w:p>
        </w:tc>
        <w:tc>
          <w:tcPr>
            <w:tcW w:w="0" w:type="dxa"/>
            <w:vAlign w:val="bottom"/>
          </w:tcPr>
          <w:p>
            <w:pPr>
              <w:spacing w:after="0"/>
              <w:rPr>
                <w:sz w:val="1"/>
                <w:szCs w:val="1"/>
                <w:color w:val="auto"/>
              </w:rPr>
            </w:pPr>
          </w:p>
        </w:tc>
      </w:tr>
      <w:tr>
        <w:trPr>
          <w:trHeight w:val="84"/>
        </w:trPr>
        <w:tc>
          <w:tcPr>
            <w:tcW w:w="20" w:type="dxa"/>
            <w:vAlign w:val="bottom"/>
            <w:shd w:val="clear" w:color="auto" w:fill="DCE2EF"/>
          </w:tcPr>
          <w:p>
            <w:pPr>
              <w:spacing w:after="0"/>
              <w:rPr>
                <w:sz w:val="7"/>
                <w:szCs w:val="7"/>
                <w:color w:val="auto"/>
              </w:rPr>
            </w:pPr>
          </w:p>
        </w:tc>
        <w:tc>
          <w:tcPr>
            <w:tcW w:w="2240" w:type="dxa"/>
            <w:vAlign w:val="bottom"/>
            <w:gridSpan w:val="3"/>
            <w:vMerge w:val="restart"/>
            <w:shd w:val="clear" w:color="auto" w:fill="DCE2EF"/>
          </w:tcPr>
          <w:p>
            <w:pPr>
              <w:spacing w:after="0"/>
              <w:rPr>
                <w:sz w:val="20"/>
                <w:szCs w:val="20"/>
                <w:color w:val="auto"/>
              </w:rPr>
            </w:pPr>
            <w:r>
              <w:rPr>
                <w:rFonts w:ascii="Arial" w:cs="Arial" w:eastAsia="Arial" w:hAnsi="Arial"/>
                <w:sz w:val="13"/>
                <w:szCs w:val="13"/>
                <w:color w:val="auto"/>
              </w:rPr>
              <w:t>Pension Plan</w:t>
            </w:r>
          </w:p>
        </w:tc>
        <w:tc>
          <w:tcPr>
            <w:tcW w:w="104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2"/>
              </w:rPr>
              <w:t>001</w:t>
            </w:r>
          </w:p>
        </w:tc>
        <w:tc>
          <w:tcPr>
            <w:tcW w:w="100" w:type="dxa"/>
            <w:vAlign w:val="bottom"/>
            <w:shd w:val="clear" w:color="auto" w:fill="DCE2EF"/>
          </w:tcPr>
          <w:p>
            <w:pPr>
              <w:spacing w:after="0"/>
              <w:rPr>
                <w:sz w:val="7"/>
                <w:szCs w:val="7"/>
                <w:color w:val="auto"/>
              </w:rPr>
            </w:pPr>
          </w:p>
        </w:tc>
        <w:tc>
          <w:tcPr>
            <w:tcW w:w="96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5"/>
              </w:rPr>
              <w:t>12/31/2020</w:t>
            </w:r>
          </w:p>
        </w:tc>
        <w:tc>
          <w:tcPr>
            <w:tcW w:w="120" w:type="dxa"/>
            <w:vAlign w:val="bottom"/>
            <w:shd w:val="clear" w:color="auto" w:fill="DCE2EF"/>
          </w:tcPr>
          <w:p>
            <w:pPr>
              <w:spacing w:after="0"/>
              <w:rPr>
                <w:sz w:val="7"/>
                <w:szCs w:val="7"/>
                <w:color w:val="auto"/>
              </w:rPr>
            </w:pPr>
          </w:p>
        </w:tc>
        <w:tc>
          <w:tcPr>
            <w:tcW w:w="96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8"/>
              </w:rPr>
              <w:t>12/31/2019</w:t>
            </w:r>
          </w:p>
        </w:tc>
        <w:tc>
          <w:tcPr>
            <w:tcW w:w="100" w:type="dxa"/>
            <w:vAlign w:val="bottom"/>
            <w:shd w:val="clear" w:color="auto" w:fill="DCE2EF"/>
          </w:tcPr>
          <w:p>
            <w:pPr>
              <w:spacing w:after="0"/>
              <w:rPr>
                <w:sz w:val="7"/>
                <w:szCs w:val="7"/>
                <w:color w:val="auto"/>
              </w:rPr>
            </w:pPr>
          </w:p>
        </w:tc>
        <w:tc>
          <w:tcPr>
            <w:tcW w:w="1280" w:type="dxa"/>
            <w:vAlign w:val="bottom"/>
            <w:gridSpan w:val="2"/>
            <w:vMerge w:val="continue"/>
            <w:shd w:val="clear" w:color="auto" w:fill="DCE2EF"/>
          </w:tcPr>
          <w:p>
            <w:pPr>
              <w:spacing w:after="0"/>
              <w:rPr>
                <w:sz w:val="7"/>
                <w:szCs w:val="7"/>
                <w:color w:val="auto"/>
              </w:rPr>
            </w:pPr>
          </w:p>
        </w:tc>
        <w:tc>
          <w:tcPr>
            <w:tcW w:w="120" w:type="dxa"/>
            <w:vAlign w:val="bottom"/>
            <w:shd w:val="clear" w:color="auto" w:fill="DCE2EF"/>
          </w:tcPr>
          <w:p>
            <w:pPr>
              <w:spacing w:after="0"/>
              <w:rPr>
                <w:sz w:val="7"/>
                <w:szCs w:val="7"/>
                <w:color w:val="auto"/>
              </w:rPr>
            </w:pPr>
          </w:p>
        </w:tc>
        <w:tc>
          <w:tcPr>
            <w:tcW w:w="52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40" w:type="dxa"/>
            <w:vAlign w:val="bottom"/>
            <w:shd w:val="clear" w:color="auto" w:fill="DCE2EF"/>
          </w:tcPr>
          <w:p>
            <w:pPr>
              <w:spacing w:after="0"/>
              <w:rPr>
                <w:sz w:val="7"/>
                <w:szCs w:val="7"/>
                <w:color w:val="auto"/>
              </w:rPr>
            </w:pPr>
          </w:p>
        </w:tc>
        <w:tc>
          <w:tcPr>
            <w:tcW w:w="52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300" w:type="dxa"/>
            <w:vAlign w:val="bottom"/>
            <w:shd w:val="clear" w:color="auto" w:fill="DCE2EF"/>
          </w:tcPr>
          <w:p>
            <w:pPr>
              <w:spacing w:after="0"/>
              <w:rPr>
                <w:sz w:val="7"/>
                <w:szCs w:val="7"/>
                <w:color w:val="auto"/>
              </w:rPr>
            </w:pPr>
          </w:p>
        </w:tc>
        <w:tc>
          <w:tcPr>
            <w:tcW w:w="36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080" w:type="dxa"/>
            <w:vAlign w:val="bottom"/>
            <w:gridSpan w:val="2"/>
            <w:vMerge w:val="continue"/>
            <w:shd w:val="clear" w:color="auto" w:fill="DCE2EF"/>
          </w:tcPr>
          <w:p>
            <w:pPr>
              <w:spacing w:after="0"/>
              <w:rPr>
                <w:sz w:val="7"/>
                <w:szCs w:val="7"/>
                <w:color w:val="auto"/>
              </w:rPr>
            </w:pPr>
          </w:p>
        </w:tc>
        <w:tc>
          <w:tcPr>
            <w:tcW w:w="106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5"/>
              </w:rPr>
              <w:t>10/31/2024</w:t>
            </w:r>
          </w:p>
        </w:tc>
        <w:tc>
          <w:tcPr>
            <w:tcW w:w="0" w:type="dxa"/>
            <w:vAlign w:val="bottom"/>
          </w:tcPr>
          <w:p>
            <w:pPr>
              <w:spacing w:after="0"/>
              <w:rPr>
                <w:sz w:val="1"/>
                <w:szCs w:val="1"/>
                <w:color w:val="auto"/>
              </w:rPr>
            </w:pPr>
          </w:p>
        </w:tc>
      </w:tr>
      <w:tr>
        <w:trPr>
          <w:trHeight w:val="83"/>
        </w:trPr>
        <w:tc>
          <w:tcPr>
            <w:tcW w:w="20" w:type="dxa"/>
            <w:vAlign w:val="bottom"/>
            <w:shd w:val="clear" w:color="auto" w:fill="DCE2EF"/>
          </w:tcPr>
          <w:p>
            <w:pPr>
              <w:spacing w:after="0"/>
              <w:rPr>
                <w:sz w:val="7"/>
                <w:szCs w:val="7"/>
                <w:color w:val="auto"/>
              </w:rPr>
            </w:pPr>
          </w:p>
        </w:tc>
        <w:tc>
          <w:tcPr>
            <w:tcW w:w="2240" w:type="dxa"/>
            <w:vAlign w:val="bottom"/>
            <w:gridSpan w:val="3"/>
            <w:vMerge w:val="continue"/>
            <w:shd w:val="clear" w:color="auto" w:fill="DCE2EF"/>
          </w:tcPr>
          <w:p>
            <w:pPr>
              <w:spacing w:after="0"/>
              <w:rPr>
                <w:sz w:val="7"/>
                <w:szCs w:val="7"/>
                <w:color w:val="auto"/>
              </w:rPr>
            </w:pPr>
          </w:p>
        </w:tc>
        <w:tc>
          <w:tcPr>
            <w:tcW w:w="104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960" w:type="dxa"/>
            <w:vAlign w:val="bottom"/>
            <w:vMerge w:val="continue"/>
            <w:shd w:val="clear" w:color="auto" w:fill="DCE2EF"/>
          </w:tcPr>
          <w:p>
            <w:pPr>
              <w:spacing w:after="0"/>
              <w:rPr>
                <w:sz w:val="7"/>
                <w:szCs w:val="7"/>
                <w:color w:val="auto"/>
              </w:rPr>
            </w:pPr>
          </w:p>
        </w:tc>
        <w:tc>
          <w:tcPr>
            <w:tcW w:w="120" w:type="dxa"/>
            <w:vAlign w:val="bottom"/>
            <w:shd w:val="clear" w:color="auto" w:fill="DCE2EF"/>
          </w:tcPr>
          <w:p>
            <w:pPr>
              <w:spacing w:after="0"/>
              <w:rPr>
                <w:sz w:val="7"/>
                <w:szCs w:val="7"/>
                <w:color w:val="auto"/>
              </w:rPr>
            </w:pPr>
          </w:p>
        </w:tc>
        <w:tc>
          <w:tcPr>
            <w:tcW w:w="96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160" w:type="dxa"/>
            <w:vAlign w:val="bottom"/>
            <w:shd w:val="clear" w:color="auto" w:fill="DCE2EF"/>
          </w:tcPr>
          <w:p>
            <w:pPr>
              <w:spacing w:after="0"/>
              <w:rPr>
                <w:sz w:val="7"/>
                <w:szCs w:val="7"/>
                <w:color w:val="auto"/>
              </w:rPr>
            </w:pPr>
          </w:p>
        </w:tc>
        <w:tc>
          <w:tcPr>
            <w:tcW w:w="120" w:type="dxa"/>
            <w:vAlign w:val="bottom"/>
            <w:shd w:val="clear" w:color="auto" w:fill="DCE2EF"/>
          </w:tcPr>
          <w:p>
            <w:pPr>
              <w:spacing w:after="0"/>
              <w:rPr>
                <w:sz w:val="7"/>
                <w:szCs w:val="7"/>
                <w:color w:val="auto"/>
              </w:rPr>
            </w:pPr>
          </w:p>
        </w:tc>
        <w:tc>
          <w:tcPr>
            <w:tcW w:w="120" w:type="dxa"/>
            <w:vAlign w:val="bottom"/>
            <w:shd w:val="clear" w:color="auto" w:fill="DCE2EF"/>
          </w:tcPr>
          <w:p>
            <w:pPr>
              <w:spacing w:after="0"/>
              <w:rPr>
                <w:sz w:val="7"/>
                <w:szCs w:val="7"/>
                <w:color w:val="auto"/>
              </w:rPr>
            </w:pPr>
          </w:p>
        </w:tc>
        <w:tc>
          <w:tcPr>
            <w:tcW w:w="52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40" w:type="dxa"/>
            <w:vAlign w:val="bottom"/>
            <w:shd w:val="clear" w:color="auto" w:fill="DCE2EF"/>
          </w:tcPr>
          <w:p>
            <w:pPr>
              <w:spacing w:after="0"/>
              <w:rPr>
                <w:sz w:val="7"/>
                <w:szCs w:val="7"/>
                <w:color w:val="auto"/>
              </w:rPr>
            </w:pPr>
          </w:p>
        </w:tc>
        <w:tc>
          <w:tcPr>
            <w:tcW w:w="52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300" w:type="dxa"/>
            <w:vAlign w:val="bottom"/>
            <w:shd w:val="clear" w:color="auto" w:fill="DCE2EF"/>
          </w:tcPr>
          <w:p>
            <w:pPr>
              <w:spacing w:after="0"/>
              <w:rPr>
                <w:sz w:val="7"/>
                <w:szCs w:val="7"/>
                <w:color w:val="auto"/>
              </w:rPr>
            </w:pPr>
          </w:p>
        </w:tc>
        <w:tc>
          <w:tcPr>
            <w:tcW w:w="36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98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060" w:type="dxa"/>
            <w:vAlign w:val="bottom"/>
            <w:vMerge w:val="continue"/>
            <w:shd w:val="clear" w:color="auto" w:fill="DCE2EF"/>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40" w:type="dxa"/>
            <w:vAlign w:val="bottom"/>
            <w:gridSpan w:val="3"/>
          </w:tcPr>
          <w:p>
            <w:pPr>
              <w:spacing w:after="0"/>
              <w:rPr>
                <w:sz w:val="20"/>
                <w:szCs w:val="20"/>
                <w:color w:val="auto"/>
              </w:rPr>
            </w:pPr>
            <w:r>
              <w:rPr>
                <w:rFonts w:ascii="Arial" w:cs="Arial" w:eastAsia="Arial" w:hAnsi="Arial"/>
                <w:sz w:val="13"/>
                <w:szCs w:val="13"/>
                <w:color w:val="auto"/>
              </w:rPr>
              <w:t>Central Pension Fund of the IUOE &amp;</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36-6052390 /</w:t>
            </w:r>
          </w:p>
        </w:tc>
        <w:tc>
          <w:tcPr>
            <w:tcW w:w="10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Green</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Green</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7"/>
              </w:rPr>
              <w:t>N/A*</w:t>
            </w:r>
          </w:p>
        </w:tc>
        <w:tc>
          <w:tcPr>
            <w:tcW w:w="12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5"/>
                <w:szCs w:val="15"/>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7"/>
              </w:rPr>
              <w:t>N/A*</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240" w:type="dxa"/>
            <w:vAlign w:val="bottom"/>
            <w:gridSpan w:val="3"/>
            <w:vMerge w:val="restart"/>
          </w:tcPr>
          <w:p>
            <w:pPr>
              <w:spacing w:after="0"/>
              <w:rPr>
                <w:sz w:val="20"/>
                <w:szCs w:val="20"/>
                <w:color w:val="auto"/>
              </w:rPr>
            </w:pPr>
            <w:r>
              <w:rPr>
                <w:rFonts w:ascii="Arial" w:cs="Arial" w:eastAsia="Arial" w:hAnsi="Arial"/>
                <w:sz w:val="13"/>
                <w:szCs w:val="13"/>
                <w:color w:val="auto"/>
              </w:rPr>
              <w:t>Participating Employers</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2"/>
              </w:rPr>
              <w:t>001</w:t>
            </w:r>
          </w:p>
        </w:tc>
        <w:tc>
          <w:tcPr>
            <w:tcW w:w="10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6"/>
              </w:rPr>
              <w:t>1/31/2021</w:t>
            </w:r>
          </w:p>
        </w:tc>
        <w:tc>
          <w:tcPr>
            <w:tcW w:w="12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6"/>
              </w:rPr>
              <w:t>1/31/2020</w:t>
            </w:r>
          </w:p>
        </w:tc>
        <w:tc>
          <w:tcPr>
            <w:tcW w:w="10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95"/>
              </w:rPr>
              <w:t>12/31/2022</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40" w:type="dxa"/>
            <w:vAlign w:val="bottom"/>
            <w:gridSpan w:val="3"/>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shd w:val="clear" w:color="auto" w:fill="DCE2EF"/>
          </w:tcPr>
          <w:p>
            <w:pPr>
              <w:spacing w:after="0"/>
              <w:rPr>
                <w:sz w:val="11"/>
                <w:szCs w:val="11"/>
                <w:color w:val="auto"/>
              </w:rPr>
            </w:pPr>
          </w:p>
        </w:tc>
        <w:tc>
          <w:tcPr>
            <w:tcW w:w="2240" w:type="dxa"/>
            <w:vAlign w:val="bottom"/>
            <w:gridSpan w:val="3"/>
            <w:shd w:val="clear" w:color="auto" w:fill="DCE2EF"/>
          </w:tcPr>
          <w:p>
            <w:pPr>
              <w:spacing w:after="0" w:line="137" w:lineRule="exact"/>
              <w:rPr>
                <w:sz w:val="20"/>
                <w:szCs w:val="20"/>
                <w:color w:val="auto"/>
              </w:rPr>
            </w:pPr>
            <w:r>
              <w:rPr>
                <w:rFonts w:ascii="Arial" w:cs="Arial" w:eastAsia="Arial" w:hAnsi="Arial"/>
                <w:sz w:val="13"/>
                <w:szCs w:val="13"/>
                <w:color w:val="auto"/>
              </w:rPr>
              <w:t>SEIU Local 1 &amp; Participating</w:t>
            </w:r>
          </w:p>
        </w:tc>
        <w:tc>
          <w:tcPr>
            <w:tcW w:w="1040" w:type="dxa"/>
            <w:vAlign w:val="bottom"/>
            <w:shd w:val="clear" w:color="auto" w:fill="DCE2EF"/>
          </w:tcPr>
          <w:p>
            <w:pPr>
              <w:jc w:val="center"/>
              <w:spacing w:after="0" w:line="137" w:lineRule="exact"/>
              <w:rPr>
                <w:sz w:val="20"/>
                <w:szCs w:val="20"/>
                <w:color w:val="auto"/>
              </w:rPr>
            </w:pPr>
            <w:r>
              <w:rPr>
                <w:rFonts w:ascii="Arial" w:cs="Arial" w:eastAsia="Arial" w:hAnsi="Arial"/>
                <w:sz w:val="13"/>
                <w:szCs w:val="13"/>
                <w:color w:val="auto"/>
                <w:w w:val="96"/>
              </w:rPr>
              <w:t>36-6486542 /</w:t>
            </w:r>
          </w:p>
        </w:tc>
        <w:tc>
          <w:tcPr>
            <w:tcW w:w="100" w:type="dxa"/>
            <w:vAlign w:val="bottom"/>
            <w:shd w:val="clear" w:color="auto" w:fill="DCE2EF"/>
          </w:tcPr>
          <w:p>
            <w:pPr>
              <w:spacing w:after="0"/>
              <w:rPr>
                <w:sz w:val="11"/>
                <w:szCs w:val="11"/>
                <w:color w:val="auto"/>
              </w:rPr>
            </w:pPr>
          </w:p>
        </w:tc>
        <w:tc>
          <w:tcPr>
            <w:tcW w:w="1080" w:type="dxa"/>
            <w:vAlign w:val="bottom"/>
            <w:gridSpan w:val="2"/>
            <w:shd w:val="clear" w:color="auto" w:fill="DCE2EF"/>
          </w:tcPr>
          <w:p>
            <w:pPr>
              <w:jc w:val="center"/>
              <w:ind w:right="100"/>
              <w:spacing w:after="0" w:line="137" w:lineRule="exact"/>
              <w:rPr>
                <w:sz w:val="20"/>
                <w:szCs w:val="20"/>
                <w:color w:val="auto"/>
              </w:rPr>
            </w:pPr>
            <w:r>
              <w:rPr>
                <w:rFonts w:ascii="Arial" w:cs="Arial" w:eastAsia="Arial" w:hAnsi="Arial"/>
                <w:sz w:val="13"/>
                <w:szCs w:val="13"/>
                <w:color w:val="auto"/>
                <w:w w:val="93"/>
              </w:rPr>
              <w:t>Green</w:t>
            </w:r>
          </w:p>
        </w:tc>
        <w:tc>
          <w:tcPr>
            <w:tcW w:w="1060" w:type="dxa"/>
            <w:vAlign w:val="bottom"/>
            <w:gridSpan w:val="2"/>
            <w:shd w:val="clear" w:color="auto" w:fill="DCE2EF"/>
          </w:tcPr>
          <w:p>
            <w:pPr>
              <w:jc w:val="center"/>
              <w:ind w:right="100"/>
              <w:spacing w:after="0" w:line="137" w:lineRule="exact"/>
              <w:rPr>
                <w:sz w:val="20"/>
                <w:szCs w:val="20"/>
                <w:color w:val="auto"/>
              </w:rPr>
            </w:pPr>
            <w:r>
              <w:rPr>
                <w:rFonts w:ascii="Arial" w:cs="Arial" w:eastAsia="Arial" w:hAnsi="Arial"/>
                <w:sz w:val="13"/>
                <w:szCs w:val="13"/>
                <w:color w:val="auto"/>
                <w:w w:val="99"/>
              </w:rPr>
              <w:t>Green</w:t>
            </w:r>
          </w:p>
        </w:tc>
        <w:tc>
          <w:tcPr>
            <w:tcW w:w="1280" w:type="dxa"/>
            <w:vAlign w:val="bottom"/>
            <w:gridSpan w:val="2"/>
            <w:vMerge w:val="restart"/>
            <w:shd w:val="clear" w:color="auto" w:fill="DCE2EF"/>
          </w:tcPr>
          <w:p>
            <w:pPr>
              <w:jc w:val="center"/>
              <w:ind w:right="100"/>
              <w:spacing w:after="0"/>
              <w:rPr>
                <w:sz w:val="20"/>
                <w:szCs w:val="20"/>
                <w:color w:val="auto"/>
              </w:rPr>
            </w:pPr>
            <w:r>
              <w:rPr>
                <w:rFonts w:ascii="Arial" w:cs="Arial" w:eastAsia="Arial" w:hAnsi="Arial"/>
                <w:sz w:val="13"/>
                <w:szCs w:val="13"/>
                <w:color w:val="auto"/>
                <w:w w:val="97"/>
              </w:rPr>
              <w:t>N/A*</w:t>
            </w:r>
          </w:p>
        </w:tc>
        <w:tc>
          <w:tcPr>
            <w:tcW w:w="120" w:type="dxa"/>
            <w:vAlign w:val="bottom"/>
            <w:shd w:val="clear" w:color="auto" w:fill="DCE2EF"/>
          </w:tcPr>
          <w:p>
            <w:pPr>
              <w:spacing w:after="0"/>
              <w:rPr>
                <w:sz w:val="11"/>
                <w:szCs w:val="11"/>
                <w:color w:val="auto"/>
              </w:rPr>
            </w:pP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DCE2EF"/>
          </w:tcPr>
          <w:p>
            <w:pPr>
              <w:spacing w:after="0"/>
              <w:rPr>
                <w:sz w:val="11"/>
                <w:szCs w:val="11"/>
                <w:color w:val="auto"/>
              </w:rPr>
            </w:pPr>
          </w:p>
        </w:tc>
        <w:tc>
          <w:tcPr>
            <w:tcW w:w="140" w:type="dxa"/>
            <w:vAlign w:val="bottom"/>
            <w:shd w:val="clear" w:color="auto" w:fill="DCE2EF"/>
          </w:tcPr>
          <w:p>
            <w:pPr>
              <w:spacing w:after="0"/>
              <w:rPr>
                <w:sz w:val="11"/>
                <w:szCs w:val="11"/>
                <w:color w:val="auto"/>
              </w:rPr>
            </w:pP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DCE2EF"/>
          </w:tcPr>
          <w:p>
            <w:pPr>
              <w:spacing w:after="0"/>
              <w:rPr>
                <w:sz w:val="11"/>
                <w:szCs w:val="11"/>
                <w:color w:val="auto"/>
              </w:rPr>
            </w:pPr>
          </w:p>
        </w:tc>
        <w:tc>
          <w:tcPr>
            <w:tcW w:w="300" w:type="dxa"/>
            <w:vAlign w:val="bottom"/>
            <w:shd w:val="clear" w:color="auto" w:fill="DCE2EF"/>
          </w:tcPr>
          <w:p>
            <w:pPr>
              <w:spacing w:after="0"/>
              <w:rPr>
                <w:sz w:val="11"/>
                <w:szCs w:val="11"/>
                <w:color w:val="auto"/>
              </w:rPr>
            </w:pPr>
          </w:p>
        </w:tc>
        <w:tc>
          <w:tcPr>
            <w:tcW w:w="36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DCE2EF"/>
          </w:tcPr>
          <w:p>
            <w:pPr>
              <w:spacing w:after="0"/>
              <w:rPr>
                <w:sz w:val="11"/>
                <w:szCs w:val="11"/>
                <w:color w:val="auto"/>
              </w:rPr>
            </w:pPr>
          </w:p>
        </w:tc>
        <w:tc>
          <w:tcPr>
            <w:tcW w:w="1080" w:type="dxa"/>
            <w:vAlign w:val="bottom"/>
            <w:gridSpan w:val="2"/>
            <w:vMerge w:val="restart"/>
            <w:shd w:val="clear" w:color="auto" w:fill="DCE2EF"/>
          </w:tcPr>
          <w:p>
            <w:pPr>
              <w:jc w:val="center"/>
              <w:ind w:right="100"/>
              <w:spacing w:after="0"/>
              <w:rPr>
                <w:sz w:val="20"/>
                <w:szCs w:val="20"/>
                <w:color w:val="auto"/>
              </w:rPr>
            </w:pPr>
            <w:r>
              <w:rPr>
                <w:rFonts w:ascii="Arial" w:cs="Arial" w:eastAsia="Arial" w:hAnsi="Arial"/>
                <w:sz w:val="13"/>
                <w:szCs w:val="13"/>
                <w:color w:val="auto"/>
                <w:w w:val="97"/>
              </w:rPr>
              <w:t>N/A*</w:t>
            </w:r>
          </w:p>
        </w:tc>
        <w:tc>
          <w:tcPr>
            <w:tcW w:w="106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8"/>
              </w:rPr>
              <w:t>4/7/2024</w:t>
            </w:r>
          </w:p>
        </w:tc>
        <w:tc>
          <w:tcPr>
            <w:tcW w:w="0" w:type="dxa"/>
            <w:vAlign w:val="bottom"/>
          </w:tcPr>
          <w:p>
            <w:pPr>
              <w:spacing w:after="0"/>
              <w:rPr>
                <w:sz w:val="1"/>
                <w:szCs w:val="1"/>
                <w:color w:val="auto"/>
              </w:rPr>
            </w:pPr>
          </w:p>
        </w:tc>
      </w:tr>
      <w:tr>
        <w:trPr>
          <w:trHeight w:val="84"/>
        </w:trPr>
        <w:tc>
          <w:tcPr>
            <w:tcW w:w="20" w:type="dxa"/>
            <w:vAlign w:val="bottom"/>
            <w:shd w:val="clear" w:color="auto" w:fill="DCE2EF"/>
          </w:tcPr>
          <w:p>
            <w:pPr>
              <w:spacing w:after="0"/>
              <w:rPr>
                <w:sz w:val="7"/>
                <w:szCs w:val="7"/>
                <w:color w:val="auto"/>
              </w:rPr>
            </w:pPr>
          </w:p>
        </w:tc>
        <w:tc>
          <w:tcPr>
            <w:tcW w:w="2240" w:type="dxa"/>
            <w:vAlign w:val="bottom"/>
            <w:gridSpan w:val="3"/>
            <w:vMerge w:val="restart"/>
            <w:shd w:val="clear" w:color="auto" w:fill="DCE2EF"/>
          </w:tcPr>
          <w:p>
            <w:pPr>
              <w:spacing w:after="0"/>
              <w:rPr>
                <w:sz w:val="20"/>
                <w:szCs w:val="20"/>
                <w:color w:val="auto"/>
              </w:rPr>
            </w:pPr>
            <w:r>
              <w:rPr>
                <w:rFonts w:ascii="Arial" w:cs="Arial" w:eastAsia="Arial" w:hAnsi="Arial"/>
                <w:sz w:val="13"/>
                <w:szCs w:val="13"/>
                <w:color w:val="auto"/>
              </w:rPr>
              <w:t>Employers Pension Trust</w:t>
            </w:r>
          </w:p>
        </w:tc>
        <w:tc>
          <w:tcPr>
            <w:tcW w:w="104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2"/>
              </w:rPr>
              <w:t>001</w:t>
            </w:r>
          </w:p>
        </w:tc>
        <w:tc>
          <w:tcPr>
            <w:tcW w:w="100" w:type="dxa"/>
            <w:vAlign w:val="bottom"/>
            <w:shd w:val="clear" w:color="auto" w:fill="DCE2EF"/>
          </w:tcPr>
          <w:p>
            <w:pPr>
              <w:spacing w:after="0"/>
              <w:rPr>
                <w:sz w:val="7"/>
                <w:szCs w:val="7"/>
                <w:color w:val="auto"/>
              </w:rPr>
            </w:pPr>
          </w:p>
        </w:tc>
        <w:tc>
          <w:tcPr>
            <w:tcW w:w="96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6"/>
              </w:rPr>
              <w:t>9/30/2020</w:t>
            </w:r>
          </w:p>
        </w:tc>
        <w:tc>
          <w:tcPr>
            <w:tcW w:w="120" w:type="dxa"/>
            <w:vAlign w:val="bottom"/>
            <w:shd w:val="clear" w:color="auto" w:fill="DCE2EF"/>
          </w:tcPr>
          <w:p>
            <w:pPr>
              <w:spacing w:after="0"/>
              <w:rPr>
                <w:sz w:val="7"/>
                <w:szCs w:val="7"/>
                <w:color w:val="auto"/>
              </w:rPr>
            </w:pPr>
          </w:p>
        </w:tc>
        <w:tc>
          <w:tcPr>
            <w:tcW w:w="96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6"/>
              </w:rPr>
              <w:t>9/30/2019</w:t>
            </w:r>
          </w:p>
        </w:tc>
        <w:tc>
          <w:tcPr>
            <w:tcW w:w="100" w:type="dxa"/>
            <w:vAlign w:val="bottom"/>
            <w:shd w:val="clear" w:color="auto" w:fill="DCE2EF"/>
          </w:tcPr>
          <w:p>
            <w:pPr>
              <w:spacing w:after="0"/>
              <w:rPr>
                <w:sz w:val="7"/>
                <w:szCs w:val="7"/>
                <w:color w:val="auto"/>
              </w:rPr>
            </w:pPr>
          </w:p>
        </w:tc>
        <w:tc>
          <w:tcPr>
            <w:tcW w:w="1280" w:type="dxa"/>
            <w:vAlign w:val="bottom"/>
            <w:gridSpan w:val="2"/>
            <w:vMerge w:val="continue"/>
            <w:shd w:val="clear" w:color="auto" w:fill="DCE2EF"/>
          </w:tcPr>
          <w:p>
            <w:pPr>
              <w:spacing w:after="0"/>
              <w:rPr>
                <w:sz w:val="7"/>
                <w:szCs w:val="7"/>
                <w:color w:val="auto"/>
              </w:rPr>
            </w:pPr>
          </w:p>
        </w:tc>
        <w:tc>
          <w:tcPr>
            <w:tcW w:w="120" w:type="dxa"/>
            <w:vAlign w:val="bottom"/>
            <w:shd w:val="clear" w:color="auto" w:fill="DCE2EF"/>
          </w:tcPr>
          <w:p>
            <w:pPr>
              <w:spacing w:after="0"/>
              <w:rPr>
                <w:sz w:val="7"/>
                <w:szCs w:val="7"/>
                <w:color w:val="auto"/>
              </w:rPr>
            </w:pPr>
          </w:p>
        </w:tc>
        <w:tc>
          <w:tcPr>
            <w:tcW w:w="52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40" w:type="dxa"/>
            <w:vAlign w:val="bottom"/>
            <w:shd w:val="clear" w:color="auto" w:fill="DCE2EF"/>
          </w:tcPr>
          <w:p>
            <w:pPr>
              <w:spacing w:after="0"/>
              <w:rPr>
                <w:sz w:val="7"/>
                <w:szCs w:val="7"/>
                <w:color w:val="auto"/>
              </w:rPr>
            </w:pPr>
          </w:p>
        </w:tc>
        <w:tc>
          <w:tcPr>
            <w:tcW w:w="52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300" w:type="dxa"/>
            <w:vAlign w:val="bottom"/>
            <w:shd w:val="clear" w:color="auto" w:fill="DCE2EF"/>
          </w:tcPr>
          <w:p>
            <w:pPr>
              <w:spacing w:after="0"/>
              <w:rPr>
                <w:sz w:val="7"/>
                <w:szCs w:val="7"/>
                <w:color w:val="auto"/>
              </w:rPr>
            </w:pPr>
          </w:p>
        </w:tc>
        <w:tc>
          <w:tcPr>
            <w:tcW w:w="36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080" w:type="dxa"/>
            <w:vAlign w:val="bottom"/>
            <w:gridSpan w:val="2"/>
            <w:vMerge w:val="continue"/>
            <w:shd w:val="clear" w:color="auto" w:fill="DCE2EF"/>
          </w:tcPr>
          <w:p>
            <w:pPr>
              <w:spacing w:after="0"/>
              <w:rPr>
                <w:sz w:val="7"/>
                <w:szCs w:val="7"/>
                <w:color w:val="auto"/>
              </w:rPr>
            </w:pPr>
          </w:p>
        </w:tc>
        <w:tc>
          <w:tcPr>
            <w:tcW w:w="1060" w:type="dxa"/>
            <w:vAlign w:val="bottom"/>
            <w:vMerge w:val="continue"/>
            <w:shd w:val="clear" w:color="auto" w:fill="DCE2EF"/>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shd w:val="clear" w:color="auto" w:fill="DCE2EF"/>
          </w:tcPr>
          <w:p>
            <w:pPr>
              <w:spacing w:after="0"/>
              <w:rPr>
                <w:sz w:val="7"/>
                <w:szCs w:val="7"/>
                <w:color w:val="auto"/>
              </w:rPr>
            </w:pPr>
          </w:p>
        </w:tc>
        <w:tc>
          <w:tcPr>
            <w:tcW w:w="2240" w:type="dxa"/>
            <w:vAlign w:val="bottom"/>
            <w:gridSpan w:val="3"/>
            <w:vMerge w:val="continue"/>
            <w:shd w:val="clear" w:color="auto" w:fill="DCE2EF"/>
          </w:tcPr>
          <w:p>
            <w:pPr>
              <w:spacing w:after="0"/>
              <w:rPr>
                <w:sz w:val="7"/>
                <w:szCs w:val="7"/>
                <w:color w:val="auto"/>
              </w:rPr>
            </w:pPr>
          </w:p>
        </w:tc>
        <w:tc>
          <w:tcPr>
            <w:tcW w:w="104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960" w:type="dxa"/>
            <w:vAlign w:val="bottom"/>
            <w:vMerge w:val="continue"/>
            <w:shd w:val="clear" w:color="auto" w:fill="DCE2EF"/>
          </w:tcPr>
          <w:p>
            <w:pPr>
              <w:spacing w:after="0"/>
              <w:rPr>
                <w:sz w:val="7"/>
                <w:szCs w:val="7"/>
                <w:color w:val="auto"/>
              </w:rPr>
            </w:pPr>
          </w:p>
        </w:tc>
        <w:tc>
          <w:tcPr>
            <w:tcW w:w="120" w:type="dxa"/>
            <w:vAlign w:val="bottom"/>
            <w:shd w:val="clear" w:color="auto" w:fill="DCE2EF"/>
          </w:tcPr>
          <w:p>
            <w:pPr>
              <w:spacing w:after="0"/>
              <w:rPr>
                <w:sz w:val="7"/>
                <w:szCs w:val="7"/>
                <w:color w:val="auto"/>
              </w:rPr>
            </w:pPr>
          </w:p>
        </w:tc>
        <w:tc>
          <w:tcPr>
            <w:tcW w:w="96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160" w:type="dxa"/>
            <w:vAlign w:val="bottom"/>
            <w:shd w:val="clear" w:color="auto" w:fill="DCE2EF"/>
          </w:tcPr>
          <w:p>
            <w:pPr>
              <w:spacing w:after="0"/>
              <w:rPr>
                <w:sz w:val="7"/>
                <w:szCs w:val="7"/>
                <w:color w:val="auto"/>
              </w:rPr>
            </w:pPr>
          </w:p>
        </w:tc>
        <w:tc>
          <w:tcPr>
            <w:tcW w:w="120" w:type="dxa"/>
            <w:vAlign w:val="bottom"/>
            <w:shd w:val="clear" w:color="auto" w:fill="DCE2EF"/>
          </w:tcPr>
          <w:p>
            <w:pPr>
              <w:spacing w:after="0"/>
              <w:rPr>
                <w:sz w:val="7"/>
                <w:szCs w:val="7"/>
                <w:color w:val="auto"/>
              </w:rPr>
            </w:pPr>
          </w:p>
        </w:tc>
        <w:tc>
          <w:tcPr>
            <w:tcW w:w="120" w:type="dxa"/>
            <w:vAlign w:val="bottom"/>
            <w:shd w:val="clear" w:color="auto" w:fill="DCE2EF"/>
          </w:tcPr>
          <w:p>
            <w:pPr>
              <w:spacing w:after="0"/>
              <w:rPr>
                <w:sz w:val="7"/>
                <w:szCs w:val="7"/>
                <w:color w:val="auto"/>
              </w:rPr>
            </w:pPr>
          </w:p>
        </w:tc>
        <w:tc>
          <w:tcPr>
            <w:tcW w:w="52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40" w:type="dxa"/>
            <w:vAlign w:val="bottom"/>
            <w:shd w:val="clear" w:color="auto" w:fill="DCE2EF"/>
          </w:tcPr>
          <w:p>
            <w:pPr>
              <w:spacing w:after="0"/>
              <w:rPr>
                <w:sz w:val="7"/>
                <w:szCs w:val="7"/>
                <w:color w:val="auto"/>
              </w:rPr>
            </w:pPr>
          </w:p>
        </w:tc>
        <w:tc>
          <w:tcPr>
            <w:tcW w:w="52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300" w:type="dxa"/>
            <w:vAlign w:val="bottom"/>
            <w:shd w:val="clear" w:color="auto" w:fill="DCE2EF"/>
          </w:tcPr>
          <w:p>
            <w:pPr>
              <w:spacing w:after="0"/>
              <w:rPr>
                <w:sz w:val="7"/>
                <w:szCs w:val="7"/>
                <w:color w:val="auto"/>
              </w:rPr>
            </w:pPr>
          </w:p>
        </w:tc>
        <w:tc>
          <w:tcPr>
            <w:tcW w:w="36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98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060" w:type="dxa"/>
            <w:vAlign w:val="bottom"/>
            <w:shd w:val="clear" w:color="auto" w:fill="DCE2EF"/>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40" w:type="dxa"/>
            <w:vAlign w:val="bottom"/>
            <w:gridSpan w:val="3"/>
          </w:tcPr>
          <w:p>
            <w:pPr>
              <w:spacing w:after="0" w:line="129" w:lineRule="exact"/>
              <w:rPr>
                <w:sz w:val="20"/>
                <w:szCs w:val="20"/>
                <w:color w:val="auto"/>
              </w:rPr>
            </w:pPr>
            <w:r>
              <w:rPr>
                <w:rFonts w:ascii="Arial" w:cs="Arial" w:eastAsia="Arial" w:hAnsi="Arial"/>
                <w:sz w:val="13"/>
                <w:szCs w:val="13"/>
                <w:color w:val="auto"/>
              </w:rPr>
              <w:t>Western Conference of Teamsters</w:t>
            </w:r>
          </w:p>
        </w:tc>
        <w:tc>
          <w:tcPr>
            <w:tcW w:w="1040" w:type="dxa"/>
            <w:vAlign w:val="bottom"/>
          </w:tcPr>
          <w:p>
            <w:pPr>
              <w:jc w:val="center"/>
              <w:spacing w:after="0" w:line="129" w:lineRule="exact"/>
              <w:rPr>
                <w:sz w:val="20"/>
                <w:szCs w:val="20"/>
                <w:color w:val="auto"/>
              </w:rPr>
            </w:pPr>
            <w:r>
              <w:rPr>
                <w:rFonts w:ascii="Arial" w:cs="Arial" w:eastAsia="Arial" w:hAnsi="Arial"/>
                <w:sz w:val="13"/>
                <w:szCs w:val="13"/>
                <w:color w:val="auto"/>
                <w:w w:val="96"/>
              </w:rPr>
              <w:t>91-6145047 /</w:t>
            </w:r>
          </w:p>
        </w:tc>
        <w:tc>
          <w:tcPr>
            <w:tcW w:w="100" w:type="dxa"/>
            <w:vAlign w:val="bottom"/>
          </w:tcPr>
          <w:p>
            <w:pPr>
              <w:spacing w:after="0"/>
              <w:rPr>
                <w:sz w:val="11"/>
                <w:szCs w:val="11"/>
                <w:color w:val="auto"/>
              </w:rPr>
            </w:pPr>
          </w:p>
        </w:tc>
        <w:tc>
          <w:tcPr>
            <w:tcW w:w="108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w w:val="93"/>
              </w:rPr>
              <w:t>Green</w:t>
            </w:r>
          </w:p>
        </w:tc>
        <w:tc>
          <w:tcPr>
            <w:tcW w:w="106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w w:val="99"/>
              </w:rPr>
              <w:t>Green</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7"/>
              </w:rPr>
              <w:t>N/A*</w:t>
            </w: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1"/>
                <w:szCs w:val="11"/>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7"/>
              </w:rPr>
              <w:t>N/A*</w:t>
            </w:r>
          </w:p>
        </w:tc>
        <w:tc>
          <w:tcPr>
            <w:tcW w:w="1060" w:type="dxa"/>
            <w:vAlign w:val="bottom"/>
          </w:tcPr>
          <w:p>
            <w:pPr>
              <w:jc w:val="center"/>
              <w:spacing w:after="0" w:line="129" w:lineRule="exact"/>
              <w:rPr>
                <w:sz w:val="20"/>
                <w:szCs w:val="20"/>
                <w:color w:val="auto"/>
              </w:rPr>
            </w:pPr>
            <w:r>
              <w:rPr>
                <w:rFonts w:ascii="Arial" w:cs="Arial" w:eastAsia="Arial" w:hAnsi="Arial"/>
                <w:sz w:val="13"/>
                <w:szCs w:val="13"/>
                <w:color w:val="auto"/>
                <w:w w:val="97"/>
              </w:rPr>
              <w:t>12/31/2021 –</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240" w:type="dxa"/>
            <w:vAlign w:val="bottom"/>
            <w:gridSpan w:val="3"/>
            <w:vMerge w:val="restart"/>
          </w:tcPr>
          <w:p>
            <w:pPr>
              <w:spacing w:after="0"/>
              <w:rPr>
                <w:sz w:val="20"/>
                <w:szCs w:val="20"/>
                <w:color w:val="auto"/>
              </w:rPr>
            </w:pPr>
            <w:r>
              <w:rPr>
                <w:rFonts w:ascii="Arial" w:cs="Arial" w:eastAsia="Arial" w:hAnsi="Arial"/>
                <w:sz w:val="13"/>
                <w:szCs w:val="13"/>
                <w:color w:val="auto"/>
              </w:rPr>
              <w:t>Pension Plan</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2"/>
              </w:rPr>
              <w:t>001</w:t>
            </w:r>
          </w:p>
        </w:tc>
        <w:tc>
          <w:tcPr>
            <w:tcW w:w="100" w:type="dxa"/>
            <w:vAlign w:val="bottom"/>
          </w:tcPr>
          <w:p>
            <w:pPr>
              <w:spacing w:after="0"/>
              <w:rPr>
                <w:sz w:val="7"/>
                <w:szCs w:val="7"/>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5"/>
              </w:rPr>
              <w:t>12/31/2020</w:t>
            </w:r>
          </w:p>
        </w:tc>
        <w:tc>
          <w:tcPr>
            <w:tcW w:w="120" w:type="dxa"/>
            <w:vAlign w:val="bottom"/>
          </w:tcPr>
          <w:p>
            <w:pPr>
              <w:spacing w:after="0"/>
              <w:rPr>
                <w:sz w:val="7"/>
                <w:szCs w:val="7"/>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8"/>
              </w:rPr>
              <w:t>12/31/2019</w:t>
            </w:r>
          </w:p>
        </w:tc>
        <w:tc>
          <w:tcPr>
            <w:tcW w:w="1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95"/>
              </w:rPr>
              <w:t>11/30/2022</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DCE2EF"/>
          </w:tcPr>
          <w:p>
            <w:pPr>
              <w:spacing w:after="0"/>
              <w:rPr>
                <w:sz w:val="15"/>
                <w:szCs w:val="15"/>
                <w:color w:val="auto"/>
              </w:rPr>
            </w:pPr>
          </w:p>
        </w:tc>
        <w:tc>
          <w:tcPr>
            <w:tcW w:w="2240" w:type="dxa"/>
            <w:vAlign w:val="bottom"/>
            <w:gridSpan w:val="3"/>
            <w:shd w:val="clear" w:color="auto" w:fill="DCE2EF"/>
          </w:tcPr>
          <w:p>
            <w:pPr>
              <w:spacing w:after="0"/>
              <w:rPr>
                <w:sz w:val="20"/>
                <w:szCs w:val="20"/>
                <w:color w:val="auto"/>
              </w:rPr>
            </w:pPr>
            <w:r>
              <w:rPr>
                <w:rFonts w:ascii="Arial" w:cs="Arial" w:eastAsia="Arial" w:hAnsi="Arial"/>
                <w:sz w:val="13"/>
                <w:szCs w:val="13"/>
                <w:i w:val="1"/>
                <w:iCs w:val="1"/>
                <w:color w:val="auto"/>
              </w:rPr>
              <w:t>All Other Plans:</w:t>
            </w:r>
          </w:p>
        </w:tc>
        <w:tc>
          <w:tcPr>
            <w:tcW w:w="104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96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9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16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20" w:type="dxa"/>
            <w:vAlign w:val="bottom"/>
            <w:tcBorders>
              <w:bottom w:val="single" w:sz="8" w:color="auto"/>
            </w:tcBorders>
            <w:shd w:val="clear" w:color="auto" w:fill="DCE2EF"/>
          </w:tcPr>
          <w:p>
            <w:pPr>
              <w:spacing w:after="0"/>
              <w:rPr>
                <w:sz w:val="15"/>
                <w:szCs w:val="15"/>
                <w:color w:val="auto"/>
              </w:rPr>
            </w:pPr>
          </w:p>
        </w:tc>
        <w:tc>
          <w:tcPr>
            <w:tcW w:w="5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DCE2EF"/>
          </w:tcPr>
          <w:p>
            <w:pPr>
              <w:spacing w:after="0"/>
              <w:rPr>
                <w:sz w:val="15"/>
                <w:szCs w:val="15"/>
                <w:color w:val="auto"/>
              </w:rPr>
            </w:pPr>
          </w:p>
        </w:tc>
        <w:tc>
          <w:tcPr>
            <w:tcW w:w="140" w:type="dxa"/>
            <w:vAlign w:val="bottom"/>
            <w:tcBorders>
              <w:bottom w:val="single" w:sz="8" w:color="auto"/>
            </w:tcBorders>
            <w:shd w:val="clear" w:color="auto" w:fill="DCE2EF"/>
          </w:tcPr>
          <w:p>
            <w:pPr>
              <w:spacing w:after="0"/>
              <w:rPr>
                <w:sz w:val="15"/>
                <w:szCs w:val="15"/>
                <w:color w:val="auto"/>
              </w:rPr>
            </w:pPr>
          </w:p>
        </w:tc>
        <w:tc>
          <w:tcPr>
            <w:tcW w:w="5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color w:val="auto"/>
              </w:rPr>
              <w:t>9.5</w:t>
            </w:r>
          </w:p>
        </w:tc>
        <w:tc>
          <w:tcPr>
            <w:tcW w:w="100" w:type="dxa"/>
            <w:vAlign w:val="bottom"/>
            <w:shd w:val="clear" w:color="auto" w:fill="DCE2EF"/>
          </w:tcPr>
          <w:p>
            <w:pPr>
              <w:spacing w:after="0"/>
              <w:rPr>
                <w:sz w:val="15"/>
                <w:szCs w:val="15"/>
                <w:color w:val="auto"/>
              </w:rPr>
            </w:pPr>
          </w:p>
        </w:tc>
        <w:tc>
          <w:tcPr>
            <w:tcW w:w="300" w:type="dxa"/>
            <w:vAlign w:val="bottom"/>
            <w:tcBorders>
              <w:bottom w:val="single" w:sz="8" w:color="auto"/>
            </w:tcBorders>
            <w:shd w:val="clear" w:color="auto" w:fill="DCE2EF"/>
          </w:tcPr>
          <w:p>
            <w:pPr>
              <w:spacing w:after="0"/>
              <w:rPr>
                <w:sz w:val="15"/>
                <w:szCs w:val="15"/>
                <w:color w:val="auto"/>
              </w:rPr>
            </w:pPr>
          </w:p>
        </w:tc>
        <w:tc>
          <w:tcPr>
            <w:tcW w:w="3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DCE2EF"/>
          </w:tcPr>
          <w:p>
            <w:pPr>
              <w:spacing w:after="0"/>
              <w:rPr>
                <w:sz w:val="15"/>
                <w:szCs w:val="15"/>
                <w:color w:val="auto"/>
              </w:rPr>
            </w:pPr>
          </w:p>
        </w:tc>
        <w:tc>
          <w:tcPr>
            <w:tcW w:w="9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060" w:type="dxa"/>
            <w:vAlign w:val="bottom"/>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80" w:type="dxa"/>
            <w:vAlign w:val="bottom"/>
            <w:gridSpan w:val="2"/>
          </w:tcPr>
          <w:p>
            <w:pPr>
              <w:ind w:left="200"/>
              <w:spacing w:after="0" w:line="175" w:lineRule="exact"/>
              <w:rPr>
                <w:sz w:val="20"/>
                <w:szCs w:val="20"/>
                <w:color w:val="auto"/>
              </w:rPr>
            </w:pPr>
            <w:r>
              <w:rPr>
                <w:rFonts w:ascii="Arial" w:cs="Arial" w:eastAsia="Arial" w:hAnsi="Arial"/>
                <w:sz w:val="13"/>
                <w:szCs w:val="13"/>
                <w:b w:val="1"/>
                <w:bCs w:val="1"/>
                <w:color w:val="auto"/>
              </w:rPr>
              <w:t>Total Contributions</w:t>
            </w:r>
            <w:r>
              <w:rPr>
                <w:rFonts w:ascii="Arial" w:cs="Arial" w:eastAsia="Arial" w:hAnsi="Arial"/>
                <w:sz w:val="16"/>
                <w:szCs w:val="16"/>
                <w:b w:val="1"/>
                <w:bCs w:val="1"/>
                <w:color w:val="auto"/>
                <w:vertAlign w:val="superscript"/>
              </w:rPr>
              <w:t>(6)</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56.8</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55.5</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66.6</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23" w:lineRule="exact"/>
        <w:rPr>
          <w:sz w:val="20"/>
          <w:szCs w:val="20"/>
          <w:color w:val="auto"/>
        </w:rPr>
      </w:pPr>
    </w:p>
    <w:p>
      <w:pPr>
        <w:ind w:left="180" w:hanging="172"/>
        <w:spacing w:after="0" w:line="228" w:lineRule="auto"/>
        <w:tabs>
          <w:tab w:leader="none" w:pos="176" w:val="left"/>
        </w:tabs>
        <w:numPr>
          <w:ilvl w:val="0"/>
          <w:numId w:val="39"/>
        </w:numPr>
        <w:rPr>
          <w:rFonts w:ascii="Arial" w:cs="Arial" w:eastAsia="Arial" w:hAnsi="Arial"/>
          <w:sz w:val="20"/>
          <w:szCs w:val="20"/>
          <w:color w:val="auto"/>
          <w:vertAlign w:val="superscript"/>
        </w:rPr>
      </w:pPr>
      <w:r>
        <w:rPr>
          <w:rFonts w:ascii="Arial" w:cs="Arial" w:eastAsia="Arial" w:hAnsi="Arial"/>
          <w:sz w:val="15"/>
          <w:szCs w:val="15"/>
          <w:color w:val="auto"/>
        </w:rPr>
        <w:t>To determine individually significant plans, we evaluated several factors, including our total contributions to the plan, our significance to the plan in terms of participating employees and contributions, and the funded status of the plan.</w:t>
      </w:r>
    </w:p>
    <w:p>
      <w:pPr>
        <w:spacing w:after="0" w:line="91" w:lineRule="exact"/>
        <w:rPr>
          <w:rFonts w:ascii="Arial" w:cs="Arial" w:eastAsia="Arial" w:hAnsi="Arial"/>
          <w:sz w:val="20"/>
          <w:szCs w:val="20"/>
          <w:color w:val="auto"/>
          <w:vertAlign w:val="superscript"/>
        </w:rPr>
      </w:pPr>
    </w:p>
    <w:p>
      <w:pPr>
        <w:ind w:left="160" w:hanging="152"/>
        <w:spacing w:after="0"/>
        <w:tabs>
          <w:tab w:leader="none" w:pos="16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The “EIN/PN” column provides the Employer Identification Number and the three-digit plan number assigned to the plan by the IRS.</w:t>
      </w:r>
    </w:p>
    <w:p>
      <w:pPr>
        <w:spacing w:after="0" w:line="102" w:lineRule="exact"/>
        <w:rPr>
          <w:rFonts w:ascii="Arial" w:cs="Arial" w:eastAsia="Arial" w:hAnsi="Arial"/>
          <w:sz w:val="18"/>
          <w:szCs w:val="18"/>
          <w:color w:val="auto"/>
          <w:vertAlign w:val="superscript"/>
        </w:rPr>
      </w:pPr>
    </w:p>
    <w:p>
      <w:pPr>
        <w:jc w:val="both"/>
        <w:ind w:left="180" w:hanging="172"/>
        <w:spacing w:after="0" w:line="239" w:lineRule="auto"/>
        <w:tabs>
          <w:tab w:leader="none" w:pos="176" w:val="left"/>
        </w:tabs>
        <w:numPr>
          <w:ilvl w:val="0"/>
          <w:numId w:val="39"/>
        </w:numPr>
        <w:rPr>
          <w:rFonts w:ascii="Arial" w:cs="Arial" w:eastAsia="Arial" w:hAnsi="Arial"/>
          <w:sz w:val="20"/>
          <w:szCs w:val="20"/>
          <w:color w:val="auto"/>
          <w:vertAlign w:val="superscript"/>
        </w:rPr>
      </w:pPr>
      <w:r>
        <w:rPr>
          <w:rFonts w:ascii="Arial" w:cs="Arial" w:eastAsia="Arial" w:hAnsi="Arial"/>
          <w:sz w:val="15"/>
          <w:szCs w:val="15"/>
          <w:color w:val="auto"/>
        </w:rPr>
        <w:t>The Pension Protection Act Zone Status columns provide the two most recently available Pension Protection Act zone statuses from each plan. The zone status is based on information provided to us and other participating employers and is certified by each plan’s actuary. Among other factors, plans in the red zone are generally less than 65% funded, plans in the yellow zone are less than 80% funded, and plans in the green zone are at least 80% funded.</w:t>
      </w:r>
    </w:p>
    <w:p>
      <w:pPr>
        <w:spacing w:after="0" w:line="90" w:lineRule="exact"/>
        <w:rPr>
          <w:rFonts w:ascii="Arial" w:cs="Arial" w:eastAsia="Arial" w:hAnsi="Arial"/>
          <w:sz w:val="20"/>
          <w:szCs w:val="20"/>
          <w:color w:val="auto"/>
          <w:vertAlign w:val="superscript"/>
        </w:rPr>
      </w:pPr>
    </w:p>
    <w:p>
      <w:pPr>
        <w:ind w:left="160" w:hanging="152"/>
        <w:spacing w:after="0"/>
        <w:tabs>
          <w:tab w:leader="none" w:pos="16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Indicates whether a Financial Improvement Plan (“FIP”) for yellow zone plans or a Rehabilitation Plan (“RP”) for red zone plans is pending or implemented.</w:t>
      </w:r>
    </w:p>
    <w:p>
      <w:pPr>
        <w:spacing w:after="0" w:line="102" w:lineRule="exact"/>
        <w:rPr>
          <w:rFonts w:ascii="Arial" w:cs="Arial" w:eastAsia="Arial" w:hAnsi="Arial"/>
          <w:sz w:val="18"/>
          <w:szCs w:val="18"/>
          <w:color w:val="auto"/>
          <w:vertAlign w:val="superscript"/>
        </w:rPr>
      </w:pPr>
    </w:p>
    <w:p>
      <w:pPr>
        <w:ind w:left="180" w:right="20" w:hanging="172"/>
        <w:spacing w:after="0" w:line="228" w:lineRule="auto"/>
        <w:tabs>
          <w:tab w:leader="none" w:pos="176" w:val="left"/>
        </w:tabs>
        <w:numPr>
          <w:ilvl w:val="0"/>
          <w:numId w:val="39"/>
        </w:numPr>
        <w:rPr>
          <w:rFonts w:ascii="Arial" w:cs="Arial" w:eastAsia="Arial" w:hAnsi="Arial"/>
          <w:sz w:val="20"/>
          <w:szCs w:val="20"/>
          <w:color w:val="auto"/>
          <w:vertAlign w:val="superscript"/>
        </w:rPr>
      </w:pPr>
      <w:r>
        <w:rPr>
          <w:rFonts w:ascii="Arial" w:cs="Arial" w:eastAsia="Arial" w:hAnsi="Arial"/>
          <w:sz w:val="15"/>
          <w:szCs w:val="15"/>
          <w:color w:val="auto"/>
        </w:rPr>
        <w:t>Indicates whether our contribution in 2021 included an amount as imposed by a plan in the red zone in addition to the contribution rate specified in the applicable collective bargaining agreement.</w:t>
      </w:r>
    </w:p>
    <w:p>
      <w:pPr>
        <w:spacing w:after="0" w:line="100" w:lineRule="exact"/>
        <w:rPr>
          <w:rFonts w:ascii="Arial" w:cs="Arial" w:eastAsia="Arial" w:hAnsi="Arial"/>
          <w:sz w:val="20"/>
          <w:szCs w:val="20"/>
          <w:color w:val="auto"/>
          <w:vertAlign w:val="superscript"/>
        </w:rPr>
      </w:pPr>
    </w:p>
    <w:p>
      <w:pPr>
        <w:ind w:left="160" w:hanging="152"/>
        <w:spacing w:after="0"/>
        <w:tabs>
          <w:tab w:leader="none" w:pos="16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The total contributions for fiscal year 2021 includes $4.6 million contributed by Able since the acquisition</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i w:val="1"/>
          <w:iCs w:val="1"/>
          <w:color w:val="0046AD"/>
        </w:rPr>
        <w:t>Multiemployer Pension Plans for which ABM is a Significant Contributor</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60" w:type="dxa"/>
            <w:vAlign w:val="bottom"/>
          </w:tcPr>
          <w:p>
            <w:pPr>
              <w:jc w:val="center"/>
              <w:spacing w:after="0"/>
              <w:rPr>
                <w:sz w:val="20"/>
                <w:szCs w:val="20"/>
                <w:color w:val="auto"/>
              </w:rPr>
            </w:pPr>
            <w:r>
              <w:rPr>
                <w:rFonts w:ascii="Arial" w:cs="Arial" w:eastAsia="Arial" w:hAnsi="Arial"/>
                <w:sz w:val="14"/>
                <w:szCs w:val="14"/>
                <w:b w:val="1"/>
                <w:bCs w:val="1"/>
                <w:color w:val="auto"/>
              </w:rPr>
              <w:t>Contributions to the plan exceeded more than 5% of total contributions per</w:t>
            </w:r>
          </w:p>
        </w:tc>
        <w:tc>
          <w:tcPr>
            <w:tcW w:w="0" w:type="dxa"/>
            <w:vAlign w:val="bottom"/>
          </w:tcPr>
          <w:p>
            <w:pPr>
              <w:spacing w:after="0"/>
              <w:rPr>
                <w:sz w:val="1"/>
                <w:szCs w:val="1"/>
                <w:color w:val="auto"/>
              </w:rPr>
            </w:pPr>
          </w:p>
        </w:tc>
      </w:tr>
      <w:tr>
        <w:trPr>
          <w:trHeight w:val="135"/>
        </w:trPr>
        <w:tc>
          <w:tcPr>
            <w:tcW w:w="5860" w:type="dxa"/>
            <w:vAlign w:val="bottom"/>
            <w:vMerge w:val="restart"/>
          </w:tcPr>
          <w:p>
            <w:pPr>
              <w:ind w:left="2460"/>
              <w:spacing w:after="0"/>
              <w:rPr>
                <w:sz w:val="20"/>
                <w:szCs w:val="20"/>
                <w:color w:val="auto"/>
              </w:rPr>
            </w:pPr>
            <w:r>
              <w:rPr>
                <w:rFonts w:ascii="Arial" w:cs="Arial" w:eastAsia="Arial" w:hAnsi="Arial"/>
                <w:sz w:val="14"/>
                <w:szCs w:val="14"/>
                <w:b w:val="1"/>
                <w:bCs w:val="1"/>
                <w:color w:val="auto"/>
              </w:rPr>
              <w:t>Pension Fund</w:t>
            </w:r>
          </w:p>
        </w:tc>
        <w:tc>
          <w:tcPr>
            <w:tcW w:w="120" w:type="dxa"/>
            <w:vAlign w:val="bottom"/>
            <w:vMerge w:val="restart"/>
          </w:tcPr>
          <w:p>
            <w:pPr>
              <w:spacing w:after="0"/>
              <w:rPr>
                <w:sz w:val="11"/>
                <w:szCs w:val="11"/>
                <w:color w:val="auto"/>
              </w:rPr>
            </w:pPr>
          </w:p>
        </w:tc>
        <w:tc>
          <w:tcPr>
            <w:tcW w:w="5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most currently available Forms 5500</w:t>
            </w:r>
          </w:p>
        </w:tc>
        <w:tc>
          <w:tcPr>
            <w:tcW w:w="0" w:type="dxa"/>
            <w:vAlign w:val="bottom"/>
          </w:tcPr>
          <w:p>
            <w:pPr>
              <w:spacing w:after="0"/>
              <w:rPr>
                <w:sz w:val="1"/>
                <w:szCs w:val="1"/>
                <w:color w:val="auto"/>
              </w:rPr>
            </w:pPr>
          </w:p>
        </w:tc>
      </w:tr>
      <w:tr>
        <w:trPr>
          <w:trHeight w:val="176"/>
        </w:trPr>
        <w:tc>
          <w:tcPr>
            <w:tcW w:w="58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DCE2EF"/>
            </w:tcBorders>
            <w:vMerge w:val="continue"/>
          </w:tcPr>
          <w:p>
            <w:pPr>
              <w:spacing w:after="0"/>
              <w:rPr>
                <w:sz w:val="15"/>
                <w:szCs w:val="15"/>
                <w:color w:val="auto"/>
              </w:rPr>
            </w:pP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 the plan’s year end)</w:t>
            </w:r>
          </w:p>
        </w:tc>
        <w:tc>
          <w:tcPr>
            <w:tcW w:w="0" w:type="dxa"/>
            <w:vAlign w:val="bottom"/>
          </w:tcPr>
          <w:p>
            <w:pPr>
              <w:spacing w:after="0"/>
              <w:rPr>
                <w:sz w:val="1"/>
                <w:szCs w:val="1"/>
                <w:color w:val="auto"/>
              </w:rPr>
            </w:pPr>
          </w:p>
        </w:tc>
      </w:tr>
      <w:tr>
        <w:trPr>
          <w:trHeight w:val="183"/>
        </w:trPr>
        <w:tc>
          <w:tcPr>
            <w:tcW w:w="5980" w:type="dxa"/>
            <w:vAlign w:val="bottom"/>
            <w:gridSpan w:val="2"/>
            <w:shd w:val="clear" w:color="auto" w:fill="DCE2EF"/>
          </w:tcPr>
          <w:p>
            <w:pPr>
              <w:ind w:left="20"/>
              <w:spacing w:after="0"/>
              <w:rPr>
                <w:sz w:val="20"/>
                <w:szCs w:val="20"/>
                <w:color w:val="auto"/>
              </w:rPr>
            </w:pPr>
            <w:r>
              <w:rPr>
                <w:rFonts w:ascii="Arial" w:cs="Arial" w:eastAsia="Arial" w:hAnsi="Arial"/>
                <w:sz w:val="14"/>
                <w:szCs w:val="14"/>
                <w:color w:val="auto"/>
              </w:rPr>
              <w:t>Arizona Sheet Metal Pension Trust Fund*</w:t>
            </w:r>
          </w:p>
        </w:tc>
        <w:tc>
          <w:tcPr>
            <w:tcW w:w="5260" w:type="dxa"/>
            <w:vAlign w:val="bottom"/>
            <w:shd w:val="clear" w:color="auto" w:fill="DCE2EF"/>
          </w:tcPr>
          <w:p>
            <w:pPr>
              <w:jc w:val="center"/>
              <w:spacing w:after="0"/>
              <w:rPr>
                <w:sz w:val="20"/>
                <w:szCs w:val="20"/>
                <w:color w:val="auto"/>
              </w:rPr>
            </w:pPr>
            <w:r>
              <w:rPr>
                <w:rFonts w:ascii="Arial" w:cs="Arial" w:eastAsia="Arial" w:hAnsi="Arial"/>
                <w:sz w:val="14"/>
                <w:szCs w:val="14"/>
                <w:color w:val="auto"/>
              </w:rPr>
              <w:t>6/30/2020, 6/30/2019 and 6/30/2018</w:t>
            </w:r>
          </w:p>
        </w:tc>
        <w:tc>
          <w:tcPr>
            <w:tcW w:w="0" w:type="dxa"/>
            <w:vAlign w:val="bottom"/>
          </w:tcPr>
          <w:p>
            <w:pPr>
              <w:spacing w:after="0"/>
              <w:rPr>
                <w:sz w:val="1"/>
                <w:szCs w:val="1"/>
                <w:color w:val="auto"/>
              </w:rPr>
            </w:pPr>
          </w:p>
        </w:tc>
      </w:tr>
      <w:tr>
        <w:trPr>
          <w:trHeight w:val="189"/>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Building Service 32BJ Pension Fund</w:t>
            </w:r>
          </w:p>
        </w:tc>
        <w:tc>
          <w:tcPr>
            <w:tcW w:w="5260" w:type="dxa"/>
            <w:vAlign w:val="bottom"/>
          </w:tcPr>
          <w:p>
            <w:pPr>
              <w:jc w:val="center"/>
              <w:spacing w:after="0"/>
              <w:rPr>
                <w:sz w:val="20"/>
                <w:szCs w:val="20"/>
                <w:color w:val="auto"/>
              </w:rPr>
            </w:pPr>
            <w:r>
              <w:rPr>
                <w:rFonts w:ascii="Arial" w:cs="Arial" w:eastAsia="Arial" w:hAnsi="Arial"/>
                <w:sz w:val="14"/>
                <w:szCs w:val="14"/>
                <w:color w:val="auto"/>
              </w:rPr>
              <w:t>6/30/2020, 6/30/2019, and 6/30/2018</w:t>
            </w:r>
          </w:p>
        </w:tc>
        <w:tc>
          <w:tcPr>
            <w:tcW w:w="0" w:type="dxa"/>
            <w:vAlign w:val="bottom"/>
          </w:tcPr>
          <w:p>
            <w:pPr>
              <w:spacing w:after="0"/>
              <w:rPr>
                <w:sz w:val="1"/>
                <w:szCs w:val="1"/>
                <w:color w:val="auto"/>
              </w:rPr>
            </w:pPr>
          </w:p>
        </w:tc>
      </w:tr>
      <w:tr>
        <w:trPr>
          <w:trHeight w:val="189"/>
        </w:trPr>
        <w:tc>
          <w:tcPr>
            <w:tcW w:w="5980" w:type="dxa"/>
            <w:vAlign w:val="bottom"/>
            <w:gridSpan w:val="2"/>
            <w:shd w:val="clear" w:color="auto" w:fill="DCE2EF"/>
          </w:tcPr>
          <w:p>
            <w:pPr>
              <w:ind w:left="20"/>
              <w:spacing w:after="0"/>
              <w:rPr>
                <w:sz w:val="20"/>
                <w:szCs w:val="20"/>
                <w:color w:val="auto"/>
              </w:rPr>
            </w:pPr>
            <w:r>
              <w:rPr>
                <w:rFonts w:ascii="Arial" w:cs="Arial" w:eastAsia="Arial" w:hAnsi="Arial"/>
                <w:sz w:val="14"/>
                <w:szCs w:val="14"/>
                <w:color w:val="auto"/>
              </w:rPr>
              <w:t>Building Service Pension Plan*</w:t>
            </w:r>
          </w:p>
        </w:tc>
        <w:tc>
          <w:tcPr>
            <w:tcW w:w="5260" w:type="dxa"/>
            <w:vAlign w:val="bottom"/>
            <w:shd w:val="clear" w:color="auto" w:fill="DCE2EF"/>
          </w:tcPr>
          <w:p>
            <w:pPr>
              <w:jc w:val="center"/>
              <w:spacing w:after="0"/>
              <w:rPr>
                <w:sz w:val="20"/>
                <w:szCs w:val="20"/>
                <w:color w:val="auto"/>
              </w:rPr>
            </w:pPr>
            <w:r>
              <w:rPr>
                <w:rFonts w:ascii="Arial" w:cs="Arial" w:eastAsia="Arial" w:hAnsi="Arial"/>
                <w:sz w:val="14"/>
                <w:szCs w:val="14"/>
                <w:color w:val="auto"/>
              </w:rPr>
              <w:t>4/30/2020, 4/30/2019, and 4/30/2018</w:t>
            </w:r>
          </w:p>
        </w:tc>
        <w:tc>
          <w:tcPr>
            <w:tcW w:w="0" w:type="dxa"/>
            <w:vAlign w:val="bottom"/>
          </w:tcPr>
          <w:p>
            <w:pPr>
              <w:spacing w:after="0"/>
              <w:rPr>
                <w:sz w:val="1"/>
                <w:szCs w:val="1"/>
                <w:color w:val="auto"/>
              </w:rPr>
            </w:pPr>
          </w:p>
        </w:tc>
      </w:tr>
      <w:tr>
        <w:trPr>
          <w:trHeight w:val="189"/>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Contract Cleaners Service Employees’ Pension Plan*</w:t>
            </w:r>
          </w:p>
        </w:tc>
        <w:tc>
          <w:tcPr>
            <w:tcW w:w="5260" w:type="dxa"/>
            <w:vAlign w:val="bottom"/>
          </w:tcPr>
          <w:p>
            <w:pPr>
              <w:jc w:val="center"/>
              <w:spacing w:after="0"/>
              <w:rPr>
                <w:sz w:val="20"/>
                <w:szCs w:val="20"/>
                <w:color w:val="auto"/>
              </w:rPr>
            </w:pPr>
            <w:r>
              <w:rPr>
                <w:rFonts w:ascii="Arial" w:cs="Arial" w:eastAsia="Arial" w:hAnsi="Arial"/>
                <w:sz w:val="14"/>
                <w:szCs w:val="14"/>
                <w:color w:val="auto"/>
              </w:rPr>
              <w:t>12/31/20, 12/31/2019, and 12/31/2018</w:t>
            </w:r>
          </w:p>
        </w:tc>
        <w:tc>
          <w:tcPr>
            <w:tcW w:w="0" w:type="dxa"/>
            <w:vAlign w:val="bottom"/>
          </w:tcPr>
          <w:p>
            <w:pPr>
              <w:spacing w:after="0"/>
              <w:rPr>
                <w:sz w:val="1"/>
                <w:szCs w:val="1"/>
                <w:color w:val="auto"/>
              </w:rPr>
            </w:pPr>
          </w:p>
        </w:tc>
      </w:tr>
      <w:tr>
        <w:trPr>
          <w:trHeight w:val="189"/>
        </w:trPr>
        <w:tc>
          <w:tcPr>
            <w:tcW w:w="5980" w:type="dxa"/>
            <w:vAlign w:val="bottom"/>
            <w:gridSpan w:val="2"/>
            <w:shd w:val="clear" w:color="auto" w:fill="DCE2EF"/>
          </w:tcPr>
          <w:p>
            <w:pPr>
              <w:ind w:left="20"/>
              <w:spacing w:after="0"/>
              <w:rPr>
                <w:sz w:val="20"/>
                <w:szCs w:val="20"/>
                <w:color w:val="auto"/>
              </w:rPr>
            </w:pPr>
            <w:r>
              <w:rPr>
                <w:rFonts w:ascii="Arial" w:cs="Arial" w:eastAsia="Arial" w:hAnsi="Arial"/>
                <w:sz w:val="14"/>
                <w:szCs w:val="14"/>
                <w:color w:val="auto"/>
              </w:rPr>
              <w:t>Firemen &amp; Oilers Pension Plan of SEIU Local 1*</w:t>
            </w:r>
          </w:p>
        </w:tc>
        <w:tc>
          <w:tcPr>
            <w:tcW w:w="5260" w:type="dxa"/>
            <w:vAlign w:val="bottom"/>
            <w:shd w:val="clear" w:color="auto" w:fill="DCE2EF"/>
          </w:tcPr>
          <w:p>
            <w:pPr>
              <w:jc w:val="center"/>
              <w:spacing w:after="0"/>
              <w:rPr>
                <w:sz w:val="20"/>
                <w:szCs w:val="20"/>
                <w:color w:val="auto"/>
              </w:rPr>
            </w:pPr>
            <w:r>
              <w:rPr>
                <w:rFonts w:ascii="Arial" w:cs="Arial" w:eastAsia="Arial" w:hAnsi="Arial"/>
                <w:sz w:val="14"/>
                <w:szCs w:val="14"/>
                <w:color w:val="auto"/>
              </w:rPr>
              <w:t>7/31/2020, 7/31/2019, and 7/31/2018</w:t>
            </w:r>
          </w:p>
        </w:tc>
        <w:tc>
          <w:tcPr>
            <w:tcW w:w="0" w:type="dxa"/>
            <w:vAlign w:val="bottom"/>
          </w:tcPr>
          <w:p>
            <w:pPr>
              <w:spacing w:after="0"/>
              <w:rPr>
                <w:sz w:val="1"/>
                <w:szCs w:val="1"/>
                <w:color w:val="auto"/>
              </w:rPr>
            </w:pPr>
          </w:p>
        </w:tc>
      </w:tr>
      <w:tr>
        <w:trPr>
          <w:trHeight w:val="189"/>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IUOE Stationary Engineers Local 39 Pension Trust Fund</w:t>
            </w:r>
          </w:p>
        </w:tc>
        <w:tc>
          <w:tcPr>
            <w:tcW w:w="5260" w:type="dxa"/>
            <w:vAlign w:val="bottom"/>
          </w:tcPr>
          <w:p>
            <w:pPr>
              <w:jc w:val="center"/>
              <w:spacing w:after="0"/>
              <w:rPr>
                <w:sz w:val="20"/>
                <w:szCs w:val="20"/>
                <w:color w:val="auto"/>
              </w:rPr>
            </w:pPr>
            <w:r>
              <w:rPr>
                <w:rFonts w:ascii="Arial" w:cs="Arial" w:eastAsia="Arial" w:hAnsi="Arial"/>
                <w:sz w:val="14"/>
                <w:szCs w:val="14"/>
                <w:color w:val="auto"/>
              </w:rPr>
              <w:t>12/31/2020, 12/13/2019, and 12/31/2018</w:t>
            </w:r>
          </w:p>
        </w:tc>
        <w:tc>
          <w:tcPr>
            <w:tcW w:w="0" w:type="dxa"/>
            <w:vAlign w:val="bottom"/>
          </w:tcPr>
          <w:p>
            <w:pPr>
              <w:spacing w:after="0"/>
              <w:rPr>
                <w:sz w:val="1"/>
                <w:szCs w:val="1"/>
                <w:color w:val="auto"/>
              </w:rPr>
            </w:pPr>
          </w:p>
        </w:tc>
      </w:tr>
      <w:tr>
        <w:trPr>
          <w:trHeight w:val="189"/>
        </w:trPr>
        <w:tc>
          <w:tcPr>
            <w:tcW w:w="5980" w:type="dxa"/>
            <w:vAlign w:val="bottom"/>
            <w:gridSpan w:val="2"/>
            <w:shd w:val="clear" w:color="auto" w:fill="DCE2EF"/>
          </w:tcPr>
          <w:p>
            <w:pPr>
              <w:ind w:left="20"/>
              <w:spacing w:after="0"/>
              <w:rPr>
                <w:sz w:val="20"/>
                <w:szCs w:val="20"/>
                <w:color w:val="auto"/>
              </w:rPr>
            </w:pPr>
            <w:r>
              <w:rPr>
                <w:rFonts w:ascii="Arial" w:cs="Arial" w:eastAsia="Arial" w:hAnsi="Arial"/>
                <w:sz w:val="14"/>
                <w:szCs w:val="14"/>
                <w:color w:val="auto"/>
              </w:rPr>
              <w:t>Massachusetts Service Employees Pension Plan*</w:t>
            </w:r>
          </w:p>
        </w:tc>
        <w:tc>
          <w:tcPr>
            <w:tcW w:w="5260" w:type="dxa"/>
            <w:vAlign w:val="bottom"/>
            <w:shd w:val="clear" w:color="auto" w:fill="DCE2EF"/>
          </w:tcPr>
          <w:p>
            <w:pPr>
              <w:jc w:val="center"/>
              <w:spacing w:after="0"/>
              <w:rPr>
                <w:sz w:val="20"/>
                <w:szCs w:val="20"/>
                <w:color w:val="auto"/>
              </w:rPr>
            </w:pPr>
            <w:r>
              <w:rPr>
                <w:rFonts w:ascii="Arial" w:cs="Arial" w:eastAsia="Arial" w:hAnsi="Arial"/>
                <w:sz w:val="14"/>
                <w:szCs w:val="14"/>
                <w:color w:val="auto"/>
              </w:rPr>
              <w:t>12/31/2020, 12/31/2019, and 12/31/2018</w:t>
            </w:r>
          </w:p>
        </w:tc>
        <w:tc>
          <w:tcPr>
            <w:tcW w:w="0" w:type="dxa"/>
            <w:vAlign w:val="bottom"/>
          </w:tcPr>
          <w:p>
            <w:pPr>
              <w:spacing w:after="0"/>
              <w:rPr>
                <w:sz w:val="1"/>
                <w:szCs w:val="1"/>
                <w:color w:val="auto"/>
              </w:rPr>
            </w:pPr>
          </w:p>
        </w:tc>
      </w:tr>
      <w:tr>
        <w:trPr>
          <w:trHeight w:val="189"/>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SEIU Local 1 &amp; Participating Employers Pension Trust</w:t>
            </w:r>
          </w:p>
        </w:tc>
        <w:tc>
          <w:tcPr>
            <w:tcW w:w="5260" w:type="dxa"/>
            <w:vAlign w:val="bottom"/>
          </w:tcPr>
          <w:p>
            <w:pPr>
              <w:jc w:val="center"/>
              <w:spacing w:after="0"/>
              <w:rPr>
                <w:sz w:val="20"/>
                <w:szCs w:val="20"/>
                <w:color w:val="auto"/>
              </w:rPr>
            </w:pPr>
            <w:r>
              <w:rPr>
                <w:rFonts w:ascii="Arial" w:cs="Arial" w:eastAsia="Arial" w:hAnsi="Arial"/>
                <w:sz w:val="14"/>
                <w:szCs w:val="14"/>
                <w:color w:val="auto"/>
              </w:rPr>
              <w:t>9/30/2020, 9/30/2019, and 9/30/2018</w:t>
            </w:r>
          </w:p>
        </w:tc>
        <w:tc>
          <w:tcPr>
            <w:tcW w:w="0" w:type="dxa"/>
            <w:vAlign w:val="bottom"/>
          </w:tcPr>
          <w:p>
            <w:pPr>
              <w:spacing w:after="0"/>
              <w:rPr>
                <w:sz w:val="1"/>
                <w:szCs w:val="1"/>
                <w:color w:val="auto"/>
              </w:rPr>
            </w:pPr>
          </w:p>
        </w:tc>
      </w:tr>
      <w:tr>
        <w:trPr>
          <w:trHeight w:val="189"/>
        </w:trPr>
        <w:tc>
          <w:tcPr>
            <w:tcW w:w="5980" w:type="dxa"/>
            <w:vAlign w:val="bottom"/>
            <w:gridSpan w:val="2"/>
            <w:shd w:val="clear" w:color="auto" w:fill="DCE2EF"/>
          </w:tcPr>
          <w:p>
            <w:pPr>
              <w:ind w:left="20"/>
              <w:spacing w:after="0"/>
              <w:rPr>
                <w:sz w:val="20"/>
                <w:szCs w:val="20"/>
                <w:color w:val="auto"/>
              </w:rPr>
            </w:pPr>
            <w:r>
              <w:rPr>
                <w:rFonts w:ascii="Arial" w:cs="Arial" w:eastAsia="Arial" w:hAnsi="Arial"/>
                <w:sz w:val="14"/>
                <w:szCs w:val="14"/>
                <w:color w:val="auto"/>
              </w:rPr>
              <w:t>S.E.I.U. National Industry Pension Fund</w:t>
            </w:r>
          </w:p>
        </w:tc>
        <w:tc>
          <w:tcPr>
            <w:tcW w:w="5260" w:type="dxa"/>
            <w:vAlign w:val="bottom"/>
            <w:shd w:val="clear" w:color="auto" w:fill="DCE2EF"/>
          </w:tcPr>
          <w:p>
            <w:pPr>
              <w:jc w:val="center"/>
              <w:spacing w:after="0"/>
              <w:rPr>
                <w:sz w:val="20"/>
                <w:szCs w:val="20"/>
                <w:color w:val="auto"/>
              </w:rPr>
            </w:pPr>
            <w:r>
              <w:rPr>
                <w:rFonts w:ascii="Arial" w:cs="Arial" w:eastAsia="Arial" w:hAnsi="Arial"/>
                <w:sz w:val="14"/>
                <w:szCs w:val="14"/>
                <w:color w:val="auto"/>
              </w:rPr>
              <w:t>12/31/2020, 12/31/2019, and 12/31/2018</w:t>
            </w:r>
          </w:p>
        </w:tc>
        <w:tc>
          <w:tcPr>
            <w:tcW w:w="0" w:type="dxa"/>
            <w:vAlign w:val="bottom"/>
          </w:tcPr>
          <w:p>
            <w:pPr>
              <w:spacing w:after="0"/>
              <w:rPr>
                <w:sz w:val="1"/>
                <w:szCs w:val="1"/>
                <w:color w:val="auto"/>
              </w:rPr>
            </w:pPr>
          </w:p>
        </w:tc>
      </w:tr>
      <w:tr>
        <w:trPr>
          <w:trHeight w:val="189"/>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Service Employees International Union Local 1 Cleveland Pension Plan*</w:t>
            </w:r>
          </w:p>
        </w:tc>
        <w:tc>
          <w:tcPr>
            <w:tcW w:w="5260" w:type="dxa"/>
            <w:vAlign w:val="bottom"/>
          </w:tcPr>
          <w:p>
            <w:pPr>
              <w:jc w:val="center"/>
              <w:spacing w:after="0"/>
              <w:rPr>
                <w:sz w:val="20"/>
                <w:szCs w:val="20"/>
                <w:color w:val="auto"/>
              </w:rPr>
            </w:pPr>
            <w:r>
              <w:rPr>
                <w:rFonts w:ascii="Arial" w:cs="Arial" w:eastAsia="Arial" w:hAnsi="Arial"/>
                <w:sz w:val="14"/>
                <w:szCs w:val="14"/>
                <w:color w:val="auto"/>
              </w:rPr>
              <w:t>12/31/2020, 12/31/2019, and 12/31/2018</w:t>
            </w:r>
          </w:p>
        </w:tc>
        <w:tc>
          <w:tcPr>
            <w:tcW w:w="0" w:type="dxa"/>
            <w:vAlign w:val="bottom"/>
          </w:tcPr>
          <w:p>
            <w:pPr>
              <w:spacing w:after="0"/>
              <w:rPr>
                <w:sz w:val="1"/>
                <w:szCs w:val="1"/>
                <w:color w:val="auto"/>
              </w:rPr>
            </w:pPr>
          </w:p>
        </w:tc>
      </w:tr>
      <w:tr>
        <w:trPr>
          <w:trHeight w:val="153"/>
        </w:trPr>
        <w:tc>
          <w:tcPr>
            <w:tcW w:w="5980" w:type="dxa"/>
            <w:vAlign w:val="bottom"/>
            <w:gridSpan w:val="2"/>
            <w:shd w:val="clear" w:color="auto" w:fill="DCE2EF"/>
          </w:tcPr>
          <w:p>
            <w:pPr>
              <w:ind w:left="20"/>
              <w:spacing w:after="0" w:line="153" w:lineRule="exact"/>
              <w:rPr>
                <w:sz w:val="20"/>
                <w:szCs w:val="20"/>
                <w:color w:val="auto"/>
              </w:rPr>
            </w:pPr>
            <w:r>
              <w:rPr>
                <w:rFonts w:ascii="Arial" w:cs="Arial" w:eastAsia="Arial" w:hAnsi="Arial"/>
                <w:sz w:val="14"/>
                <w:szCs w:val="14"/>
                <w:color w:val="auto"/>
              </w:rPr>
              <w:t>Service Employees International Union Local 32BJ, District 36 Building Operators Pension</w:t>
            </w:r>
          </w:p>
        </w:tc>
        <w:tc>
          <w:tcPr>
            <w:tcW w:w="5260" w:type="dxa"/>
            <w:vAlign w:val="bottom"/>
            <w:vMerge w:val="restart"/>
            <w:shd w:val="clear" w:color="auto" w:fill="DCE2EF"/>
          </w:tcPr>
          <w:p>
            <w:pPr>
              <w:jc w:val="center"/>
              <w:spacing w:after="0"/>
              <w:rPr>
                <w:sz w:val="20"/>
                <w:szCs w:val="20"/>
                <w:color w:val="auto"/>
              </w:rPr>
            </w:pPr>
            <w:r>
              <w:rPr>
                <w:rFonts w:ascii="Arial" w:cs="Arial" w:eastAsia="Arial" w:hAnsi="Arial"/>
                <w:sz w:val="14"/>
                <w:szCs w:val="14"/>
                <w:color w:val="auto"/>
              </w:rPr>
              <w:t>12/31/2020, 12/31/2019, and 12/31/2018</w:t>
            </w:r>
          </w:p>
        </w:tc>
        <w:tc>
          <w:tcPr>
            <w:tcW w:w="0" w:type="dxa"/>
            <w:vAlign w:val="bottom"/>
          </w:tcPr>
          <w:p>
            <w:pPr>
              <w:spacing w:after="0"/>
              <w:rPr>
                <w:sz w:val="1"/>
                <w:szCs w:val="1"/>
                <w:color w:val="auto"/>
              </w:rPr>
            </w:pPr>
          </w:p>
        </w:tc>
      </w:tr>
      <w:tr>
        <w:trPr>
          <w:trHeight w:val="105"/>
        </w:trPr>
        <w:tc>
          <w:tcPr>
            <w:tcW w:w="5980" w:type="dxa"/>
            <w:vAlign w:val="bottom"/>
            <w:gridSpan w:val="2"/>
            <w:vMerge w:val="restart"/>
            <w:shd w:val="clear" w:color="auto" w:fill="DCE2EF"/>
          </w:tcPr>
          <w:p>
            <w:pPr>
              <w:ind w:left="20"/>
              <w:spacing w:after="0"/>
              <w:rPr>
                <w:sz w:val="20"/>
                <w:szCs w:val="20"/>
                <w:color w:val="auto"/>
              </w:rPr>
            </w:pPr>
            <w:r>
              <w:rPr>
                <w:rFonts w:ascii="Arial" w:cs="Arial" w:eastAsia="Arial" w:hAnsi="Arial"/>
                <w:sz w:val="14"/>
                <w:szCs w:val="14"/>
                <w:color w:val="auto"/>
              </w:rPr>
              <w:t>Trust Fund*</w:t>
            </w:r>
          </w:p>
        </w:tc>
        <w:tc>
          <w:tcPr>
            <w:tcW w:w="5260" w:type="dxa"/>
            <w:vAlign w:val="bottom"/>
            <w:vMerge w:val="continue"/>
            <w:shd w:val="clear" w:color="auto" w:fill="DCE2E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5980" w:type="dxa"/>
            <w:vAlign w:val="bottom"/>
            <w:gridSpan w:val="2"/>
            <w:vMerge w:val="continue"/>
            <w:shd w:val="clear" w:color="auto" w:fill="DCE2EF"/>
          </w:tcPr>
          <w:p>
            <w:pPr>
              <w:spacing w:after="0"/>
              <w:rPr>
                <w:sz w:val="5"/>
                <w:szCs w:val="5"/>
                <w:color w:val="auto"/>
              </w:rPr>
            </w:pPr>
          </w:p>
        </w:tc>
        <w:tc>
          <w:tcPr>
            <w:tcW w:w="5260" w:type="dxa"/>
            <w:vAlign w:val="bottom"/>
            <w:shd w:val="clear" w:color="auto" w:fill="DCE2E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Teamsters Local 617 Pension Fund*</w:t>
            </w:r>
          </w:p>
        </w:tc>
        <w:tc>
          <w:tcPr>
            <w:tcW w:w="5260" w:type="dxa"/>
            <w:vAlign w:val="bottom"/>
          </w:tcPr>
          <w:p>
            <w:pPr>
              <w:jc w:val="center"/>
              <w:spacing w:after="0"/>
              <w:rPr>
                <w:sz w:val="20"/>
                <w:szCs w:val="20"/>
                <w:color w:val="auto"/>
              </w:rPr>
            </w:pPr>
            <w:r>
              <w:rPr>
                <w:rFonts w:ascii="Arial" w:cs="Arial" w:eastAsia="Arial" w:hAnsi="Arial"/>
                <w:sz w:val="14"/>
                <w:szCs w:val="14"/>
                <w:color w:val="auto"/>
              </w:rPr>
              <w:t>2/28/2021, 2/29/2020, and 2/28/2019</w:t>
            </w:r>
          </w:p>
        </w:tc>
        <w:tc>
          <w:tcPr>
            <w:tcW w:w="0" w:type="dxa"/>
            <w:vAlign w:val="bottom"/>
          </w:tcPr>
          <w:p>
            <w:pPr>
              <w:spacing w:after="0"/>
              <w:rPr>
                <w:sz w:val="1"/>
                <w:szCs w:val="1"/>
                <w:color w:val="auto"/>
              </w:rPr>
            </w:pPr>
          </w:p>
        </w:tc>
      </w:tr>
      <w:tr>
        <w:trPr>
          <w:trHeight w:val="189"/>
        </w:trPr>
        <w:tc>
          <w:tcPr>
            <w:tcW w:w="5980" w:type="dxa"/>
            <w:vAlign w:val="bottom"/>
            <w:gridSpan w:val="2"/>
            <w:shd w:val="clear" w:color="auto" w:fill="DCE2EF"/>
          </w:tcPr>
          <w:p>
            <w:pPr>
              <w:ind w:left="20"/>
              <w:spacing w:after="0"/>
              <w:rPr>
                <w:sz w:val="20"/>
                <w:szCs w:val="20"/>
                <w:color w:val="auto"/>
              </w:rPr>
            </w:pPr>
            <w:r>
              <w:rPr>
                <w:rFonts w:ascii="Arial" w:cs="Arial" w:eastAsia="Arial" w:hAnsi="Arial"/>
                <w:sz w:val="14"/>
                <w:szCs w:val="14"/>
                <w:color w:val="auto"/>
              </w:rPr>
              <w:t>Teamsters Local Union No. 727 Pension Plan*</w:t>
            </w:r>
          </w:p>
        </w:tc>
        <w:tc>
          <w:tcPr>
            <w:tcW w:w="5260" w:type="dxa"/>
            <w:vAlign w:val="bottom"/>
            <w:shd w:val="clear" w:color="auto" w:fill="DCE2EF"/>
          </w:tcPr>
          <w:p>
            <w:pPr>
              <w:jc w:val="center"/>
              <w:spacing w:after="0"/>
              <w:rPr>
                <w:sz w:val="20"/>
                <w:szCs w:val="20"/>
                <w:color w:val="auto"/>
              </w:rPr>
            </w:pPr>
            <w:r>
              <w:rPr>
                <w:rFonts w:ascii="Arial" w:cs="Arial" w:eastAsia="Arial" w:hAnsi="Arial"/>
                <w:sz w:val="14"/>
                <w:szCs w:val="14"/>
                <w:color w:val="auto"/>
              </w:rPr>
              <w:t>2/28/2021, 2/29/2020, and 2/28/2019</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 These plans are not separately listed in our multiemployer table as they represent an insignificant portion of our total multiemployer pension plan contributions.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Multiemployer Defined Contribution Plans</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addition to contributions noted above, we also make contributions to multiemployer defined contribution plans. During 2021, 2020, and 2019, our contributions to the defined contribution plans were $21.2 million, $15.5 million, and $9.0 million,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Other Multiemployer Benefit Plans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also contribute to several multiemployer postretirement health and welfare plans based on obligations arising under collective bargaining agreements covering union-represented employees. These plans may provide medical, pharmacy, dental, vision, mental health, and other benefits to employees as determined by the trustees of each plan. The majority of our contributions benefit active employees and, as such, may not constitute contributions to a postretirement benefit plan. However, since we are unable to separate contribution amounts to postretirement benefit plans from contribution amounts paid to benefit active employees, we categorize all such amounts as contributions to postretirement benefit plans. During 2021, 2020, and 2019, our contributions to such plans were $270.8 million, $264.8 million, and $269.8 million, respectively. There have been no significant changes that affect the comparability of total contributions for any of the periods presented.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0046AD"/>
        </w:rPr>
        <w:t>13.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Letters of Credit and Surety Bonds</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use letters of credit and surety bonds to secure certain commitments related to insurance programs and for other purposes. As of October 31, 2021, these letters of credit and surety bonds totaled $167.7 million and $687.3 million,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Guarantees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some instances, we offer clients guaranteed energy savings under certain energy savings contracts. At October 31, 2021 and 2020, total guarantees were $254.3 million and $182.8 million, respectively, and these guarantees extend through 2041 and 2039, respectively. We accrue for the estimated cost of guarantees when it is probable that a liability has been incurred and the amount can be reasonably estimated. Historically, we have not incurred any material losses in connection with these guarantees.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Indemnifications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party to a variety of agreements under which we may be obligated to indemnify the other party for certain matters. These agreements are primarily standard indemnification arrangements entered into in our ordinary course of business. Pursuant to these arrangements, we may agree to indemnify, hold harmless, and reimburse the indemnified parties for losses suffered or incurred by the indemnified party, generally our clients, in connection with any claims arising out of the services that we provide. We also incur costs to defend lawsuits or settle claims related to these indemnification arrangements, and in most cases these costs are paid from our insurance program. Although we attempt to place limits on such indemnification arrangements related to the size of the contract, the maximum obligation may not be explicitly stated and, as a result, we are unable to determine the maximum potential amount of future payments we could be required to make under these arrangements.</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certificate of incorporation and bylaws may require us to indemnify our directors and officers for certain liabilities that were incurred as a result of their status or service to ABM as a director or officer. The amount of these obligations cannot be reasonably estimated.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Unclaimed Property Audits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routinely remit escheat payments to states in compliance with applicable escheat laws, and we are subject to unclaimed property audits by states in the ordinary course of business. The property subject to review in the audit process may include unclaimed wages, vendor payments, or customer refunds. State escheat laws generally require entities to report and remit abandoned or unclaimed property to the state, and failure to do so can result in assessments that could include interest and penalties in addition to the payment of the escheat liability.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Legal Matters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At October 31, 2021, the total amount accrued for probable litigation losses where a reasonable estimate of the loss could be made was $18.5 million. 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reasonably possible losses for which a reasonable estimate of the loss can be made is between zero and $6 million. Factors underlying this estimated range of loss may change from time to time, and actual results may vary significantly from this estimate. The amounts above do not include any accrual or loss estimates with respect to 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 described below.</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85" w:name="page86"/>
    <w:bookmarkEnd w:id="85"/>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Certain Legal Proceedings</w:t>
      </w:r>
    </w:p>
    <w:p>
      <w:pPr>
        <w:spacing w:after="0" w:line="19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determining whether to include any particular lawsuit or other proceeding in our disclosure below,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130"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pending in the Superior Court of California, County of San Francisco (the “Bucio case”)</w:t>
      </w:r>
    </w:p>
    <w:p>
      <w:pPr>
        <w:spacing w:after="0" w:line="1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 is a class action pending in San Francisco Superior Court that alleges we failed to provide legally required meal periods and make additional premium payments for such meal periods, pay split shift premiums when owed, and reimburse janitors for travel expenses. There is also a claim for penalties under the California Labor Code Private Attorneys General Act (“PAGA”). On April 19, 2011, the trial court held a hearing on plaintiffs’ motion to certify the class. At the conclusion of that hearing, the trial court denied plaintiffs’ motion to certify the class. On May 11, 2011, the plaintiffs filed a motion to reconsider, which was denied. The plaintiffs appealed the class certification issues. The trial court stayed the underlying lawsuit pending the decision in the appeal. The Court of Appeal of the State of California, First Appellate District (the “Court of Appeal”), heard oral arguments on November 7, 2017. On December 11, 2017, the Court of Appeal reversed the trial court’s order denying class certification and remanded the matter for certification of a meal period, travel expense reimbursement, and split shift class. The case was remitted to the trial court for further proceedings on class certification, discovery, dispositive motions, and trial.</w:t>
      </w:r>
    </w:p>
    <w:p>
      <w:pPr>
        <w:spacing w:after="0" w:line="14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September 20, 2018, the trial court entered an order defining four certified subclasses of janitors who were employed by the legacy ABM janitorial companies in California at any time between April 7, 2002, and April 30, 2013, on claims based on alleged previous automatic deduction practices for meal breaks, unpaid meal premiums, unpaid split shift premiums, and unreimbursed business expenses, such as mileage reimbursement for use of personal vehicles to travel between worksites. On February 1, 2019, the trial court held that the discovery related to PAGA claims allegedly arising after April 30, 2013, would be stayed until after the class and PAGA claims accruing prior to April 30, 2013, had been tried. The parties engaged in mediation in July 2019, which did not result in settlement of the case. On October 17, 2019, the plaintiffs filed a motion asking the trial court to certify additional classes based on an alleged failure to maintain time records, an alleged failure to provide accurate wage statements, and an alleged practice of combining meal and rest breaks. The trial court denied the plaintiffs’ motion to certify additional classes on December 26, 2019. The case was reassigned to a new judge on January 6, 2020. ABM filed motions for summary adjudication as to certain of plaintiffs’ class claims, and the trial court denied those motions in November 2020. The parties engaged in another mediation in January 2021, which did not result in a settlement of the case. Plaintiffs filed motions for summary adjudication and/or summary judgment on some claims in December 2020.</w:t>
      </w:r>
    </w:p>
    <w:p>
      <w:pPr>
        <w:spacing w:after="0" w:line="15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In February and March 2021, the parties engaged in expert discovery that provided detailed information regarding the plaintiffs’ damage calculations on the class claims. On February 25, 2021, the California Supreme Court issued an opinion in </w:t>
      </w:r>
      <w:r>
        <w:rPr>
          <w:rFonts w:ascii="Arial" w:cs="Arial" w:eastAsia="Arial" w:hAnsi="Arial"/>
          <w:sz w:val="18"/>
          <w:szCs w:val="18"/>
          <w:i w:val="1"/>
          <w:iCs w:val="1"/>
          <w:color w:val="auto"/>
        </w:rPr>
        <w:t>Donohue v. AMN</w:t>
      </w:r>
      <w:r>
        <w:rPr>
          <w:rFonts w:ascii="Arial" w:cs="Arial" w:eastAsia="Arial" w:hAnsi="Arial"/>
          <w:sz w:val="18"/>
          <w:szCs w:val="18"/>
          <w:color w:val="auto"/>
        </w:rPr>
        <w:t xml:space="preserve"> </w:t>
      </w:r>
      <w:r>
        <w:rPr>
          <w:rFonts w:ascii="Arial" w:cs="Arial" w:eastAsia="Arial" w:hAnsi="Arial"/>
          <w:sz w:val="18"/>
          <w:szCs w:val="18"/>
          <w:i w:val="1"/>
          <w:iCs w:val="1"/>
          <w:color w:val="auto"/>
        </w:rPr>
        <w:t>Services</w:t>
      </w:r>
      <w:r>
        <w:rPr>
          <w:rFonts w:ascii="Arial" w:cs="Arial" w:eastAsia="Arial" w:hAnsi="Arial"/>
          <w:sz w:val="18"/>
          <w:szCs w:val="18"/>
          <w:color w:val="auto"/>
        </w:rPr>
        <w:t>, which addresses the standard for adjudicating meal period claims under California law and we believe is supportive of ABM’s legal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position in 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 On May 5, 2021, the trial court denied all of the plaintiffs’ December 2020 motions for summary adjudication and/or summary judgment, and the case was assigned to a new judge. On May 5, 2021, the trial court ordered the parties to attend a mandatory settlement conference before a separate judge on June 11, 2021. The trial date was scheduled for July 12, 2021.</w:t>
      </w:r>
    </w:p>
    <w:p>
      <w:pPr>
        <w:spacing w:after="0" w:line="13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On July 7, 2021, the Company entered into a class action settlement and release agreement to settle 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 for $140 million and to obtain a release of the certified class claims that were asserted in 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 The settlement will also resolve the PAGA claim. The release of the certified class claims covers the time period from April 7, 2002, through April 30, 2013. The release of the PAGA claim covers the time period from November 15, 2005, through July 18, 2021. Any attorneys’ fees awarded by the trial court and all costs of notice and claims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86" w:name="page87"/>
    <w:bookmarkEnd w:id="86"/>
    <w:p>
      <w:pPr>
        <w:jc w:val="both"/>
        <w:spacing w:after="0" w:line="261" w:lineRule="auto"/>
        <w:rPr>
          <w:sz w:val="20"/>
          <w:szCs w:val="20"/>
          <w:color w:val="auto"/>
        </w:rPr>
      </w:pPr>
      <w:r>
        <w:rPr>
          <w:rFonts w:ascii="Arial" w:cs="Arial" w:eastAsia="Arial" w:hAnsi="Arial"/>
          <w:sz w:val="18"/>
          <w:szCs w:val="18"/>
          <w:color w:val="auto"/>
        </w:rPr>
        <w:t>administration will be paid from the $140 million settlement fund. Employees who will be a part of the settlement will receive payments based on the number of pay periods they worked.</w:t>
      </w:r>
    </w:p>
    <w:p>
      <w:pPr>
        <w:spacing w:after="0" w:line="14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settlement agreement is contingent upon the approval of the trial court. On August 11, 2021, the plaintiffs filed the motion for preliminary approval of class action settlement with the trial court. On December 7, 2021, the trial court issued its order granting preliminary approval of the class action settlement. Members of the class will receive notice of the settlement, and there will be an opportunity for them to object to the settlement before the trial court grants final approval of the settlement. The final approval hearing with the trial court is currently scheduled to take place on March 16, 2022. No payments will be made to employees until after the settlement is finally approved by the trial court.</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Company has recorded a $142.9 million settlement accrual, which includes an accrual of $2.9 million of related payroll taxes, for 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 within “Other current liabilities” on the unaudited Consolidated Balance Sheets as of October 31, 2021, and $142.9 million of related expense in “Selling, general and administrative expenses” in our unaudited Consolidated Statements of Comprehensive Income (Loss) for the year ended October 31, 2021.</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14. PREFERRED AND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Preferred Stock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authorized to issue 500,000 shares of preferred stock. None of these preferred shares are issued.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Common Stock</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Effective December 18, 2019, our Board of Directors replaced our then-existing share repurchase program with a new share repurchase program under which we may repurchase up to $150.0 million of our common stock. These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at our discretion. Repurchased shares are retired and returned to an authorized but unissued status. The repurchase program may be suspended or discontinued at any time without prior notice.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Repurchase Activity</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repurchased shares under the 2019 Share Repurchase Program during the second quarter of 2020, as summarized below. However, due to the market and business conditions arising from the Pandemic, in March 2020 we suspended further repurchases of our common stock. At October 31, 2021, authorization for $144.9 million of repurchases remained under the 2019 Share Repurchase Program. There were no share repurchases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147320</wp:posOffset>
            </wp:positionV>
            <wp:extent cx="264858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16"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Years Ended October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04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4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ind w:right="73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730"/>
              <w:spacing w:after="0" w:line="182" w:lineRule="exact"/>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260" w:type="dxa"/>
            <w:vAlign w:val="bottom"/>
            <w:tcBorders>
              <w:top w:val="single" w:sz="8" w:color="auto"/>
              <w:bottom w:val="single" w:sz="8" w:color="DCE2EF"/>
            </w:tcBorders>
          </w:tcPr>
          <w:p>
            <w:pPr>
              <w:spacing w:after="0" w:line="20" w:lineRule="exact"/>
              <w:rPr>
                <w:sz w:val="1"/>
                <w:szCs w:val="1"/>
                <w:color w:val="auto"/>
              </w:rPr>
            </w:pPr>
          </w:p>
        </w:tc>
        <w:tc>
          <w:tcPr>
            <w:tcW w:w="4780" w:type="dxa"/>
            <w:vAlign w:val="bottom"/>
            <w:tcBorders>
              <w:bottom w:val="single" w:sz="8" w:color="DCE2E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Total number of shares purchased</w:t>
            </w:r>
          </w:p>
        </w:tc>
        <w:tc>
          <w:tcPr>
            <w:tcW w:w="460" w:type="dxa"/>
            <w:vAlign w:val="bottom"/>
            <w:shd w:val="clear" w:color="auto" w:fill="DCE2EF"/>
          </w:tcPr>
          <w:p>
            <w:pPr>
              <w:spacing w:after="0"/>
              <w:rPr>
                <w:sz w:val="19"/>
                <w:szCs w:val="19"/>
                <w:color w:val="auto"/>
              </w:rPr>
            </w:pPr>
          </w:p>
        </w:tc>
        <w:tc>
          <w:tcPr>
            <w:tcW w:w="1580" w:type="dxa"/>
            <w:vAlign w:val="bottom"/>
            <w:shd w:val="clear" w:color="auto" w:fill="DCE2EF"/>
          </w:tcPr>
          <w:p>
            <w:pPr>
              <w:jc w:val="center"/>
              <w:ind w:left="115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DCE2EF"/>
          </w:tcPr>
          <w:p>
            <w:pPr>
              <w:spacing w:after="0"/>
              <w:rPr>
                <w:sz w:val="19"/>
                <w:szCs w:val="19"/>
                <w:color w:val="auto"/>
              </w:rPr>
            </w:pPr>
          </w:p>
        </w:tc>
        <w:tc>
          <w:tcPr>
            <w:tcW w:w="48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Average price paid per share</w:t>
            </w:r>
          </w:p>
        </w:tc>
        <w:tc>
          <w:tcPr>
            <w:tcW w:w="460" w:type="dxa"/>
            <w:vAlign w:val="bottom"/>
          </w:tcPr>
          <w:p>
            <w:pPr>
              <w:spacing w:after="0"/>
              <w:rPr>
                <w:sz w:val="19"/>
                <w:szCs w:val="19"/>
                <w:color w:val="auto"/>
              </w:rPr>
            </w:pPr>
          </w:p>
        </w:tc>
        <w:tc>
          <w:tcPr>
            <w:tcW w:w="1680" w:type="dxa"/>
            <w:vAlign w:val="bottom"/>
            <w:gridSpan w:val="2"/>
          </w:tcPr>
          <w:p>
            <w:pPr>
              <w:jc w:val="center"/>
              <w:ind w:left="1050"/>
              <w:spacing w:after="0"/>
              <w:rPr>
                <w:sz w:val="20"/>
                <w:szCs w:val="20"/>
                <w:color w:val="auto"/>
              </w:rPr>
            </w:pPr>
            <w:r>
              <w:rPr>
                <w:rFonts w:ascii="Arial" w:cs="Arial" w:eastAsia="Arial" w:hAnsi="Arial"/>
                <w:sz w:val="18"/>
                <w:szCs w:val="18"/>
                <w:color w:val="auto"/>
                <w:w w:val="99"/>
              </w:rPr>
              <w:t>N/A</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36.16</w:t>
            </w:r>
          </w:p>
        </w:tc>
      </w:tr>
      <w:tr>
        <w:trPr>
          <w:trHeight w:val="230"/>
        </w:trPr>
        <w:tc>
          <w:tcPr>
            <w:tcW w:w="20" w:type="dxa"/>
            <w:vAlign w:val="bottom"/>
            <w:shd w:val="clear" w:color="auto" w:fill="DCE2EF"/>
          </w:tcPr>
          <w:p>
            <w:pPr>
              <w:spacing w:after="0"/>
              <w:rPr>
                <w:sz w:val="19"/>
                <w:szCs w:val="19"/>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Total cash paid for share repurchases</w:t>
            </w:r>
          </w:p>
        </w:tc>
        <w:tc>
          <w:tcPr>
            <w:tcW w:w="460" w:type="dxa"/>
            <w:vAlign w:val="bottom"/>
            <w:shd w:val="clear" w:color="auto" w:fill="DCE2EF"/>
          </w:tcPr>
          <w:p>
            <w:pPr>
              <w:jc w:val="right"/>
              <w:ind w:right="250"/>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DCE2EF"/>
          </w:tcPr>
          <w:p>
            <w:pPr>
              <w:jc w:val="center"/>
              <w:ind w:left="10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DCE2E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0046AD"/>
        </w:rPr>
        <w:t>15. SHARE-BASED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use various share-based compensation plans to provide incentives for our key employees and directors. Currently, these incentives primarily consist of RSUs and performance shares.</w:t>
      </w:r>
    </w:p>
    <w:p>
      <w:pPr>
        <w:spacing w:after="0" w:line="14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May 2, 2006, our stockholders approved the 2006 Equity Incentive Plan, which was last amended and restated on March 7, 2018 (as amended and restated, the “2006 Equity Plan”). The 2006 Equity Plan is an omnibus plan that provides for a variety of equity and equity-based award vehicles, including stock options, stock appreciation rights, RSUs, performance shares, and other share-based awards. Shares subject to awards that terminate without vesting or exercise are available for future awards under the 2006 Equity Plan. Certain of the awards under the 2006 Equity Plan may qualify as “performance-based” compensation under the IRC.</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March 24, 2021, our stockholders approved the 2021 Equity and Incentive Compensation Plan (the “2021 Equity Plan”). The 2021 Equity Plan is an omnibus plan that provides for a variety of equity and equity-based award vehicles, including stock options, stock appreciation rights, RSUs, performance shares, and other share-based awards. Shares subject to awards that terminate without vesting or exercise are available for future awards under the 2021 Equity Plan. Certain of the awards under the 2021 Equity Plan may qualify as “performance-based” compensation under the IRC.</w:t>
      </w:r>
    </w:p>
    <w:p>
      <w:pPr>
        <w:spacing w:after="0" w:line="15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 further shares are authorized for issuance under the 2006 Equity Plan. There are 3,975,000 total shares of common stock authorized for issuance under the 2021 Equity Plan, and at October 31, 2021, there were 5,406,414 shares of common stock available for grant for future equity-based compensation awards. In addition, there are certain plans under which we can no longer issue awards, such as the 2006 Equity Plan, although awards outstanding under such plans may still vest and be exercised.</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also maintain an employee stock purchase plan, which our stockholders approved on March 9, 2004 (the “2004 Employee Stock Purchase Plan”). As amended, there are 4,000,000 total shares of common stock authorized for issuance under the 2004 Employee Stock Purchase Plan. Effective May 1, 2006, the 2004 Employee Stock Purchase Plan is no longer considered compensatory and the values of the awards are no longer treated as share-based compensation expense. Additionally, as of that date, the purchase price became 95% of the fair value of our common stock price on the last trading day of the month. Employees may designate up to 10% of their compensation for the purchase of stock, subject to a $25,000 annual limit. Employees are required to hold their shares for a minimum of six months from the date of purchase. At October 31, 2021, there were 518,881 remaining unissued shares under the 2004 Employee Stock Purchase Plan.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Compensation Expense by Type of Award and Related Income Tax Benefit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Years Ended October 31,</w:t>
            </w:r>
          </w:p>
        </w:tc>
        <w:tc>
          <w:tcPr>
            <w:tcW w:w="12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5"/>
                <w:szCs w:val="15"/>
                <w:color w:val="auto"/>
              </w:rPr>
            </w:pPr>
          </w:p>
        </w:tc>
        <w:tc>
          <w:tcPr>
            <w:tcW w:w="1260" w:type="dxa"/>
            <w:vAlign w:val="bottom"/>
          </w:tcPr>
          <w:p>
            <w:pPr>
              <w:jc w:val="right"/>
              <w:ind w:right="51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53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530"/>
              <w:spacing w:after="0" w:line="182" w:lineRule="exact"/>
              <w:rPr>
                <w:sz w:val="20"/>
                <w:szCs w:val="20"/>
                <w:color w:val="auto"/>
              </w:rPr>
            </w:pPr>
            <w:r>
              <w:rPr>
                <w:rFonts w:ascii="Arial" w:cs="Arial" w:eastAsia="Arial" w:hAnsi="Arial"/>
                <w:sz w:val="18"/>
                <w:szCs w:val="18"/>
                <w:b w:val="1"/>
                <w:bCs w:val="1"/>
                <w:color w:val="auto"/>
              </w:rPr>
              <w:t>2019</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536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60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RSUs</w:t>
            </w: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DCE2EF"/>
          </w:tcPr>
          <w:p>
            <w:pPr>
              <w:spacing w:after="0"/>
              <w:rPr>
                <w:sz w:val="19"/>
                <w:szCs w:val="19"/>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20" w:type="dxa"/>
            <w:vAlign w:val="bottom"/>
            <w:tcBorders>
              <w:bottom w:val="single" w:sz="8" w:color="DCE2EF"/>
            </w:tcBorders>
          </w:tcPr>
          <w:p>
            <w:pPr>
              <w:spacing w:after="0"/>
              <w:rPr>
                <w:sz w:val="19"/>
                <w:szCs w:val="19"/>
                <w:color w:val="auto"/>
              </w:rPr>
            </w:pPr>
          </w:p>
        </w:tc>
        <w:tc>
          <w:tcPr>
            <w:tcW w:w="6080" w:type="dxa"/>
            <w:vAlign w:val="bottom"/>
            <w:tcBorders>
              <w:bottom w:val="single" w:sz="8" w:color="DCE2EF"/>
            </w:tcBorders>
            <w:gridSpan w:val="2"/>
          </w:tcPr>
          <w:p>
            <w:pPr>
              <w:spacing w:after="0"/>
              <w:rPr>
                <w:sz w:val="20"/>
                <w:szCs w:val="20"/>
                <w:color w:val="auto"/>
              </w:rPr>
            </w:pPr>
            <w:r>
              <w:rPr>
                <w:rFonts w:ascii="Arial" w:cs="Arial" w:eastAsia="Arial" w:hAnsi="Arial"/>
                <w:sz w:val="18"/>
                <w:szCs w:val="18"/>
                <w:color w:val="auto"/>
              </w:rPr>
              <w:t>Performance shares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DCE2E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DCE2E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20" w:type="dxa"/>
            <w:vAlign w:val="bottom"/>
            <w:shd w:val="clear" w:color="auto" w:fill="DCE2EF"/>
          </w:tcPr>
          <w:p>
            <w:pPr>
              <w:spacing w:after="0"/>
              <w:rPr>
                <w:sz w:val="19"/>
                <w:szCs w:val="19"/>
                <w:color w:val="auto"/>
              </w:rPr>
            </w:pPr>
          </w:p>
        </w:tc>
        <w:tc>
          <w:tcPr>
            <w:tcW w:w="60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Share-based compensation expense before income taxes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20" w:type="dxa"/>
            <w:vAlign w:val="bottom"/>
            <w:tcBorders>
              <w:bottom w:val="single" w:sz="8" w:color="DCE2EF"/>
            </w:tcBorders>
          </w:tcPr>
          <w:p>
            <w:pPr>
              <w:spacing w:after="0"/>
              <w:rPr>
                <w:sz w:val="19"/>
                <w:szCs w:val="19"/>
                <w:color w:val="auto"/>
              </w:rPr>
            </w:pPr>
          </w:p>
        </w:tc>
        <w:tc>
          <w:tcPr>
            <w:tcW w:w="6080" w:type="dxa"/>
            <w:vAlign w:val="bottom"/>
            <w:tcBorders>
              <w:bottom w:val="single" w:sz="8" w:color="DCE2EF"/>
            </w:tcBorders>
            <w:gridSpan w:val="2"/>
          </w:tcPr>
          <w:p>
            <w:pPr>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DCE2E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DCE2E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48"/>
        </w:trPr>
        <w:tc>
          <w:tcPr>
            <w:tcW w:w="20" w:type="dxa"/>
            <w:vAlign w:val="bottom"/>
            <w:tcBorders>
              <w:bottom w:val="single" w:sz="8" w:color="DCE2EF"/>
            </w:tcBorders>
            <w:shd w:val="clear" w:color="auto" w:fill="DCE2EF"/>
          </w:tcPr>
          <w:p>
            <w:pPr>
              <w:spacing w:after="0"/>
              <w:rPr>
                <w:sz w:val="21"/>
                <w:szCs w:val="21"/>
                <w:color w:val="auto"/>
              </w:rPr>
            </w:pPr>
          </w:p>
        </w:tc>
        <w:tc>
          <w:tcPr>
            <w:tcW w:w="608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rPr>
              <w:t>Share-based compensation expense, net of taxes</w:t>
            </w: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DCE2EF"/>
            </w:tcBorders>
            <w:shd w:val="clear" w:color="auto" w:fill="DCE2EF"/>
          </w:tcPr>
          <w:p>
            <w:pPr>
              <w:spacing w:after="0"/>
              <w:rPr>
                <w:sz w:val="21"/>
                <w:szCs w:val="21"/>
                <w:color w:val="auto"/>
              </w:rPr>
            </w:pP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DCE2EF"/>
            </w:tcBorders>
            <w:shd w:val="clear" w:color="auto" w:fill="DCE2EF"/>
          </w:tcPr>
          <w:p>
            <w:pPr>
              <w:spacing w:after="0"/>
              <w:rPr>
                <w:sz w:val="21"/>
                <w:szCs w:val="21"/>
                <w:color w:val="auto"/>
              </w:rPr>
            </w:pPr>
          </w:p>
        </w:tc>
        <w:tc>
          <w:tcPr>
            <w:tcW w:w="380" w:type="dxa"/>
            <w:vAlign w:val="bottom"/>
            <w:tcBorders>
              <w:bottom w:val="single" w:sz="8" w:color="auto"/>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5360" w:type="dxa"/>
            <w:vAlign w:val="bottom"/>
            <w:tcBorders>
              <w:top w:val="single" w:sz="8" w:color="DCE2EF"/>
            </w:tcBorders>
          </w:tcPr>
          <w:p>
            <w:pPr>
              <w:spacing w:after="0" w:line="20" w:lineRule="exact"/>
              <w:rPr>
                <w:sz w:val="1"/>
                <w:szCs w:val="1"/>
                <w:color w:val="auto"/>
              </w:rPr>
            </w:pP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26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2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1260" w:type="dxa"/>
            <w:vAlign w:val="bottom"/>
            <w:tcBorders>
              <w:top w:val="single" w:sz="8" w:color="DCE2E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0046AD"/>
        </w:rPr>
        <w:t>RSUs and Dividend Equivalent Rights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award RSUs to eligible employees and our directors (each, a “Grantee”) that entitle the Grantee to receive shares of our common stock as the units vest. RSUs granted to eligible employees in 2020 and 2021 generally vest ratably over three years. RSUs granted to eligible employees prior to 2020 generally vest with respect to 50% of the underlying award on the second and fourth anniversary of the award. RSUs granted to non-employee directors vest on the first anniversary date of the grant date. In general, the receipt of RSUs is subject to the Grantee’s continuing employment or service as a director.</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RSUs are credited with dividend equivalent rights that are converted to RSUs at the fair market value of our common stock on the dates the dividend payments are made and are subject to the same terms and conditions as the underlying award.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660" w:type="dxa"/>
            <w:vAlign w:val="bottom"/>
            <w:gridSpan w:val="2"/>
          </w:tcPr>
          <w:p>
            <w:pPr>
              <w:spacing w:after="0"/>
              <w:rPr>
                <w:sz w:val="20"/>
                <w:szCs w:val="20"/>
                <w:color w:val="auto"/>
              </w:rPr>
            </w:pPr>
            <w:r>
              <w:rPr>
                <w:rFonts w:ascii="Arial" w:cs="Arial" w:eastAsia="Arial" w:hAnsi="Arial"/>
                <w:sz w:val="18"/>
                <w:szCs w:val="18"/>
                <w:b w:val="1"/>
                <w:bCs w:val="1"/>
                <w:i w:val="1"/>
                <w:iCs w:val="1"/>
                <w:color w:val="0046AD"/>
              </w:rPr>
              <w:t>RSU Activity</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56"/>
        </w:trPr>
        <w:tc>
          <w:tcPr>
            <w:tcW w:w="7140" w:type="dxa"/>
            <w:vAlign w:val="bottom"/>
          </w:tcPr>
          <w:p>
            <w:pPr>
              <w:spacing w:after="0"/>
              <w:rPr>
                <w:sz w:val="22"/>
                <w:szCs w:val="22"/>
                <w:color w:val="auto"/>
              </w:rPr>
            </w:pPr>
          </w:p>
        </w:tc>
        <w:tc>
          <w:tcPr>
            <w:tcW w:w="1520" w:type="dxa"/>
            <w:vAlign w:val="bottom"/>
          </w:tcPr>
          <w:p>
            <w:pPr>
              <w:jc w:val="center"/>
              <w:ind w:left="370"/>
              <w:spacing w:after="0"/>
              <w:rPr>
                <w:sz w:val="20"/>
                <w:szCs w:val="20"/>
                <w:color w:val="auto"/>
              </w:rPr>
            </w:pPr>
            <w:r>
              <w:rPr>
                <w:rFonts w:ascii="Arial" w:cs="Arial" w:eastAsia="Arial" w:hAnsi="Arial"/>
                <w:sz w:val="18"/>
                <w:szCs w:val="18"/>
                <w:b w:val="1"/>
                <w:bCs w:val="1"/>
                <w:color w:val="auto"/>
                <w:w w:val="99"/>
              </w:rPr>
              <w:t>Number of</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Weighted-Average</w:t>
            </w:r>
          </w:p>
        </w:tc>
      </w:tr>
      <w:tr>
        <w:trPr>
          <w:trHeight w:val="176"/>
        </w:trPr>
        <w:tc>
          <w:tcPr>
            <w:tcW w:w="7140" w:type="dxa"/>
            <w:vAlign w:val="bottom"/>
          </w:tcPr>
          <w:p>
            <w:pPr>
              <w:spacing w:after="0"/>
              <w:rPr>
                <w:sz w:val="15"/>
                <w:szCs w:val="15"/>
                <w:color w:val="auto"/>
              </w:rPr>
            </w:pPr>
          </w:p>
        </w:tc>
        <w:tc>
          <w:tcPr>
            <w:tcW w:w="1520" w:type="dxa"/>
            <w:vAlign w:val="bottom"/>
          </w:tcPr>
          <w:p>
            <w:pPr>
              <w:jc w:val="center"/>
              <w:ind w:left="350"/>
              <w:spacing w:after="0" w:line="176" w:lineRule="exact"/>
              <w:rPr>
                <w:sz w:val="20"/>
                <w:szCs w:val="20"/>
                <w:color w:val="auto"/>
              </w:rPr>
            </w:pPr>
            <w:r>
              <w:rPr>
                <w:rFonts w:ascii="Arial" w:cs="Arial" w:eastAsia="Arial" w:hAnsi="Arial"/>
                <w:sz w:val="18"/>
                <w:szCs w:val="18"/>
                <w:b w:val="1"/>
                <w:bCs w:val="1"/>
                <w:color w:val="auto"/>
                <w:w w:val="99"/>
              </w:rPr>
              <w:t>Shares</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Grant Date</w:t>
            </w:r>
          </w:p>
        </w:tc>
      </w:tr>
      <w:tr>
        <w:trPr>
          <w:trHeight w:val="229"/>
        </w:trPr>
        <w:tc>
          <w:tcPr>
            <w:tcW w:w="7140" w:type="dxa"/>
            <w:vAlign w:val="bottom"/>
            <w:tcBorders>
              <w:bottom w:val="single" w:sz="8" w:color="DCE2EF"/>
            </w:tcBorders>
          </w:tcPr>
          <w:p>
            <w:pPr>
              <w:spacing w:after="0"/>
              <w:rPr>
                <w:sz w:val="19"/>
                <w:szCs w:val="19"/>
                <w:color w:val="auto"/>
              </w:rPr>
            </w:pPr>
          </w:p>
        </w:tc>
        <w:tc>
          <w:tcPr>
            <w:tcW w:w="15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8"/>
              </w:rPr>
              <w:t>(in millions)</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DCE2E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Fair Value per Share</w:t>
            </w:r>
          </w:p>
        </w:tc>
      </w:tr>
      <w:tr>
        <w:trPr>
          <w:trHeight w:val="223"/>
        </w:trPr>
        <w:tc>
          <w:tcPr>
            <w:tcW w:w="866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Outstanding at October 31, 2020</w:t>
            </w:r>
          </w:p>
        </w:tc>
        <w:tc>
          <w:tcPr>
            <w:tcW w:w="44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1.1</w:t>
            </w:r>
          </w:p>
        </w:tc>
        <w:tc>
          <w:tcPr>
            <w:tcW w:w="120" w:type="dxa"/>
            <w:vAlign w:val="bottom"/>
            <w:shd w:val="clear" w:color="auto" w:fill="DCE2EF"/>
          </w:tcPr>
          <w:p>
            <w:pPr>
              <w:spacing w:after="0"/>
              <w:rPr>
                <w:sz w:val="19"/>
                <w:szCs w:val="19"/>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36.32</w:t>
            </w:r>
          </w:p>
        </w:tc>
      </w:tr>
      <w:tr>
        <w:trPr>
          <w:trHeight w:val="229"/>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440" w:type="dxa"/>
            <w:vAlign w:val="bottom"/>
          </w:tcPr>
          <w:p>
            <w:pPr>
              <w:jc w:val="center"/>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40.22</w:t>
            </w:r>
          </w:p>
        </w:tc>
      </w:tr>
      <w:tr>
        <w:trPr>
          <w:trHeight w:val="230"/>
        </w:trPr>
        <w:tc>
          <w:tcPr>
            <w:tcW w:w="866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Vested (including 0.2 shares withheld for income taxes)</w:t>
            </w:r>
          </w:p>
        </w:tc>
        <w:tc>
          <w:tcPr>
            <w:tcW w:w="44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7"/>
              </w:rPr>
              <w:t>(0.5)</w:t>
            </w:r>
          </w:p>
        </w:tc>
        <w:tc>
          <w:tcPr>
            <w:tcW w:w="12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8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36.34</w:t>
            </w:r>
          </w:p>
        </w:tc>
      </w:tr>
      <w:tr>
        <w:trPr>
          <w:trHeight w:val="229"/>
        </w:trPr>
        <w:tc>
          <w:tcPr>
            <w:tcW w:w="7140" w:type="dxa"/>
            <w:vAlign w:val="bottom"/>
            <w:tcBorders>
              <w:bottom w:val="single" w:sz="8" w:color="DCE2E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(0.2)</w:t>
            </w:r>
          </w:p>
        </w:tc>
        <w:tc>
          <w:tcPr>
            <w:tcW w:w="120" w:type="dxa"/>
            <w:vAlign w:val="bottom"/>
            <w:tcBorders>
              <w:bottom w:val="single" w:sz="8" w:color="DCE2E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w:t>
            </w:r>
          </w:p>
        </w:tc>
      </w:tr>
      <w:tr>
        <w:trPr>
          <w:trHeight w:val="243"/>
        </w:trPr>
        <w:tc>
          <w:tcPr>
            <w:tcW w:w="866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Outstanding at October 31, 2021</w:t>
            </w:r>
          </w:p>
        </w:tc>
        <w:tc>
          <w:tcPr>
            <w:tcW w:w="44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1.0</w:t>
            </w:r>
          </w:p>
        </w:tc>
        <w:tc>
          <w:tcPr>
            <w:tcW w:w="120" w:type="dxa"/>
            <w:vAlign w:val="bottom"/>
            <w:shd w:val="clear" w:color="auto" w:fill="DCE2EF"/>
          </w:tcPr>
          <w:p>
            <w:pPr>
              <w:spacing w:after="0"/>
              <w:rPr>
                <w:sz w:val="21"/>
                <w:szCs w:val="21"/>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38.06</w:t>
            </w:r>
          </w:p>
        </w:tc>
      </w:tr>
      <w:tr>
        <w:trPr>
          <w:trHeight w:val="20"/>
        </w:trPr>
        <w:tc>
          <w:tcPr>
            <w:tcW w:w="7140" w:type="dxa"/>
            <w:vAlign w:val="bottom"/>
            <w:tcBorders>
              <w:top w:val="single" w:sz="8" w:color="DCE2E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October 31, 2021, total unrecognized compensation cost, net of estimated forfeitures, related to RSUs was $21.4 million, which is expected to be recognized ratably over a weighted-average vesting period of 1.7 years. In 2021, 2020, and 2019, the weighted-average grant date fair value per share of awards granted was $40.22, $36.11, and $34.48, respectively. In 2021, 2020, and 2019, the total grant date fair value of RSUs vested and converted to shares of ABM common stock was $16.9 million, $6.1 million, and $10.7 million, respectively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0046AD"/>
        </w:rPr>
        <w:t>Performance Shares, Including TSR Performance Shares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Performance shares consist of a contingent right to receive shares of our common stock based on performance targets adopted by our Compensation Committee. Performance shares are credited with dividend equivalent rights that will be converted to performance shares at the fair market value of our common stock beginning after the performance targets have been satisfied and are subject to the same terms and conditions as the underlying award.</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certain performance share awards, the number of performance shares that will vest is based on pre-established internal financial performance targets and typically a three-year service and performance period. The number of TSR-modified awards that will vest over the respective three-year performance period is based on our total shareholder return relative to the S&amp;P 1500 Composite Commercial Services &amp; Supplies Index. Vesting of 0% to 150% of the awards originally granted may occur depending on the respective performance metrics.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40" w:type="dxa"/>
            <w:vAlign w:val="bottom"/>
          </w:tcPr>
          <w:p>
            <w:pPr>
              <w:spacing w:after="0"/>
              <w:rPr>
                <w:sz w:val="20"/>
                <w:szCs w:val="20"/>
                <w:color w:val="auto"/>
              </w:rPr>
            </w:pPr>
            <w:r>
              <w:rPr>
                <w:rFonts w:ascii="Arial" w:cs="Arial" w:eastAsia="Arial" w:hAnsi="Arial"/>
                <w:sz w:val="18"/>
                <w:szCs w:val="18"/>
                <w:b w:val="1"/>
                <w:bCs w:val="1"/>
                <w:i w:val="1"/>
                <w:iCs w:val="1"/>
                <w:color w:val="0046AD"/>
              </w:rPr>
              <w:t>Performance Share Activity</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1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Weighted-Average</w:t>
            </w:r>
          </w:p>
        </w:tc>
        <w:tc>
          <w:tcPr>
            <w:tcW w:w="0" w:type="dxa"/>
            <w:vAlign w:val="bottom"/>
          </w:tcPr>
          <w:p>
            <w:pPr>
              <w:spacing w:after="0"/>
              <w:rPr>
                <w:sz w:val="1"/>
                <w:szCs w:val="1"/>
                <w:color w:val="auto"/>
              </w:rPr>
            </w:pPr>
          </w:p>
        </w:tc>
      </w:tr>
      <w:tr>
        <w:trPr>
          <w:trHeight w:val="175"/>
        </w:trPr>
        <w:tc>
          <w:tcPr>
            <w:tcW w:w="7140" w:type="dxa"/>
            <w:vAlign w:val="bottom"/>
          </w:tcPr>
          <w:p>
            <w:pPr>
              <w:spacing w:after="0"/>
              <w:rPr>
                <w:sz w:val="15"/>
                <w:szCs w:val="15"/>
                <w:color w:val="auto"/>
              </w:rPr>
            </w:pPr>
          </w:p>
        </w:tc>
        <w:tc>
          <w:tcPr>
            <w:tcW w:w="20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rPr>
              <w:t>Number of Shares</w:t>
            </w:r>
          </w:p>
        </w:tc>
        <w:tc>
          <w:tcPr>
            <w:tcW w:w="160" w:type="dxa"/>
            <w:vAlign w:val="bottom"/>
          </w:tcPr>
          <w:p>
            <w:pPr>
              <w:spacing w:after="0"/>
              <w:rPr>
                <w:sz w:val="15"/>
                <w:szCs w:val="15"/>
                <w:color w:val="auto"/>
              </w:rPr>
            </w:pPr>
          </w:p>
        </w:tc>
        <w:tc>
          <w:tcPr>
            <w:tcW w:w="182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9"/>
              </w:rPr>
              <w:t>Grant Date</w:t>
            </w:r>
          </w:p>
        </w:tc>
        <w:tc>
          <w:tcPr>
            <w:tcW w:w="0" w:type="dxa"/>
            <w:vAlign w:val="bottom"/>
          </w:tcPr>
          <w:p>
            <w:pPr>
              <w:spacing w:after="0"/>
              <w:rPr>
                <w:sz w:val="1"/>
                <w:szCs w:val="1"/>
                <w:color w:val="auto"/>
              </w:rPr>
            </w:pPr>
          </w:p>
        </w:tc>
      </w:tr>
      <w:tr>
        <w:trPr>
          <w:trHeight w:val="176"/>
        </w:trPr>
        <w:tc>
          <w:tcPr>
            <w:tcW w:w="714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29"/>
        </w:trPr>
        <w:tc>
          <w:tcPr>
            <w:tcW w:w="7140" w:type="dxa"/>
            <w:vAlign w:val="bottom"/>
          </w:tcPr>
          <w:p>
            <w:pPr>
              <w:spacing w:after="0"/>
              <w:rPr>
                <w:sz w:val="19"/>
                <w:szCs w:val="19"/>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(in millions)</w:t>
            </w:r>
          </w:p>
        </w:tc>
        <w:tc>
          <w:tcPr>
            <w:tcW w:w="160" w:type="dxa"/>
            <w:vAlign w:val="bottom"/>
          </w:tcPr>
          <w:p>
            <w:pPr>
              <w:spacing w:after="0"/>
              <w:rPr>
                <w:sz w:val="19"/>
                <w:szCs w:val="19"/>
                <w:color w:val="auto"/>
              </w:rPr>
            </w:pPr>
          </w:p>
        </w:tc>
        <w:tc>
          <w:tcPr>
            <w:tcW w:w="182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per Share</w:t>
            </w:r>
          </w:p>
        </w:tc>
        <w:tc>
          <w:tcPr>
            <w:tcW w:w="0" w:type="dxa"/>
            <w:vAlign w:val="bottom"/>
          </w:tcPr>
          <w:p>
            <w:pPr>
              <w:spacing w:after="0"/>
              <w:rPr>
                <w:sz w:val="1"/>
                <w:szCs w:val="1"/>
                <w:color w:val="auto"/>
              </w:rPr>
            </w:pPr>
          </w:p>
        </w:tc>
      </w:tr>
      <w:tr>
        <w:trPr>
          <w:trHeight w:val="223"/>
        </w:trPr>
        <w:tc>
          <w:tcPr>
            <w:tcW w:w="7140" w:type="dxa"/>
            <w:vAlign w:val="bottom"/>
            <w:tcBorders>
              <w:top w:val="single" w:sz="8" w:color="DCE2EF"/>
            </w:tcBorders>
            <w:shd w:val="clear" w:color="auto" w:fill="DCE2EF"/>
          </w:tcPr>
          <w:p>
            <w:pPr>
              <w:ind w:left="20"/>
              <w:spacing w:after="0"/>
              <w:rPr>
                <w:sz w:val="20"/>
                <w:szCs w:val="20"/>
                <w:color w:val="auto"/>
              </w:rPr>
            </w:pPr>
            <w:r>
              <w:rPr>
                <w:rFonts w:ascii="Arial" w:cs="Arial" w:eastAsia="Arial" w:hAnsi="Arial"/>
                <w:sz w:val="18"/>
                <w:szCs w:val="18"/>
                <w:color w:val="auto"/>
              </w:rPr>
              <w:t>Outstanding at October 31, 2020</w:t>
            </w:r>
          </w:p>
        </w:tc>
        <w:tc>
          <w:tcPr>
            <w:tcW w:w="1960" w:type="dxa"/>
            <w:vAlign w:val="bottom"/>
            <w:tcBorders>
              <w:top w:val="single" w:sz="8" w:color="auto"/>
            </w:tcBorders>
            <w:shd w:val="clear" w:color="auto" w:fill="DCE2EF"/>
          </w:tcPr>
          <w:p>
            <w:pPr>
              <w:jc w:val="center"/>
              <w:ind w:left="1490"/>
              <w:spacing w:after="0"/>
              <w:rPr>
                <w:sz w:val="20"/>
                <w:szCs w:val="20"/>
                <w:color w:val="auto"/>
              </w:rPr>
            </w:pPr>
            <w:r>
              <w:rPr>
                <w:rFonts w:ascii="Arial" w:cs="Arial" w:eastAsia="Arial" w:hAnsi="Arial"/>
                <w:sz w:val="18"/>
                <w:szCs w:val="18"/>
                <w:color w:val="auto"/>
              </w:rPr>
              <w:t>0.8</w:t>
            </w:r>
          </w:p>
        </w:tc>
        <w:tc>
          <w:tcPr>
            <w:tcW w:w="120" w:type="dxa"/>
            <w:vAlign w:val="bottom"/>
            <w:tcBorders>
              <w:top w:val="single" w:sz="8" w:color="DCE2EF"/>
            </w:tcBorders>
            <w:shd w:val="clear" w:color="auto" w:fill="DCE2EF"/>
          </w:tcPr>
          <w:p>
            <w:pPr>
              <w:spacing w:after="0"/>
              <w:rPr>
                <w:sz w:val="19"/>
                <w:szCs w:val="19"/>
                <w:color w:val="auto"/>
              </w:rPr>
            </w:pPr>
          </w:p>
        </w:tc>
        <w:tc>
          <w:tcPr>
            <w:tcW w:w="16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960" w:type="dxa"/>
            <w:vAlign w:val="bottom"/>
          </w:tcPr>
          <w:p>
            <w:pPr>
              <w:jc w:val="center"/>
              <w:ind w:left="149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30"/>
        </w:trPr>
        <w:tc>
          <w:tcPr>
            <w:tcW w:w="7140" w:type="dxa"/>
            <w:vAlign w:val="bottom"/>
            <w:shd w:val="clear" w:color="auto" w:fill="DCE2EF"/>
          </w:tcPr>
          <w:p>
            <w:pPr>
              <w:ind w:left="20"/>
              <w:spacing w:after="0"/>
              <w:rPr>
                <w:sz w:val="20"/>
                <w:szCs w:val="20"/>
                <w:color w:val="auto"/>
              </w:rPr>
            </w:pPr>
            <w:r>
              <w:rPr>
                <w:rFonts w:ascii="Arial" w:cs="Arial" w:eastAsia="Arial" w:hAnsi="Arial"/>
                <w:sz w:val="18"/>
                <w:szCs w:val="18"/>
                <w:color w:val="auto"/>
              </w:rPr>
              <w:t>Vested (including 0.1 shares withheld for income taxes)</w:t>
            </w:r>
          </w:p>
        </w:tc>
        <w:tc>
          <w:tcPr>
            <w:tcW w:w="1960" w:type="dxa"/>
            <w:vAlign w:val="bottom"/>
            <w:shd w:val="clear" w:color="auto" w:fill="DCE2EF"/>
          </w:tcPr>
          <w:p>
            <w:pPr>
              <w:jc w:val="center"/>
              <w:ind w:left="1470"/>
              <w:spacing w:after="0"/>
              <w:rPr>
                <w:sz w:val="20"/>
                <w:szCs w:val="20"/>
                <w:color w:val="auto"/>
              </w:rPr>
            </w:pPr>
            <w:r>
              <w:rPr>
                <w:rFonts w:ascii="Arial" w:cs="Arial" w:eastAsia="Arial" w:hAnsi="Arial"/>
                <w:sz w:val="18"/>
                <w:szCs w:val="18"/>
                <w:color w:val="auto"/>
                <w:w w:val="97"/>
              </w:rPr>
              <w:t>(0.2)</w:t>
            </w:r>
          </w:p>
        </w:tc>
        <w:tc>
          <w:tcPr>
            <w:tcW w:w="12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36.53</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Performance adjustments</w:t>
            </w:r>
          </w:p>
        </w:tc>
        <w:tc>
          <w:tcPr>
            <w:tcW w:w="1960" w:type="dxa"/>
            <w:vAlign w:val="bottom"/>
          </w:tcPr>
          <w:p>
            <w:pPr>
              <w:jc w:val="center"/>
              <w:ind w:left="149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29"/>
        </w:trPr>
        <w:tc>
          <w:tcPr>
            <w:tcW w:w="7140" w:type="dxa"/>
            <w:vAlign w:val="bottom"/>
            <w:shd w:val="clear" w:color="auto" w:fill="DCE2EF"/>
          </w:tcPr>
          <w:p>
            <w:pPr>
              <w:ind w:left="20"/>
              <w:spacing w:after="0"/>
              <w:rPr>
                <w:sz w:val="20"/>
                <w:szCs w:val="20"/>
                <w:color w:val="auto"/>
              </w:rPr>
            </w:pPr>
            <w:r>
              <w:rPr>
                <w:rFonts w:ascii="Arial" w:cs="Arial" w:eastAsia="Arial" w:hAnsi="Arial"/>
                <w:sz w:val="18"/>
                <w:szCs w:val="18"/>
                <w:color w:val="auto"/>
              </w:rPr>
              <w:t>Forfeited</w:t>
            </w:r>
          </w:p>
        </w:tc>
        <w:tc>
          <w:tcPr>
            <w:tcW w:w="1960" w:type="dxa"/>
            <w:vAlign w:val="bottom"/>
            <w:tcBorders>
              <w:bottom w:val="single" w:sz="8" w:color="auto"/>
            </w:tcBorders>
            <w:shd w:val="clear" w:color="auto" w:fill="DCE2EF"/>
          </w:tcPr>
          <w:p>
            <w:pPr>
              <w:jc w:val="center"/>
              <w:ind w:left="1470"/>
              <w:spacing w:after="0"/>
              <w:rPr>
                <w:sz w:val="20"/>
                <w:szCs w:val="20"/>
                <w:color w:val="auto"/>
              </w:rPr>
            </w:pPr>
            <w:r>
              <w:rPr>
                <w:rFonts w:ascii="Arial" w:cs="Arial" w:eastAsia="Arial" w:hAnsi="Arial"/>
                <w:sz w:val="18"/>
                <w:szCs w:val="18"/>
                <w:color w:val="auto"/>
                <w:w w:val="97"/>
              </w:rPr>
              <w:t>(0.1)</w:t>
            </w:r>
          </w:p>
        </w:tc>
        <w:tc>
          <w:tcPr>
            <w:tcW w:w="120" w:type="dxa"/>
            <w:vAlign w:val="bottom"/>
            <w:shd w:val="clear" w:color="auto" w:fill="DCE2EF"/>
          </w:tcPr>
          <w:p>
            <w:pPr>
              <w:spacing w:after="0"/>
              <w:rPr>
                <w:sz w:val="19"/>
                <w:szCs w:val="19"/>
                <w:color w:val="auto"/>
              </w:rPr>
            </w:pPr>
          </w:p>
        </w:tc>
        <w:tc>
          <w:tcPr>
            <w:tcW w:w="160" w:type="dxa"/>
            <w:vAlign w:val="bottom"/>
            <w:tcBorders>
              <w:bottom w:val="single" w:sz="8" w:color="auto"/>
            </w:tcBorders>
            <w:shd w:val="clear" w:color="auto" w:fill="DCE2EF"/>
          </w:tcPr>
          <w:p>
            <w:pPr>
              <w:spacing w:after="0"/>
              <w:rPr>
                <w:sz w:val="19"/>
                <w:szCs w:val="19"/>
                <w:color w:val="auto"/>
              </w:rPr>
            </w:pPr>
          </w:p>
        </w:tc>
        <w:tc>
          <w:tcPr>
            <w:tcW w:w="1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Outstanding at October 31, 2021</w:t>
            </w:r>
          </w:p>
        </w:tc>
        <w:tc>
          <w:tcPr>
            <w:tcW w:w="1960" w:type="dxa"/>
            <w:vAlign w:val="bottom"/>
            <w:tcBorders>
              <w:bottom w:val="single" w:sz="8" w:color="auto"/>
            </w:tcBorders>
          </w:tcPr>
          <w:p>
            <w:pPr>
              <w:jc w:val="center"/>
              <w:ind w:left="14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October 31, 2021, total unrecognized compensation cost related to performance share awards was $15.4 million, which is expected to be recognized ratably over a weighted-average vesting period of 1.7 years. Except for TSR performance shares, these costs are based on estimated achievement of performance targets and estimated costs are periodically reevaluated. For our TSR performance shares, these costs are based on the fair value of awards at the grant date and are recognized on a straight-line basis over the service period of three years.</w:t>
      </w:r>
    </w:p>
    <w:p>
      <w:pPr>
        <w:spacing w:after="0" w:line="15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2021, 2020, and 2019, the weighted-average grant date fair value per share of awards granted was $ 39.97, $35.92, and $35.44, respectively. In 2021, 2020, and 2019, the total grant date fair value of performance shares vested and converted to shares of ABM common stock was $9.0 million, $6.1 million, and $6.8 million, respectively.</w:t>
      </w:r>
    </w:p>
    <w:p>
      <w:pPr>
        <w:spacing w:after="0" w:line="14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2021, 2020, and 2019, we used the Monte Carlo simulation valuation technique to estimate the fair value of TSR performance share grants, which used the assumptions in the table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0046AD"/>
              </w:rPr>
              <w:t>Monte Carlo Assumptions</w:t>
            </w: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10"/>
        </w:trPr>
        <w:tc>
          <w:tcPr>
            <w:tcW w:w="5160" w:type="dxa"/>
            <w:vAlign w:val="bottom"/>
            <w:tcBorders>
              <w:bottom w:val="single" w:sz="8" w:color="DCE2E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DCE2E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DCE2E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2019</w:t>
            </w:r>
          </w:p>
        </w:tc>
      </w:tr>
      <w:tr>
        <w:trPr>
          <w:trHeight w:val="223"/>
        </w:trPr>
        <w:tc>
          <w:tcPr>
            <w:tcW w:w="5160" w:type="dxa"/>
            <w:vAlign w:val="bottom"/>
            <w:shd w:val="clear" w:color="auto" w:fill="DCE2EF"/>
          </w:tcPr>
          <w:p>
            <w:pPr>
              <w:ind w:left="20"/>
              <w:spacing w:after="0" w:line="223" w:lineRule="exact"/>
              <w:rPr>
                <w:sz w:val="20"/>
                <w:szCs w:val="20"/>
                <w:color w:val="auto"/>
              </w:rPr>
            </w:pPr>
            <w:r>
              <w:rPr>
                <w:rFonts w:ascii="Arial" w:cs="Arial" w:eastAsia="Arial" w:hAnsi="Arial"/>
                <w:sz w:val="18"/>
                <w:szCs w:val="18"/>
                <w:color w:val="auto"/>
              </w:rPr>
              <w:t>Expected life</w:t>
            </w:r>
            <w:r>
              <w:rPr>
                <w:rFonts w:ascii="Arial" w:cs="Arial" w:eastAsia="Arial" w:hAnsi="Arial"/>
                <w:sz w:val="23"/>
                <w:szCs w:val="23"/>
                <w:color w:val="auto"/>
                <w:vertAlign w:val="superscript"/>
              </w:rPr>
              <w:t>(1)</w:t>
            </w:r>
          </w:p>
        </w:tc>
        <w:tc>
          <w:tcPr>
            <w:tcW w:w="440" w:type="dxa"/>
            <w:vAlign w:val="bottom"/>
            <w:shd w:val="clear" w:color="auto" w:fill="DCE2EF"/>
          </w:tcPr>
          <w:p>
            <w:pPr>
              <w:spacing w:after="0"/>
              <w:rPr>
                <w:sz w:val="19"/>
                <w:szCs w:val="19"/>
                <w:color w:val="auto"/>
              </w:rPr>
            </w:pPr>
          </w:p>
        </w:tc>
        <w:tc>
          <w:tcPr>
            <w:tcW w:w="1600" w:type="dxa"/>
            <w:vAlign w:val="bottom"/>
            <w:gridSpan w:val="2"/>
            <w:shd w:val="clear" w:color="auto" w:fill="DCE2EF"/>
          </w:tcPr>
          <w:p>
            <w:pPr>
              <w:ind w:left="640"/>
              <w:spacing w:after="0"/>
              <w:rPr>
                <w:sz w:val="20"/>
                <w:szCs w:val="20"/>
                <w:color w:val="auto"/>
              </w:rPr>
            </w:pPr>
            <w:r>
              <w:rPr>
                <w:rFonts w:ascii="Arial" w:cs="Arial" w:eastAsia="Arial" w:hAnsi="Arial"/>
                <w:sz w:val="18"/>
                <w:szCs w:val="18"/>
                <w:color w:val="auto"/>
              </w:rPr>
              <w:t>2.81 years</w:t>
            </w:r>
          </w:p>
        </w:tc>
        <w:tc>
          <w:tcPr>
            <w:tcW w:w="440" w:type="dxa"/>
            <w:vAlign w:val="bottom"/>
            <w:shd w:val="clear" w:color="auto" w:fill="DCE2EF"/>
          </w:tcPr>
          <w:p>
            <w:pPr>
              <w:spacing w:after="0"/>
              <w:rPr>
                <w:sz w:val="19"/>
                <w:szCs w:val="19"/>
                <w:color w:val="auto"/>
              </w:rPr>
            </w:pPr>
          </w:p>
        </w:tc>
        <w:tc>
          <w:tcPr>
            <w:tcW w:w="1620" w:type="dxa"/>
            <w:vAlign w:val="bottom"/>
            <w:gridSpan w:val="2"/>
            <w:shd w:val="clear" w:color="auto" w:fill="DCE2EF"/>
          </w:tcPr>
          <w:p>
            <w:pPr>
              <w:ind w:left="640"/>
              <w:spacing w:after="0"/>
              <w:rPr>
                <w:sz w:val="20"/>
                <w:szCs w:val="20"/>
                <w:color w:val="auto"/>
              </w:rPr>
            </w:pPr>
            <w:r>
              <w:rPr>
                <w:rFonts w:ascii="Arial" w:cs="Arial" w:eastAsia="Arial" w:hAnsi="Arial"/>
                <w:sz w:val="18"/>
                <w:szCs w:val="18"/>
                <w:color w:val="auto"/>
              </w:rPr>
              <w:t>2.81 years</w:t>
            </w:r>
          </w:p>
        </w:tc>
        <w:tc>
          <w:tcPr>
            <w:tcW w:w="44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2.81 years</w:t>
            </w:r>
          </w:p>
        </w:tc>
      </w:tr>
      <w:tr>
        <w:trPr>
          <w:trHeight w:val="229"/>
        </w:trPr>
        <w:tc>
          <w:tcPr>
            <w:tcW w:w="5160" w:type="dxa"/>
            <w:vAlign w:val="bottom"/>
          </w:tcPr>
          <w:p>
            <w:pPr>
              <w:ind w:left="20"/>
              <w:spacing w:after="0" w:line="230" w:lineRule="exact"/>
              <w:rPr>
                <w:sz w:val="20"/>
                <w:szCs w:val="20"/>
                <w:color w:val="auto"/>
              </w:rPr>
            </w:pPr>
            <w:r>
              <w:rPr>
                <w:rFonts w:ascii="Arial" w:cs="Arial" w:eastAsia="Arial" w:hAnsi="Arial"/>
                <w:sz w:val="18"/>
                <w:szCs w:val="18"/>
                <w:color w:val="auto"/>
              </w:rPr>
              <w:t>Expected stock price volatility</w:t>
            </w:r>
            <w:r>
              <w:rPr>
                <w:rFonts w:ascii="Arial" w:cs="Arial" w:eastAsia="Arial" w:hAnsi="Arial"/>
                <w:sz w:val="23"/>
                <w:szCs w:val="23"/>
                <w:color w:val="auto"/>
                <w:vertAlign w:val="superscript"/>
              </w:rPr>
              <w:t>(2)</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42.9 %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28.7 %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27.7 %</w:t>
            </w:r>
          </w:p>
        </w:tc>
      </w:tr>
      <w:tr>
        <w:trPr>
          <w:trHeight w:val="230"/>
        </w:trPr>
        <w:tc>
          <w:tcPr>
            <w:tcW w:w="5160" w:type="dxa"/>
            <w:vAlign w:val="bottom"/>
            <w:shd w:val="clear" w:color="auto" w:fill="DCE2EF"/>
          </w:tcPr>
          <w:p>
            <w:pPr>
              <w:ind w:left="20"/>
              <w:spacing w:after="0" w:line="230"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3"/>
                <w:szCs w:val="23"/>
                <w:color w:val="auto"/>
                <w:vertAlign w:val="superscript"/>
              </w:rPr>
              <w:t>(3)</w:t>
            </w:r>
          </w:p>
        </w:tc>
        <w:tc>
          <w:tcPr>
            <w:tcW w:w="44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DCE2EF"/>
          </w:tcPr>
          <w:p>
            <w:pPr>
              <w:spacing w:after="0"/>
              <w:rPr>
                <w:sz w:val="19"/>
                <w:szCs w:val="19"/>
                <w:color w:val="auto"/>
              </w:rPr>
            </w:pPr>
          </w:p>
        </w:tc>
        <w:tc>
          <w:tcPr>
            <w:tcW w:w="44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DCE2EF"/>
          </w:tcPr>
          <w:p>
            <w:pPr>
              <w:spacing w:after="0"/>
              <w:rPr>
                <w:sz w:val="19"/>
                <w:szCs w:val="19"/>
                <w:color w:val="auto"/>
              </w:rPr>
            </w:pPr>
          </w:p>
        </w:tc>
        <w:tc>
          <w:tcPr>
            <w:tcW w:w="44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2.5 %</w:t>
            </w:r>
          </w:p>
        </w:tc>
      </w:tr>
      <w:tr>
        <w:trPr>
          <w:trHeight w:val="301"/>
        </w:trPr>
        <w:tc>
          <w:tcPr>
            <w:tcW w:w="5160" w:type="dxa"/>
            <w:vAlign w:val="bottom"/>
          </w:tcPr>
          <w:p>
            <w:pPr>
              <w:ind w:left="20"/>
              <w:spacing w:after="0"/>
              <w:rPr>
                <w:sz w:val="20"/>
                <w:szCs w:val="20"/>
                <w:color w:val="auto"/>
              </w:rPr>
            </w:pPr>
            <w:r>
              <w:rPr>
                <w:rFonts w:ascii="Arial" w:cs="Arial" w:eastAsia="Arial" w:hAnsi="Arial"/>
                <w:sz w:val="18"/>
                <w:szCs w:val="18"/>
                <w:color w:val="auto"/>
              </w:rPr>
              <w:t>Stock price</w:t>
            </w:r>
            <w:r>
              <w:rPr>
                <w:rFonts w:ascii="Arial" w:cs="Arial" w:eastAsia="Arial" w:hAnsi="Arial"/>
                <w:sz w:val="23"/>
                <w:szCs w:val="23"/>
                <w:color w:val="auto"/>
                <w:vertAlign w:val="superscript"/>
              </w:rPr>
              <w:t>(4)</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40.75</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37.99</w:t>
            </w:r>
          </w:p>
        </w:tc>
        <w:tc>
          <w:tcPr>
            <w:tcW w:w="12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34.92</w:t>
            </w:r>
          </w:p>
        </w:tc>
      </w:tr>
    </w:tbl>
    <w:p>
      <w:pPr>
        <w:spacing w:after="0" w:line="100"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21"/>
          <w:szCs w:val="21"/>
          <w:color w:val="auto"/>
          <w:vertAlign w:val="superscript"/>
        </w:rPr>
      </w:pPr>
      <w:r>
        <w:rPr>
          <w:rFonts w:ascii="Arial" w:cs="Arial" w:eastAsia="Arial" w:hAnsi="Arial"/>
          <w:sz w:val="16"/>
          <w:szCs w:val="16"/>
          <w:color w:val="auto"/>
        </w:rPr>
        <w:t>The expected life represents the remaining performance period of the awards.</w:t>
      </w:r>
    </w:p>
    <w:p>
      <w:pPr>
        <w:spacing w:after="0" w:line="102" w:lineRule="exact"/>
        <w:rPr>
          <w:rFonts w:ascii="Arial" w:cs="Arial" w:eastAsia="Arial" w:hAnsi="Arial"/>
          <w:sz w:val="21"/>
          <w:szCs w:val="21"/>
          <w:color w:val="auto"/>
          <w:vertAlign w:val="superscript"/>
        </w:rPr>
      </w:pPr>
    </w:p>
    <w:p>
      <w:pPr>
        <w:ind w:left="180" w:hanging="172"/>
        <w:spacing w:after="0" w:line="228" w:lineRule="auto"/>
        <w:tabs>
          <w:tab w:leader="none" w:pos="176" w:val="left"/>
        </w:tabs>
        <w:numPr>
          <w:ilvl w:val="0"/>
          <w:numId w:val="40"/>
        </w:numPr>
        <w:rPr>
          <w:rFonts w:ascii="Arial" w:cs="Arial" w:eastAsia="Arial" w:hAnsi="Arial"/>
          <w:sz w:val="20"/>
          <w:szCs w:val="20"/>
          <w:color w:val="auto"/>
          <w:vertAlign w:val="superscript"/>
        </w:rPr>
      </w:pPr>
      <w:r>
        <w:rPr>
          <w:rFonts w:ascii="Arial" w:cs="Arial" w:eastAsia="Arial" w:hAnsi="Arial"/>
          <w:sz w:val="15"/>
          <w:szCs w:val="15"/>
          <w:color w:val="auto"/>
        </w:rPr>
        <w:t>The expected volatility for each grant is determined based on the historical volatility of our common stock over a period equal to the remaining term of the performance period from the date of grant for all awards.</w:t>
      </w:r>
    </w:p>
    <w:p>
      <w:pPr>
        <w:spacing w:after="0" w:line="103" w:lineRule="exact"/>
        <w:rPr>
          <w:rFonts w:ascii="Arial" w:cs="Arial" w:eastAsia="Arial" w:hAnsi="Arial"/>
          <w:sz w:val="20"/>
          <w:szCs w:val="20"/>
          <w:color w:val="auto"/>
          <w:vertAlign w:val="superscript"/>
        </w:rPr>
      </w:pPr>
    </w:p>
    <w:p>
      <w:pPr>
        <w:ind w:left="180" w:hanging="172"/>
        <w:spacing w:after="0" w:line="228" w:lineRule="auto"/>
        <w:tabs>
          <w:tab w:leader="none" w:pos="176" w:val="left"/>
        </w:tabs>
        <w:numPr>
          <w:ilvl w:val="0"/>
          <w:numId w:val="40"/>
        </w:numPr>
        <w:rPr>
          <w:rFonts w:ascii="Arial" w:cs="Arial" w:eastAsia="Arial" w:hAnsi="Arial"/>
          <w:sz w:val="20"/>
          <w:szCs w:val="20"/>
          <w:color w:val="auto"/>
          <w:vertAlign w:val="superscript"/>
        </w:rPr>
      </w:pPr>
      <w:r>
        <w:rPr>
          <w:rFonts w:ascii="Arial" w:cs="Arial" w:eastAsia="Arial" w:hAnsi="Arial"/>
          <w:sz w:val="15"/>
          <w:szCs w:val="15"/>
          <w:color w:val="auto"/>
        </w:rPr>
        <w:t>The risk-free interest rate is based on the continuous compounded yield on U.S. Treasury Constant Maturity Rates with varying remaining terms; the yield is determined over a time period commensurate with the performance period from the grant date.</w:t>
      </w:r>
    </w:p>
    <w:p>
      <w:pPr>
        <w:spacing w:after="0" w:line="56" w:lineRule="exact"/>
        <w:rPr>
          <w:rFonts w:ascii="Arial" w:cs="Arial" w:eastAsia="Arial" w:hAnsi="Arial"/>
          <w:sz w:val="20"/>
          <w:szCs w:val="20"/>
          <w:color w:val="auto"/>
          <w:vertAlign w:val="superscript"/>
        </w:rPr>
      </w:pPr>
    </w:p>
    <w:p>
      <w:pPr>
        <w:ind w:left="180" w:hanging="172"/>
        <w:spacing w:after="0"/>
        <w:tabs>
          <w:tab w:leader="none" w:pos="180" w:val="left"/>
        </w:tabs>
        <w:numPr>
          <w:ilvl w:val="0"/>
          <w:numId w:val="40"/>
        </w:numPr>
        <w:rPr>
          <w:rFonts w:ascii="Arial" w:cs="Arial" w:eastAsia="Arial" w:hAnsi="Arial"/>
          <w:sz w:val="21"/>
          <w:szCs w:val="21"/>
          <w:color w:val="auto"/>
          <w:vertAlign w:val="superscript"/>
        </w:rPr>
      </w:pPr>
      <w:r>
        <w:rPr>
          <w:rFonts w:ascii="Arial" w:cs="Arial" w:eastAsia="Arial" w:hAnsi="Arial"/>
          <w:sz w:val="16"/>
          <w:szCs w:val="16"/>
          <w:color w:val="auto"/>
        </w:rPr>
        <w:t>The stock price is the closing price of our common stock on the valuation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0046AD"/>
        </w:rPr>
        <w:t>Employee Stock Purchase Plan</w:t>
      </w:r>
    </w:p>
    <w:p>
      <w:pPr>
        <w:spacing w:after="0" w:line="50"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Years Ended October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420" w:type="dxa"/>
            <w:vAlign w:val="bottom"/>
            <w:gridSpan w:val="4"/>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5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2"/>
          </w:tcPr>
          <w:p>
            <w:pPr>
              <w:jc w:val="right"/>
              <w:ind w:right="100"/>
              <w:spacing w:after="0" w:line="182" w:lineRule="exact"/>
              <w:rPr>
                <w:sz w:val="20"/>
                <w:szCs w:val="20"/>
                <w:color w:val="auto"/>
              </w:rPr>
            </w:pPr>
            <w:r>
              <w:rPr>
                <w:rFonts w:ascii="Arial" w:cs="Arial" w:eastAsia="Arial" w:hAnsi="Arial"/>
                <w:sz w:val="18"/>
                <w:szCs w:val="18"/>
                <w:b w:val="1"/>
                <w:bCs w:val="1"/>
                <w:color w:val="auto"/>
              </w:rPr>
              <w:t>2021</w:t>
            </w: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70"/>
              <w:spacing w:after="0" w:line="182" w:lineRule="exact"/>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1540" w:type="dxa"/>
            <w:vAlign w:val="bottom"/>
            <w:tcBorders>
              <w:top w:val="single" w:sz="8" w:color="auto"/>
              <w:bottom w:val="single" w:sz="8" w:color="DCE2EF"/>
            </w:tcBorders>
          </w:tcPr>
          <w:p>
            <w:pPr>
              <w:spacing w:after="0" w:line="20" w:lineRule="exact"/>
              <w:rPr>
                <w:sz w:val="1"/>
                <w:szCs w:val="1"/>
                <w:color w:val="auto"/>
              </w:rPr>
            </w:pPr>
          </w:p>
        </w:tc>
        <w:tc>
          <w:tcPr>
            <w:tcW w:w="39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DCE2EF"/>
            </w:tcBorders>
          </w:tcPr>
          <w:p>
            <w:pPr>
              <w:spacing w:after="0" w:line="20" w:lineRule="exact"/>
              <w:rPr>
                <w:sz w:val="1"/>
                <w:szCs w:val="1"/>
                <w:color w:val="auto"/>
              </w:rPr>
            </w:pPr>
          </w:p>
        </w:tc>
        <w:tc>
          <w:tcPr>
            <w:tcW w:w="50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6420" w:type="dxa"/>
            <w:vAlign w:val="bottom"/>
            <w:gridSpan w:val="4"/>
            <w:shd w:val="clear" w:color="auto" w:fill="DCE2EF"/>
          </w:tcPr>
          <w:p>
            <w:pPr>
              <w:spacing w:after="0"/>
              <w:rPr>
                <w:sz w:val="20"/>
                <w:szCs w:val="20"/>
                <w:color w:val="auto"/>
              </w:rPr>
            </w:pPr>
            <w:r>
              <w:rPr>
                <w:rFonts w:ascii="Arial" w:cs="Arial" w:eastAsia="Arial" w:hAnsi="Arial"/>
                <w:sz w:val="18"/>
                <w:szCs w:val="18"/>
                <w:color w:val="auto"/>
              </w:rPr>
              <w:t>Weighted-average fair value of granted purchase rights per share</w:t>
            </w:r>
          </w:p>
        </w:tc>
        <w:tc>
          <w:tcPr>
            <w:tcW w:w="740" w:type="dxa"/>
            <w:vAlign w:val="bottom"/>
            <w:gridSpan w:val="2"/>
            <w:shd w:val="clear" w:color="auto" w:fill="DCE2EF"/>
          </w:tcPr>
          <w:p>
            <w:pPr>
              <w:jc w:val="center"/>
              <w:ind w:left="310"/>
              <w:spacing w:after="0"/>
              <w:rPr>
                <w:sz w:val="20"/>
                <w:szCs w:val="20"/>
                <w:color w:val="auto"/>
              </w:rPr>
            </w:pPr>
            <w:r>
              <w:rPr>
                <w:rFonts w:ascii="Arial" w:cs="Arial" w:eastAsia="Arial" w:hAnsi="Arial"/>
                <w:sz w:val="18"/>
                <w:szCs w:val="18"/>
                <w:color w:val="auto"/>
                <w:w w:val="99"/>
              </w:rPr>
              <w:t>$</w:t>
            </w:r>
          </w:p>
        </w:tc>
        <w:tc>
          <w:tcPr>
            <w:tcW w:w="1100" w:type="dxa"/>
            <w:vAlign w:val="bottom"/>
            <w:gridSpan w:val="6"/>
            <w:shd w:val="clear" w:color="auto" w:fill="DCE2EF"/>
          </w:tcPr>
          <w:p>
            <w:pPr>
              <w:jc w:val="right"/>
              <w:ind w:right="8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4"/>
            <w:shd w:val="clear" w:color="auto" w:fill="DCE2EF"/>
          </w:tcPr>
          <w:p>
            <w:pPr>
              <w:jc w:val="right"/>
              <w:ind w:right="60"/>
              <w:spacing w:after="0"/>
              <w:rPr>
                <w:sz w:val="20"/>
                <w:szCs w:val="20"/>
                <w:color w:val="auto"/>
              </w:rPr>
            </w:pPr>
            <w:r>
              <w:rPr>
                <w:rFonts w:ascii="Arial" w:cs="Arial" w:eastAsia="Arial" w:hAnsi="Arial"/>
                <w:sz w:val="18"/>
                <w:szCs w:val="18"/>
                <w:color w:val="auto"/>
              </w:rPr>
              <w:t>1.75</w:t>
            </w:r>
          </w:p>
        </w:tc>
        <w:tc>
          <w:tcPr>
            <w:tcW w:w="20" w:type="dxa"/>
            <w:vAlign w:val="bottom"/>
            <w:shd w:val="clear" w:color="auto" w:fill="DCE2EF"/>
          </w:tcPr>
          <w:p>
            <w:pPr>
              <w:spacing w:after="0"/>
              <w:rPr>
                <w:sz w:val="19"/>
                <w:szCs w:val="19"/>
                <w:color w:val="auto"/>
              </w:rPr>
            </w:pPr>
          </w:p>
        </w:tc>
        <w:tc>
          <w:tcPr>
            <w:tcW w:w="360" w:type="dxa"/>
            <w:vAlign w:val="bottom"/>
            <w:gridSpan w:val="2"/>
            <w:shd w:val="clear" w:color="auto" w:fill="DCE2E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1.77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gridSpan w:val="4"/>
          </w:tcPr>
          <w:p>
            <w:pPr>
              <w:spacing w:after="0"/>
              <w:rPr>
                <w:sz w:val="20"/>
                <w:szCs w:val="20"/>
                <w:color w:val="auto"/>
              </w:rPr>
            </w:pPr>
            <w:r>
              <w:rPr>
                <w:rFonts w:ascii="Arial" w:cs="Arial" w:eastAsia="Arial" w:hAnsi="Arial"/>
                <w:sz w:val="18"/>
                <w:szCs w:val="18"/>
                <w:color w:val="auto"/>
              </w:rPr>
              <w:t>Common stock issued</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w w:val="87"/>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6420" w:type="dxa"/>
            <w:vAlign w:val="bottom"/>
            <w:gridSpan w:val="4"/>
            <w:shd w:val="clear" w:color="auto" w:fill="DCE2EF"/>
          </w:tcPr>
          <w:p>
            <w:pPr>
              <w:spacing w:after="0"/>
              <w:rPr>
                <w:sz w:val="20"/>
                <w:szCs w:val="20"/>
                <w:color w:val="auto"/>
              </w:rPr>
            </w:pPr>
            <w:r>
              <w:rPr>
                <w:rFonts w:ascii="Arial" w:cs="Arial" w:eastAsia="Arial" w:hAnsi="Arial"/>
                <w:sz w:val="18"/>
                <w:szCs w:val="18"/>
                <w:color w:val="auto"/>
              </w:rPr>
              <w:t>Fair value of common stock issued per share</w:t>
            </w:r>
          </w:p>
        </w:tc>
        <w:tc>
          <w:tcPr>
            <w:tcW w:w="740" w:type="dxa"/>
            <w:vAlign w:val="bottom"/>
            <w:gridSpan w:val="2"/>
            <w:shd w:val="clear" w:color="auto" w:fill="DCE2EF"/>
          </w:tcPr>
          <w:p>
            <w:pPr>
              <w:jc w:val="center"/>
              <w:ind w:left="310"/>
              <w:spacing w:after="0"/>
              <w:rPr>
                <w:sz w:val="20"/>
                <w:szCs w:val="20"/>
                <w:color w:val="auto"/>
              </w:rPr>
            </w:pPr>
            <w:r>
              <w:rPr>
                <w:rFonts w:ascii="Arial" w:cs="Arial" w:eastAsia="Arial" w:hAnsi="Arial"/>
                <w:sz w:val="18"/>
                <w:szCs w:val="18"/>
                <w:color w:val="auto"/>
                <w:w w:val="99"/>
              </w:rPr>
              <w:t>$</w:t>
            </w:r>
          </w:p>
        </w:tc>
        <w:tc>
          <w:tcPr>
            <w:tcW w:w="1100" w:type="dxa"/>
            <w:vAlign w:val="bottom"/>
            <w:gridSpan w:val="6"/>
            <w:shd w:val="clear" w:color="auto" w:fill="DCE2EF"/>
          </w:tcPr>
          <w:p>
            <w:pPr>
              <w:jc w:val="right"/>
              <w:ind w:right="80"/>
              <w:spacing w:after="0"/>
              <w:rPr>
                <w:sz w:val="20"/>
                <w:szCs w:val="20"/>
                <w:color w:val="auto"/>
              </w:rPr>
            </w:pPr>
            <w:r>
              <w:rPr>
                <w:rFonts w:ascii="Arial" w:cs="Arial" w:eastAsia="Arial" w:hAnsi="Arial"/>
                <w:sz w:val="18"/>
                <w:szCs w:val="18"/>
                <w:color w:val="auto"/>
              </w:rPr>
              <w:t>41.18</w:t>
            </w: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4"/>
            <w:shd w:val="clear" w:color="auto" w:fill="DCE2EF"/>
          </w:tcPr>
          <w:p>
            <w:pPr>
              <w:jc w:val="right"/>
              <w:ind w:right="60"/>
              <w:spacing w:after="0"/>
              <w:rPr>
                <w:sz w:val="20"/>
                <w:szCs w:val="20"/>
                <w:color w:val="auto"/>
              </w:rPr>
            </w:pPr>
            <w:r>
              <w:rPr>
                <w:rFonts w:ascii="Arial" w:cs="Arial" w:eastAsia="Arial" w:hAnsi="Arial"/>
                <w:sz w:val="18"/>
                <w:szCs w:val="18"/>
                <w:color w:val="auto"/>
              </w:rPr>
              <w:t>33.18</w:t>
            </w:r>
          </w:p>
        </w:tc>
        <w:tc>
          <w:tcPr>
            <w:tcW w:w="20" w:type="dxa"/>
            <w:vAlign w:val="bottom"/>
            <w:shd w:val="clear" w:color="auto" w:fill="DCE2EF"/>
          </w:tcPr>
          <w:p>
            <w:pPr>
              <w:spacing w:after="0"/>
              <w:rPr>
                <w:sz w:val="19"/>
                <w:szCs w:val="19"/>
                <w:color w:val="auto"/>
              </w:rPr>
            </w:pPr>
          </w:p>
        </w:tc>
        <w:tc>
          <w:tcPr>
            <w:tcW w:w="360" w:type="dxa"/>
            <w:vAlign w:val="bottom"/>
            <w:gridSpan w:val="2"/>
            <w:shd w:val="clear" w:color="auto" w:fill="DCE2E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33.60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gridSpan w:val="4"/>
          </w:tcPr>
          <w:p>
            <w:pPr>
              <w:spacing w:after="0"/>
              <w:rPr>
                <w:sz w:val="20"/>
                <w:szCs w:val="20"/>
                <w:color w:val="auto"/>
              </w:rPr>
            </w:pPr>
            <w:r>
              <w:rPr>
                <w:rFonts w:ascii="Arial" w:cs="Arial" w:eastAsia="Arial" w:hAnsi="Arial"/>
                <w:sz w:val="18"/>
                <w:szCs w:val="18"/>
                <w:color w:val="auto"/>
              </w:rPr>
              <w:t>Aggregate purchases</w:t>
            </w:r>
          </w:p>
        </w:tc>
        <w:tc>
          <w:tcPr>
            <w:tcW w:w="740" w:type="dxa"/>
            <w:vAlign w:val="bottom"/>
            <w:gridSpan w:val="2"/>
          </w:tcPr>
          <w:p>
            <w:pPr>
              <w:jc w:val="center"/>
              <w:ind w:left="310"/>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1"/>
        </w:trPr>
        <w:tc>
          <w:tcPr>
            <w:tcW w:w="6440" w:type="dxa"/>
            <w:vAlign w:val="bottom"/>
            <w:gridSpan w:val="5"/>
          </w:tcPr>
          <w:p>
            <w:pPr>
              <w:spacing w:after="0"/>
              <w:rPr>
                <w:sz w:val="20"/>
                <w:szCs w:val="20"/>
                <w:color w:val="auto"/>
              </w:rPr>
            </w:pPr>
            <w:r>
              <w:rPr>
                <w:rFonts w:ascii="Arial" w:cs="Arial" w:eastAsia="Arial" w:hAnsi="Arial"/>
                <w:sz w:val="18"/>
                <w:szCs w:val="18"/>
                <w:b w:val="1"/>
                <w:bCs w:val="1"/>
                <w:color w:val="0046AD"/>
              </w:rPr>
              <w:t>16. INCOME TAXES</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40" w:type="dxa"/>
            <w:vAlign w:val="bottom"/>
            <w:tcBorders>
              <w:bottom w:val="single" w:sz="8" w:color="E98300"/>
            </w:tcBorders>
            <w:gridSpan w:val="2"/>
          </w:tcPr>
          <w:p>
            <w:pPr>
              <w:spacing w:after="0"/>
              <w:rPr>
                <w:sz w:val="16"/>
                <w:szCs w:val="16"/>
                <w:color w:val="auto"/>
              </w:rPr>
            </w:pPr>
          </w:p>
        </w:tc>
        <w:tc>
          <w:tcPr>
            <w:tcW w:w="5440" w:type="dxa"/>
            <w:vAlign w:val="bottom"/>
            <w:tcBorders>
              <w:bottom w:val="single" w:sz="8" w:color="E98300"/>
            </w:tcBorders>
            <w:gridSpan w:val="2"/>
          </w:tcPr>
          <w:p>
            <w:pPr>
              <w:spacing w:after="0"/>
              <w:rPr>
                <w:sz w:val="16"/>
                <w:szCs w:val="16"/>
                <w:color w:val="auto"/>
              </w:rPr>
            </w:pPr>
          </w:p>
        </w:tc>
        <w:tc>
          <w:tcPr>
            <w:tcW w:w="1000" w:type="dxa"/>
            <w:vAlign w:val="bottom"/>
            <w:tcBorders>
              <w:bottom w:val="single" w:sz="8" w:color="E98300"/>
            </w:tcBorders>
            <w:gridSpan w:val="3"/>
          </w:tcPr>
          <w:p>
            <w:pPr>
              <w:spacing w:after="0"/>
              <w:rPr>
                <w:sz w:val="16"/>
                <w:szCs w:val="16"/>
                <w:color w:val="auto"/>
              </w:rPr>
            </w:pPr>
          </w:p>
        </w:tc>
        <w:tc>
          <w:tcPr>
            <w:tcW w:w="600" w:type="dxa"/>
            <w:vAlign w:val="bottom"/>
            <w:tcBorders>
              <w:bottom w:val="single" w:sz="8" w:color="E98300"/>
            </w:tcBorders>
          </w:tcPr>
          <w:p>
            <w:pPr>
              <w:spacing w:after="0"/>
              <w:rPr>
                <w:sz w:val="16"/>
                <w:szCs w:val="16"/>
                <w:color w:val="auto"/>
              </w:rPr>
            </w:pPr>
          </w:p>
        </w:tc>
        <w:tc>
          <w:tcPr>
            <w:tcW w:w="120" w:type="dxa"/>
            <w:vAlign w:val="bottom"/>
            <w:tcBorders>
              <w:bottom w:val="single" w:sz="8" w:color="E98300"/>
            </w:tcBorders>
          </w:tcPr>
          <w:p>
            <w:pPr>
              <w:spacing w:after="0"/>
              <w:rPr>
                <w:sz w:val="16"/>
                <w:szCs w:val="16"/>
                <w:color w:val="auto"/>
              </w:rPr>
            </w:pPr>
          </w:p>
        </w:tc>
        <w:tc>
          <w:tcPr>
            <w:tcW w:w="60" w:type="dxa"/>
            <w:vAlign w:val="bottom"/>
            <w:tcBorders>
              <w:bottom w:val="single" w:sz="8" w:color="E98300"/>
            </w:tcBorders>
          </w:tcPr>
          <w:p>
            <w:pPr>
              <w:spacing w:after="0"/>
              <w:rPr>
                <w:sz w:val="16"/>
                <w:szCs w:val="16"/>
                <w:color w:val="auto"/>
              </w:rPr>
            </w:pPr>
          </w:p>
        </w:tc>
        <w:tc>
          <w:tcPr>
            <w:tcW w:w="20" w:type="dxa"/>
            <w:vAlign w:val="bottom"/>
            <w:tcBorders>
              <w:bottom w:val="single" w:sz="8" w:color="E98300"/>
            </w:tcBorders>
          </w:tcPr>
          <w:p>
            <w:pPr>
              <w:spacing w:after="0"/>
              <w:rPr>
                <w:sz w:val="16"/>
                <w:szCs w:val="16"/>
                <w:color w:val="auto"/>
              </w:rPr>
            </w:pPr>
          </w:p>
        </w:tc>
        <w:tc>
          <w:tcPr>
            <w:tcW w:w="100" w:type="dxa"/>
            <w:vAlign w:val="bottom"/>
            <w:tcBorders>
              <w:bottom w:val="single" w:sz="8" w:color="E98300"/>
            </w:tcBorders>
          </w:tcPr>
          <w:p>
            <w:pPr>
              <w:spacing w:after="0"/>
              <w:rPr>
                <w:sz w:val="16"/>
                <w:szCs w:val="16"/>
                <w:color w:val="auto"/>
              </w:rPr>
            </w:pPr>
          </w:p>
        </w:tc>
        <w:tc>
          <w:tcPr>
            <w:tcW w:w="200" w:type="dxa"/>
            <w:vAlign w:val="bottom"/>
            <w:tcBorders>
              <w:bottom w:val="single" w:sz="8" w:color="E98300"/>
            </w:tcBorders>
          </w:tcPr>
          <w:p>
            <w:pPr>
              <w:spacing w:after="0"/>
              <w:rPr>
                <w:sz w:val="16"/>
                <w:szCs w:val="16"/>
                <w:color w:val="auto"/>
              </w:rPr>
            </w:pPr>
          </w:p>
        </w:tc>
        <w:tc>
          <w:tcPr>
            <w:tcW w:w="120" w:type="dxa"/>
            <w:vAlign w:val="bottom"/>
            <w:tcBorders>
              <w:bottom w:val="single" w:sz="8" w:color="E98300"/>
            </w:tcBorders>
          </w:tcPr>
          <w:p>
            <w:pPr>
              <w:spacing w:after="0"/>
              <w:rPr>
                <w:sz w:val="16"/>
                <w:szCs w:val="16"/>
                <w:color w:val="auto"/>
              </w:rPr>
            </w:pPr>
          </w:p>
        </w:tc>
        <w:tc>
          <w:tcPr>
            <w:tcW w:w="180" w:type="dxa"/>
            <w:vAlign w:val="bottom"/>
            <w:tcBorders>
              <w:bottom w:val="single" w:sz="8" w:color="E98300"/>
            </w:tcBorders>
          </w:tcPr>
          <w:p>
            <w:pPr>
              <w:spacing w:after="0"/>
              <w:rPr>
                <w:sz w:val="16"/>
                <w:szCs w:val="16"/>
                <w:color w:val="auto"/>
              </w:rPr>
            </w:pPr>
          </w:p>
        </w:tc>
        <w:tc>
          <w:tcPr>
            <w:tcW w:w="940" w:type="dxa"/>
            <w:vAlign w:val="bottom"/>
            <w:tcBorders>
              <w:bottom w:val="single" w:sz="8" w:color="E98300"/>
            </w:tcBorders>
          </w:tcPr>
          <w:p>
            <w:pPr>
              <w:spacing w:after="0"/>
              <w:rPr>
                <w:sz w:val="16"/>
                <w:szCs w:val="16"/>
                <w:color w:val="auto"/>
              </w:rPr>
            </w:pPr>
          </w:p>
        </w:tc>
        <w:tc>
          <w:tcPr>
            <w:tcW w:w="80" w:type="dxa"/>
            <w:vAlign w:val="bottom"/>
            <w:tcBorders>
              <w:bottom w:val="single" w:sz="8" w:color="E98300"/>
            </w:tcBorders>
          </w:tcPr>
          <w:p>
            <w:pPr>
              <w:spacing w:after="0"/>
              <w:rPr>
                <w:sz w:val="16"/>
                <w:szCs w:val="16"/>
                <w:color w:val="auto"/>
              </w:rPr>
            </w:pPr>
          </w:p>
        </w:tc>
        <w:tc>
          <w:tcPr>
            <w:tcW w:w="20" w:type="dxa"/>
            <w:vAlign w:val="bottom"/>
            <w:tcBorders>
              <w:bottom w:val="single" w:sz="8" w:color="E98300"/>
            </w:tcBorders>
          </w:tcPr>
          <w:p>
            <w:pPr>
              <w:spacing w:after="0"/>
              <w:rPr>
                <w:sz w:val="16"/>
                <w:szCs w:val="16"/>
                <w:color w:val="auto"/>
              </w:rPr>
            </w:pPr>
          </w:p>
        </w:tc>
        <w:tc>
          <w:tcPr>
            <w:tcW w:w="100" w:type="dxa"/>
            <w:vAlign w:val="bottom"/>
            <w:tcBorders>
              <w:bottom w:val="single" w:sz="8" w:color="E98300"/>
            </w:tcBorders>
          </w:tcPr>
          <w:p>
            <w:pPr>
              <w:spacing w:after="0"/>
              <w:rPr>
                <w:sz w:val="16"/>
                <w:szCs w:val="16"/>
                <w:color w:val="auto"/>
              </w:rPr>
            </w:pPr>
          </w:p>
        </w:tc>
        <w:tc>
          <w:tcPr>
            <w:tcW w:w="20" w:type="dxa"/>
            <w:vAlign w:val="bottom"/>
            <w:tcBorders>
              <w:bottom w:val="single" w:sz="8" w:color="E98300"/>
            </w:tcBorders>
          </w:tcPr>
          <w:p>
            <w:pPr>
              <w:spacing w:after="0"/>
              <w:rPr>
                <w:sz w:val="16"/>
                <w:szCs w:val="16"/>
                <w:color w:val="auto"/>
              </w:rPr>
            </w:pPr>
          </w:p>
        </w:tc>
        <w:tc>
          <w:tcPr>
            <w:tcW w:w="100" w:type="dxa"/>
            <w:vAlign w:val="bottom"/>
            <w:tcBorders>
              <w:bottom w:val="single" w:sz="8" w:color="E98300"/>
            </w:tcBorders>
          </w:tcPr>
          <w:p>
            <w:pPr>
              <w:spacing w:after="0"/>
              <w:rPr>
                <w:sz w:val="16"/>
                <w:szCs w:val="16"/>
                <w:color w:val="auto"/>
              </w:rPr>
            </w:pPr>
          </w:p>
        </w:tc>
        <w:tc>
          <w:tcPr>
            <w:tcW w:w="260" w:type="dxa"/>
            <w:vAlign w:val="bottom"/>
            <w:tcBorders>
              <w:bottom w:val="single" w:sz="8" w:color="E98300"/>
            </w:tcBorders>
          </w:tcPr>
          <w:p>
            <w:pPr>
              <w:spacing w:after="0"/>
              <w:rPr>
                <w:sz w:val="16"/>
                <w:szCs w:val="16"/>
                <w:color w:val="auto"/>
              </w:rPr>
            </w:pPr>
          </w:p>
        </w:tc>
        <w:tc>
          <w:tcPr>
            <w:tcW w:w="1080" w:type="dxa"/>
            <w:vAlign w:val="bottom"/>
            <w:tcBorders>
              <w:bottom w:val="single" w:sz="8" w:color="E98300"/>
            </w:tcBorders>
          </w:tcPr>
          <w:p>
            <w:pPr>
              <w:spacing w:after="0"/>
              <w:rPr>
                <w:sz w:val="16"/>
                <w:szCs w:val="16"/>
                <w:color w:val="auto"/>
              </w:rPr>
            </w:pPr>
          </w:p>
        </w:tc>
        <w:tc>
          <w:tcPr>
            <w:tcW w:w="40" w:type="dxa"/>
            <w:vAlign w:val="bottom"/>
            <w:tcBorders>
              <w:bottom w:val="single" w:sz="8" w:color="E98300"/>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7180" w:type="dxa"/>
            <w:vAlign w:val="bottom"/>
            <w:gridSpan w:val="7"/>
          </w:tcPr>
          <w:p>
            <w:pPr>
              <w:spacing w:after="0"/>
              <w:rPr>
                <w:sz w:val="20"/>
                <w:szCs w:val="20"/>
                <w:color w:val="auto"/>
              </w:rPr>
            </w:pPr>
            <w:r>
              <w:rPr>
                <w:rFonts w:ascii="Arial" w:cs="Arial" w:eastAsia="Arial" w:hAnsi="Arial"/>
                <w:sz w:val="18"/>
                <w:szCs w:val="18"/>
                <w:b w:val="1"/>
                <w:bCs w:val="1"/>
                <w:color w:val="0046AD"/>
              </w:rPr>
              <w:t>Geographic Sources of Income from Continuing Operations Before Income Taxes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5"/>
          </w:tcPr>
          <w:p>
            <w:pPr>
              <w:jc w:val="center"/>
              <w:ind w:left="310"/>
              <w:spacing w:after="0"/>
              <w:rPr>
                <w:sz w:val="20"/>
                <w:szCs w:val="20"/>
                <w:color w:val="auto"/>
              </w:rPr>
            </w:pPr>
            <w:r>
              <w:rPr>
                <w:rFonts w:ascii="Arial" w:cs="Arial" w:eastAsia="Arial" w:hAnsi="Arial"/>
                <w:sz w:val="18"/>
                <w:szCs w:val="18"/>
                <w:b w:val="1"/>
                <w:bCs w:val="1"/>
                <w:color w:val="auto"/>
                <w:w w:val="99"/>
              </w:rPr>
              <w:t>Years Ended October 31,</w:t>
            </w: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20" w:type="dxa"/>
            <w:vAlign w:val="bottom"/>
            <w:gridSpan w:val="4"/>
          </w:tcPr>
          <w:p>
            <w:pPr>
              <w:spacing w:after="0"/>
              <w:rPr>
                <w:sz w:val="20"/>
                <w:szCs w:val="20"/>
                <w:color w:val="auto"/>
              </w:rPr>
            </w:pPr>
            <w:r>
              <w:rPr>
                <w:rFonts w:ascii="Arial" w:cs="Arial" w:eastAsia="Arial" w:hAnsi="Arial"/>
                <w:sz w:val="14"/>
                <w:szCs w:val="14"/>
                <w:i w:val="1"/>
                <w:iCs w:val="1"/>
                <w:color w:val="auto"/>
              </w:rPr>
              <w:t>(in millions)</w:t>
            </w:r>
          </w:p>
        </w:tc>
        <w:tc>
          <w:tcPr>
            <w:tcW w:w="1340" w:type="dxa"/>
            <w:vAlign w:val="bottom"/>
            <w:gridSpan w:val="3"/>
          </w:tcPr>
          <w:p>
            <w:pPr>
              <w:jc w:val="right"/>
              <w:ind w:right="27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30"/>
              <w:spacing w:after="0" w:line="182" w:lineRule="exact"/>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410"/>
              <w:spacing w:after="0" w:line="182" w:lineRule="exact"/>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1540" w:type="dxa"/>
            <w:vAlign w:val="bottom"/>
            <w:tcBorders>
              <w:bottom w:val="single" w:sz="8" w:color="DCE2EF"/>
            </w:tcBorders>
          </w:tcPr>
          <w:p>
            <w:pPr>
              <w:spacing w:after="0" w:line="20" w:lineRule="exact"/>
              <w:rPr>
                <w:sz w:val="1"/>
                <w:szCs w:val="1"/>
                <w:color w:val="auto"/>
              </w:rPr>
            </w:pPr>
          </w:p>
        </w:tc>
        <w:tc>
          <w:tcPr>
            <w:tcW w:w="39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DCE2E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6420" w:type="dxa"/>
            <w:vAlign w:val="bottom"/>
            <w:gridSpan w:val="4"/>
            <w:shd w:val="clear" w:color="auto" w:fill="DCE2EF"/>
          </w:tcPr>
          <w:p>
            <w:pPr>
              <w:spacing w:after="0"/>
              <w:rPr>
                <w:sz w:val="20"/>
                <w:szCs w:val="20"/>
                <w:color w:val="auto"/>
              </w:rPr>
            </w:pPr>
            <w:r>
              <w:rPr>
                <w:rFonts w:ascii="Arial" w:cs="Arial" w:eastAsia="Arial" w:hAnsi="Arial"/>
                <w:sz w:val="18"/>
                <w:szCs w:val="18"/>
                <w:color w:val="auto"/>
              </w:rPr>
              <w:t>United States</w:t>
            </w:r>
          </w:p>
        </w:tc>
        <w:tc>
          <w:tcPr>
            <w:tcW w:w="500" w:type="dxa"/>
            <w:vAlign w:val="bottom"/>
            <w:shd w:val="clear" w:color="auto" w:fill="DCE2EF"/>
          </w:tcPr>
          <w:p>
            <w:pPr>
              <w:jc w:val="right"/>
              <w:ind w:right="29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DCE2EF"/>
          </w:tcPr>
          <w:p>
            <w:pPr>
              <w:spacing w:after="0"/>
              <w:rPr>
                <w:sz w:val="19"/>
                <w:szCs w:val="19"/>
                <w:color w:val="auto"/>
              </w:rPr>
            </w:pPr>
          </w:p>
        </w:tc>
        <w:tc>
          <w:tcPr>
            <w:tcW w:w="780" w:type="dxa"/>
            <w:vAlign w:val="bottom"/>
            <w:gridSpan w:val="3"/>
            <w:shd w:val="clear" w:color="auto" w:fill="DCE2EF"/>
          </w:tcPr>
          <w:p>
            <w:pPr>
              <w:jc w:val="right"/>
              <w:ind w:right="60"/>
              <w:spacing w:after="0"/>
              <w:rPr>
                <w:sz w:val="20"/>
                <w:szCs w:val="20"/>
                <w:color w:val="auto"/>
              </w:rPr>
            </w:pPr>
            <w:r>
              <w:rPr>
                <w:rFonts w:ascii="Arial" w:cs="Arial" w:eastAsia="Arial" w:hAnsi="Arial"/>
                <w:sz w:val="18"/>
                <w:szCs w:val="18"/>
                <w:color w:val="auto"/>
              </w:rPr>
              <w:t>152.8</w:t>
            </w:r>
          </w:p>
        </w:tc>
        <w:tc>
          <w:tcPr>
            <w:tcW w:w="320" w:type="dxa"/>
            <w:vAlign w:val="bottom"/>
            <w:gridSpan w:val="3"/>
            <w:shd w:val="clear" w:color="auto" w:fill="DCE2E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020" w:type="dxa"/>
            <w:vAlign w:val="bottom"/>
            <w:gridSpan w:val="2"/>
            <w:shd w:val="clear" w:color="auto" w:fill="DCE2EF"/>
          </w:tcPr>
          <w:p>
            <w:pPr>
              <w:jc w:val="right"/>
              <w:ind w:right="80"/>
              <w:spacing w:after="0"/>
              <w:rPr>
                <w:sz w:val="20"/>
                <w:szCs w:val="20"/>
                <w:color w:val="auto"/>
              </w:rPr>
            </w:pPr>
            <w:r>
              <w:rPr>
                <w:rFonts w:ascii="Arial" w:cs="Arial" w:eastAsia="Arial" w:hAnsi="Arial"/>
                <w:sz w:val="18"/>
                <w:szCs w:val="18"/>
                <w:color w:val="auto"/>
              </w:rPr>
              <w:t>45.2</w:t>
            </w: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137.1</w:t>
            </w:r>
          </w:p>
        </w:tc>
        <w:tc>
          <w:tcPr>
            <w:tcW w:w="4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DCE2EF"/>
            </w:tcBorders>
          </w:tcPr>
          <w:p>
            <w:pPr>
              <w:spacing w:after="0"/>
              <w:rPr>
                <w:sz w:val="19"/>
                <w:szCs w:val="19"/>
                <w:color w:val="auto"/>
              </w:rPr>
            </w:pPr>
          </w:p>
        </w:tc>
        <w:tc>
          <w:tcPr>
            <w:tcW w:w="6420" w:type="dxa"/>
            <w:vAlign w:val="bottom"/>
            <w:tcBorders>
              <w:bottom w:val="single" w:sz="8" w:color="DCE2EF"/>
            </w:tcBorders>
            <w:gridSpan w:val="4"/>
          </w:tcPr>
          <w:p>
            <w:pPr>
              <w:spacing w:after="0"/>
              <w:rPr>
                <w:sz w:val="20"/>
                <w:szCs w:val="20"/>
                <w:color w:val="auto"/>
              </w:rPr>
            </w:pPr>
            <w:r>
              <w:rPr>
                <w:rFonts w:ascii="Arial" w:cs="Arial" w:eastAsia="Arial" w:hAnsi="Arial"/>
                <w:sz w:val="18"/>
                <w:szCs w:val="18"/>
                <w:color w:val="auto"/>
              </w:rPr>
              <w:t>Foreign</w:t>
            </w:r>
          </w:p>
        </w:tc>
        <w:tc>
          <w:tcPr>
            <w:tcW w:w="5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27.0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CE2E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DCE2EF"/>
            </w:tcBorders>
          </w:tcPr>
          <w:p>
            <w:pPr>
              <w:spacing w:after="0"/>
              <w:rPr>
                <w:sz w:val="19"/>
                <w:szCs w:val="19"/>
                <w:color w:val="auto"/>
              </w:rPr>
            </w:pPr>
          </w:p>
        </w:tc>
        <w:tc>
          <w:tcPr>
            <w:tcW w:w="100" w:type="dxa"/>
            <w:vAlign w:val="bottom"/>
            <w:tcBorders>
              <w:bottom w:val="single" w:sz="8" w:color="DCE2E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DCE2EF"/>
          </w:tcPr>
          <w:p>
            <w:pPr>
              <w:spacing w:after="0"/>
              <w:rPr>
                <w:sz w:val="21"/>
                <w:szCs w:val="21"/>
                <w:color w:val="auto"/>
              </w:rPr>
            </w:pPr>
          </w:p>
        </w:tc>
        <w:tc>
          <w:tcPr>
            <w:tcW w:w="6420" w:type="dxa"/>
            <w:vAlign w:val="bottom"/>
            <w:gridSpan w:val="4"/>
            <w:shd w:val="clear" w:color="auto" w:fill="DCE2EF"/>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500" w:type="dxa"/>
            <w:vAlign w:val="bottom"/>
            <w:shd w:val="clear" w:color="auto" w:fill="DCE2EF"/>
          </w:tcPr>
          <w:p>
            <w:pPr>
              <w:jc w:val="right"/>
              <w:ind w:right="29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DCE2EF"/>
          </w:tcPr>
          <w:p>
            <w:pPr>
              <w:spacing w:after="0"/>
              <w:rPr>
                <w:sz w:val="21"/>
                <w:szCs w:val="21"/>
                <w:color w:val="auto"/>
              </w:rPr>
            </w:pPr>
          </w:p>
        </w:tc>
        <w:tc>
          <w:tcPr>
            <w:tcW w:w="780" w:type="dxa"/>
            <w:vAlign w:val="bottom"/>
            <w:gridSpan w:val="3"/>
            <w:shd w:val="clear" w:color="auto" w:fill="DCE2EF"/>
          </w:tcPr>
          <w:p>
            <w:pPr>
              <w:jc w:val="right"/>
              <w:ind w:right="60"/>
              <w:spacing w:after="0"/>
              <w:rPr>
                <w:sz w:val="20"/>
                <w:szCs w:val="20"/>
                <w:color w:val="auto"/>
              </w:rPr>
            </w:pPr>
            <w:r>
              <w:rPr>
                <w:rFonts w:ascii="Arial" w:cs="Arial" w:eastAsia="Arial" w:hAnsi="Arial"/>
                <w:sz w:val="18"/>
                <w:szCs w:val="18"/>
                <w:color w:val="auto"/>
              </w:rPr>
              <w:t>179.8</w:t>
            </w:r>
          </w:p>
        </w:tc>
        <w:tc>
          <w:tcPr>
            <w:tcW w:w="320" w:type="dxa"/>
            <w:vAlign w:val="bottom"/>
            <w:gridSpan w:val="3"/>
            <w:shd w:val="clear" w:color="auto" w:fill="DCE2E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DCE2EF"/>
          </w:tcPr>
          <w:p>
            <w:pPr>
              <w:spacing w:after="0"/>
              <w:rPr>
                <w:sz w:val="21"/>
                <w:szCs w:val="21"/>
                <w:color w:val="auto"/>
              </w:rPr>
            </w:pPr>
          </w:p>
        </w:tc>
        <w:tc>
          <w:tcPr>
            <w:tcW w:w="180" w:type="dxa"/>
            <w:vAlign w:val="bottom"/>
            <w:shd w:val="clear" w:color="auto" w:fill="DCE2EF"/>
          </w:tcPr>
          <w:p>
            <w:pPr>
              <w:spacing w:after="0"/>
              <w:rPr>
                <w:sz w:val="21"/>
                <w:szCs w:val="21"/>
                <w:color w:val="auto"/>
              </w:rPr>
            </w:pPr>
          </w:p>
        </w:tc>
        <w:tc>
          <w:tcPr>
            <w:tcW w:w="1020" w:type="dxa"/>
            <w:vAlign w:val="bottom"/>
            <w:gridSpan w:val="2"/>
            <w:shd w:val="clear" w:color="auto" w:fill="DCE2EF"/>
          </w:tcPr>
          <w:p>
            <w:pPr>
              <w:jc w:val="right"/>
              <w:ind w:right="80"/>
              <w:spacing w:after="0"/>
              <w:rPr>
                <w:sz w:val="20"/>
                <w:szCs w:val="20"/>
                <w:color w:val="auto"/>
              </w:rPr>
            </w:pPr>
            <w:r>
              <w:rPr>
                <w:rFonts w:ascii="Arial" w:cs="Arial" w:eastAsia="Arial" w:hAnsi="Arial"/>
                <w:sz w:val="18"/>
                <w:szCs w:val="18"/>
                <w:color w:val="auto"/>
              </w:rPr>
              <w:t>53.3</w:t>
            </w:r>
          </w:p>
        </w:tc>
        <w:tc>
          <w:tcPr>
            <w:tcW w:w="2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20" w:type="dxa"/>
            <w:vAlign w:val="bottom"/>
            <w:shd w:val="clear" w:color="auto" w:fill="DCE2EF"/>
          </w:tcPr>
          <w:p>
            <w:pPr>
              <w:spacing w:after="0"/>
              <w:rPr>
                <w:sz w:val="21"/>
                <w:szCs w:val="21"/>
                <w:color w:val="auto"/>
              </w:rPr>
            </w:pPr>
          </w:p>
        </w:tc>
        <w:tc>
          <w:tcPr>
            <w:tcW w:w="1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DCE2EF"/>
          </w:tcPr>
          <w:p>
            <w:pPr>
              <w:spacing w:after="0"/>
              <w:rPr>
                <w:sz w:val="21"/>
                <w:szCs w:val="21"/>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160.2</w:t>
            </w:r>
          </w:p>
        </w:tc>
        <w:tc>
          <w:tcPr>
            <w:tcW w:w="40" w:type="dxa"/>
            <w:vAlign w:val="bottom"/>
            <w:shd w:val="clear" w:color="auto" w:fill="DCE2EF"/>
          </w:tcPr>
          <w:p>
            <w:pPr>
              <w:spacing w:after="0"/>
              <w:rPr>
                <w:sz w:val="21"/>
                <w:szCs w:val="21"/>
                <w:color w:val="auto"/>
              </w:rPr>
            </w:pPr>
          </w:p>
        </w:tc>
        <w:tc>
          <w:tcPr>
            <w:tcW w:w="20" w:type="dxa"/>
            <w:vAlign w:val="bottom"/>
            <w:shd w:val="clear" w:color="auto" w:fill="DCE2E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DCE2EF"/>
              <w:bottom w:val="single" w:sz="8" w:color="DCE2EF"/>
            </w:tcBorders>
            <w:gridSpan w:val="5"/>
            <w:vMerge w:val="restart"/>
          </w:tcPr>
          <w:p>
            <w:pPr>
              <w:spacing w:after="0"/>
              <w:rPr>
                <w:sz w:val="20"/>
                <w:szCs w:val="20"/>
                <w:color w:val="auto"/>
              </w:rPr>
            </w:pPr>
            <w:r>
              <w:rPr>
                <w:rFonts w:ascii="Arial" w:cs="Arial" w:eastAsia="Arial" w:hAnsi="Arial"/>
                <w:sz w:val="18"/>
                <w:szCs w:val="18"/>
                <w:b w:val="1"/>
                <w:bCs w:val="1"/>
                <w:color w:val="0046AD"/>
              </w:rPr>
              <w:t>Components of Income Tax (Provision) Benefit</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440" w:type="dxa"/>
            <w:vAlign w:val="bottom"/>
            <w:gridSpan w:val="5"/>
            <w:vMerge w:val="continue"/>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5"/>
          </w:tcPr>
          <w:p>
            <w:pPr>
              <w:jc w:val="center"/>
              <w:ind w:left="310"/>
              <w:spacing w:after="0"/>
              <w:rPr>
                <w:sz w:val="20"/>
                <w:szCs w:val="20"/>
                <w:color w:val="auto"/>
              </w:rPr>
            </w:pPr>
            <w:r>
              <w:rPr>
                <w:rFonts w:ascii="Arial" w:cs="Arial" w:eastAsia="Arial" w:hAnsi="Arial"/>
                <w:sz w:val="18"/>
                <w:szCs w:val="18"/>
                <w:b w:val="1"/>
                <w:bCs w:val="1"/>
                <w:color w:val="auto"/>
                <w:w w:val="99"/>
              </w:rPr>
              <w:t>Years Ended October 31,</w:t>
            </w: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20" w:type="dxa"/>
            <w:vAlign w:val="bottom"/>
            <w:gridSpan w:val="4"/>
          </w:tcPr>
          <w:p>
            <w:pPr>
              <w:spacing w:after="0"/>
              <w:rPr>
                <w:sz w:val="20"/>
                <w:szCs w:val="20"/>
                <w:color w:val="auto"/>
              </w:rPr>
            </w:pPr>
            <w:r>
              <w:rPr>
                <w:rFonts w:ascii="Arial" w:cs="Arial" w:eastAsia="Arial" w:hAnsi="Arial"/>
                <w:sz w:val="14"/>
                <w:szCs w:val="14"/>
                <w:i w:val="1"/>
                <w:iCs w:val="1"/>
                <w:color w:val="auto"/>
              </w:rPr>
              <w:t>(in millions)</w:t>
            </w:r>
          </w:p>
        </w:tc>
        <w:tc>
          <w:tcPr>
            <w:tcW w:w="1340" w:type="dxa"/>
            <w:vAlign w:val="bottom"/>
            <w:gridSpan w:val="3"/>
          </w:tcPr>
          <w:p>
            <w:pPr>
              <w:jc w:val="right"/>
              <w:ind w:right="27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30"/>
              <w:spacing w:after="0" w:line="182" w:lineRule="exact"/>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410"/>
              <w:spacing w:after="0" w:line="182" w:lineRule="exact"/>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1540" w:type="dxa"/>
            <w:vAlign w:val="bottom"/>
            <w:tcBorders>
              <w:bottom w:val="single" w:sz="8" w:color="DCE2EF"/>
            </w:tcBorders>
          </w:tcPr>
          <w:p>
            <w:pPr>
              <w:spacing w:after="0" w:line="20" w:lineRule="exact"/>
              <w:rPr>
                <w:sz w:val="1"/>
                <w:szCs w:val="1"/>
                <w:color w:val="auto"/>
              </w:rPr>
            </w:pPr>
          </w:p>
        </w:tc>
        <w:tc>
          <w:tcPr>
            <w:tcW w:w="39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DCE2E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6420" w:type="dxa"/>
            <w:vAlign w:val="bottom"/>
            <w:gridSpan w:val="4"/>
            <w:shd w:val="clear" w:color="auto" w:fill="DCE2EF"/>
          </w:tcPr>
          <w:p>
            <w:pPr>
              <w:spacing w:after="0"/>
              <w:rPr>
                <w:sz w:val="20"/>
                <w:szCs w:val="20"/>
                <w:color w:val="auto"/>
              </w:rPr>
            </w:pPr>
            <w:r>
              <w:rPr>
                <w:rFonts w:ascii="Arial" w:cs="Arial" w:eastAsia="Arial" w:hAnsi="Arial"/>
                <w:sz w:val="18"/>
                <w:szCs w:val="18"/>
                <w:b w:val="1"/>
                <w:bCs w:val="1"/>
                <w:i w:val="1"/>
                <w:iCs w:val="1"/>
                <w:color w:val="auto"/>
              </w:rPr>
              <w:t>Current:</w:t>
            </w:r>
          </w:p>
        </w:tc>
        <w:tc>
          <w:tcPr>
            <w:tcW w:w="5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6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6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94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1080" w:type="dxa"/>
            <w:vAlign w:val="bottom"/>
            <w:shd w:val="clear" w:color="auto" w:fill="DCE2EF"/>
          </w:tcPr>
          <w:p>
            <w:pPr>
              <w:spacing w:after="0"/>
              <w:rPr>
                <w:sz w:val="18"/>
                <w:szCs w:val="18"/>
                <w:color w:val="auto"/>
              </w:rPr>
            </w:pPr>
          </w:p>
        </w:tc>
        <w:tc>
          <w:tcPr>
            <w:tcW w:w="4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4"/>
          </w:tcPr>
          <w:p>
            <w:pPr>
              <w:ind w:left="120"/>
              <w:spacing w:after="0"/>
              <w:rPr>
                <w:sz w:val="20"/>
                <w:szCs w:val="20"/>
                <w:color w:val="auto"/>
              </w:rPr>
            </w:pPr>
            <w:r>
              <w:rPr>
                <w:rFonts w:ascii="Arial" w:cs="Arial" w:eastAsia="Arial" w:hAnsi="Arial"/>
                <w:sz w:val="18"/>
                <w:szCs w:val="18"/>
                <w:color w:val="auto"/>
              </w:rPr>
              <w:t>Federal</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(66.3)</w:t>
            </w: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20" w:type="dxa"/>
            <w:vAlign w:val="bottom"/>
            <w:shd w:val="clear" w:color="auto" w:fill="DCE2EF"/>
          </w:tcPr>
          <w:p>
            <w:pPr>
              <w:spacing w:after="0"/>
              <w:rPr>
                <w:sz w:val="19"/>
                <w:szCs w:val="19"/>
                <w:color w:val="auto"/>
              </w:rPr>
            </w:pPr>
          </w:p>
        </w:tc>
        <w:tc>
          <w:tcPr>
            <w:tcW w:w="6420" w:type="dxa"/>
            <w:vAlign w:val="bottom"/>
            <w:gridSpan w:val="4"/>
            <w:shd w:val="clear" w:color="auto" w:fill="DCE2EF"/>
          </w:tcPr>
          <w:p>
            <w:pPr>
              <w:ind w:left="120"/>
              <w:spacing w:after="0"/>
              <w:rPr>
                <w:sz w:val="20"/>
                <w:szCs w:val="20"/>
                <w:color w:val="auto"/>
              </w:rPr>
            </w:pPr>
            <w:r>
              <w:rPr>
                <w:rFonts w:ascii="Arial" w:cs="Arial" w:eastAsia="Arial" w:hAnsi="Arial"/>
                <w:sz w:val="18"/>
                <w:szCs w:val="18"/>
                <w:color w:val="auto"/>
              </w:rPr>
              <w:t>State</w:t>
            </w:r>
          </w:p>
        </w:tc>
        <w:tc>
          <w:tcPr>
            <w:tcW w:w="50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780" w:type="dxa"/>
            <w:vAlign w:val="bottom"/>
            <w:gridSpan w:val="3"/>
            <w:shd w:val="clear" w:color="auto" w:fill="DCE2EF"/>
          </w:tcPr>
          <w:p>
            <w:pPr>
              <w:jc w:val="right"/>
              <w:ind w:right="20"/>
              <w:spacing w:after="0"/>
              <w:rPr>
                <w:sz w:val="20"/>
                <w:szCs w:val="20"/>
                <w:color w:val="auto"/>
              </w:rPr>
            </w:pPr>
            <w:r>
              <w:rPr>
                <w:rFonts w:ascii="Arial" w:cs="Arial" w:eastAsia="Arial" w:hAnsi="Arial"/>
                <w:sz w:val="18"/>
                <w:szCs w:val="18"/>
                <w:color w:val="auto"/>
              </w:rPr>
              <w:t>(27.4)</w:t>
            </w: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020" w:type="dxa"/>
            <w:vAlign w:val="bottom"/>
            <w:gridSpan w:val="2"/>
            <w:shd w:val="clear" w:color="auto" w:fill="DCE2EF"/>
          </w:tcPr>
          <w:p>
            <w:pPr>
              <w:jc w:val="right"/>
              <w:ind w:right="20"/>
              <w:spacing w:after="0"/>
              <w:rPr>
                <w:sz w:val="20"/>
                <w:szCs w:val="20"/>
                <w:color w:val="auto"/>
              </w:rPr>
            </w:pPr>
            <w:r>
              <w:rPr>
                <w:rFonts w:ascii="Arial" w:cs="Arial" w:eastAsia="Arial" w:hAnsi="Arial"/>
                <w:sz w:val="18"/>
                <w:szCs w:val="18"/>
                <w:color w:val="auto"/>
              </w:rPr>
              <w:t>(28.6)</w:t>
            </w: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140" w:type="dxa"/>
            <w:vAlign w:val="bottom"/>
            <w:gridSpan w:val="3"/>
            <w:shd w:val="clear" w:color="auto" w:fill="DCE2EF"/>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4"/>
          </w:tcPr>
          <w:p>
            <w:pPr>
              <w:ind w:left="120"/>
              <w:spacing w:after="0"/>
              <w:rPr>
                <w:sz w:val="20"/>
                <w:szCs w:val="20"/>
                <w:color w:val="auto"/>
              </w:rPr>
            </w:pPr>
            <w:r>
              <w:rPr>
                <w:rFonts w:ascii="Arial" w:cs="Arial" w:eastAsia="Arial" w:hAnsi="Arial"/>
                <w:sz w:val="18"/>
                <w:szCs w:val="18"/>
                <w:color w:val="auto"/>
              </w:rPr>
              <w:t>Foreign</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6420" w:type="dxa"/>
            <w:vAlign w:val="bottom"/>
            <w:gridSpan w:val="4"/>
            <w:shd w:val="clear" w:color="auto" w:fill="DCE2EF"/>
          </w:tcPr>
          <w:p>
            <w:pPr>
              <w:spacing w:after="0"/>
              <w:rPr>
                <w:sz w:val="20"/>
                <w:szCs w:val="20"/>
                <w:color w:val="auto"/>
              </w:rPr>
            </w:pPr>
            <w:r>
              <w:rPr>
                <w:rFonts w:ascii="Arial" w:cs="Arial" w:eastAsia="Arial" w:hAnsi="Arial"/>
                <w:sz w:val="18"/>
                <w:szCs w:val="18"/>
                <w:b w:val="1"/>
                <w:bCs w:val="1"/>
                <w:i w:val="1"/>
                <w:iCs w:val="1"/>
                <w:color w:val="auto"/>
              </w:rPr>
              <w:t>Deferred:</w:t>
            </w:r>
          </w:p>
        </w:tc>
        <w:tc>
          <w:tcPr>
            <w:tcW w:w="50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6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94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080" w:type="dxa"/>
            <w:vAlign w:val="bottom"/>
            <w:shd w:val="clear" w:color="auto" w:fill="DCE2EF"/>
          </w:tcPr>
          <w:p>
            <w:pPr>
              <w:spacing w:after="0"/>
              <w:rPr>
                <w:sz w:val="19"/>
                <w:szCs w:val="19"/>
                <w:color w:val="auto"/>
              </w:rPr>
            </w:pPr>
          </w:p>
        </w:tc>
        <w:tc>
          <w:tcPr>
            <w:tcW w:w="4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4"/>
          </w:tcPr>
          <w:p>
            <w:pPr>
              <w:ind w:left="120"/>
              <w:spacing w:after="0"/>
              <w:rPr>
                <w:sz w:val="20"/>
                <w:szCs w:val="20"/>
                <w:color w:val="auto"/>
              </w:rPr>
            </w:pPr>
            <w:r>
              <w:rPr>
                <w:rFonts w:ascii="Arial" w:cs="Arial" w:eastAsia="Arial" w:hAnsi="Arial"/>
                <w:sz w:val="18"/>
                <w:szCs w:val="18"/>
                <w:color w:val="auto"/>
              </w:rPr>
              <w:t>Federal</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20" w:type="dxa"/>
            <w:vAlign w:val="bottom"/>
            <w:shd w:val="clear" w:color="auto" w:fill="DCE2EF"/>
          </w:tcPr>
          <w:p>
            <w:pPr>
              <w:spacing w:after="0"/>
              <w:rPr>
                <w:sz w:val="19"/>
                <w:szCs w:val="19"/>
                <w:color w:val="auto"/>
              </w:rPr>
            </w:pPr>
          </w:p>
        </w:tc>
        <w:tc>
          <w:tcPr>
            <w:tcW w:w="6420" w:type="dxa"/>
            <w:vAlign w:val="bottom"/>
            <w:gridSpan w:val="4"/>
            <w:shd w:val="clear" w:color="auto" w:fill="DCE2EF"/>
          </w:tcPr>
          <w:p>
            <w:pPr>
              <w:ind w:left="120"/>
              <w:spacing w:after="0"/>
              <w:rPr>
                <w:sz w:val="20"/>
                <w:szCs w:val="20"/>
                <w:color w:val="auto"/>
              </w:rPr>
            </w:pPr>
            <w:r>
              <w:rPr>
                <w:rFonts w:ascii="Arial" w:cs="Arial" w:eastAsia="Arial" w:hAnsi="Arial"/>
                <w:sz w:val="18"/>
                <w:szCs w:val="18"/>
                <w:color w:val="auto"/>
              </w:rPr>
              <w:t>State</w:t>
            </w:r>
          </w:p>
        </w:tc>
        <w:tc>
          <w:tcPr>
            <w:tcW w:w="50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780" w:type="dxa"/>
            <w:vAlign w:val="bottom"/>
            <w:gridSpan w:val="3"/>
            <w:shd w:val="clear" w:color="auto" w:fill="DCE2EF"/>
          </w:tcPr>
          <w:p>
            <w:pPr>
              <w:jc w:val="right"/>
              <w:ind w:right="60"/>
              <w:spacing w:after="0"/>
              <w:rPr>
                <w:sz w:val="20"/>
                <w:szCs w:val="20"/>
                <w:color w:val="auto"/>
              </w:rPr>
            </w:pPr>
            <w:r>
              <w:rPr>
                <w:rFonts w:ascii="Arial" w:cs="Arial" w:eastAsia="Arial" w:hAnsi="Arial"/>
                <w:sz w:val="18"/>
                <w:szCs w:val="18"/>
                <w:color w:val="auto"/>
              </w:rPr>
              <w:t>13.2</w:t>
            </w: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020" w:type="dxa"/>
            <w:vAlign w:val="bottom"/>
            <w:gridSpan w:val="2"/>
            <w:shd w:val="clear" w:color="auto" w:fill="DCE2EF"/>
          </w:tcPr>
          <w:p>
            <w:pPr>
              <w:jc w:val="right"/>
              <w:ind w:right="80"/>
              <w:spacing w:after="0"/>
              <w:rPr>
                <w:sz w:val="20"/>
                <w:szCs w:val="20"/>
                <w:color w:val="auto"/>
              </w:rPr>
            </w:pPr>
            <w:r>
              <w:rPr>
                <w:rFonts w:ascii="Arial" w:cs="Arial" w:eastAsia="Arial" w:hAnsi="Arial"/>
                <w:sz w:val="18"/>
                <w:szCs w:val="18"/>
                <w:color w:val="auto"/>
              </w:rPr>
              <w:t>12.5</w:t>
            </w: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140" w:type="dxa"/>
            <w:vAlign w:val="bottom"/>
            <w:gridSpan w:val="3"/>
            <w:shd w:val="clear" w:color="auto" w:fill="DCE2E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Borders>
              <w:bottom w:val="single" w:sz="8" w:color="DCE2EF"/>
            </w:tcBorders>
          </w:tcPr>
          <w:p>
            <w:pPr>
              <w:spacing w:after="0"/>
              <w:rPr>
                <w:sz w:val="19"/>
                <w:szCs w:val="19"/>
                <w:color w:val="auto"/>
              </w:rPr>
            </w:pPr>
          </w:p>
        </w:tc>
        <w:tc>
          <w:tcPr>
            <w:tcW w:w="6420" w:type="dxa"/>
            <w:vAlign w:val="bottom"/>
            <w:tcBorders>
              <w:bottom w:val="single" w:sz="8" w:color="DCE2EF"/>
            </w:tcBorders>
            <w:gridSpan w:val="4"/>
          </w:tcPr>
          <w:p>
            <w:pPr>
              <w:ind w:left="120"/>
              <w:spacing w:after="0"/>
              <w:rPr>
                <w:sz w:val="20"/>
                <w:szCs w:val="20"/>
                <w:color w:val="auto"/>
              </w:rPr>
            </w:pPr>
            <w:r>
              <w:rPr>
                <w:rFonts w:ascii="Arial" w:cs="Arial" w:eastAsia="Arial" w:hAnsi="Arial"/>
                <w:sz w:val="18"/>
                <w:szCs w:val="18"/>
                <w:color w:val="auto"/>
              </w:rPr>
              <w:t>Foreign</w:t>
            </w:r>
          </w:p>
        </w:tc>
        <w:tc>
          <w:tcPr>
            <w:tcW w:w="5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CE2E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0.9</w:t>
            </w:r>
          </w:p>
        </w:tc>
        <w:tc>
          <w:tcPr>
            <w:tcW w:w="20" w:type="dxa"/>
            <w:vAlign w:val="bottom"/>
            <w:tcBorders>
              <w:bottom w:val="single" w:sz="8" w:color="DCE2EF"/>
            </w:tcBorders>
          </w:tcPr>
          <w:p>
            <w:pPr>
              <w:spacing w:after="0"/>
              <w:rPr>
                <w:sz w:val="19"/>
                <w:szCs w:val="19"/>
                <w:color w:val="auto"/>
              </w:rPr>
            </w:pPr>
          </w:p>
        </w:tc>
        <w:tc>
          <w:tcPr>
            <w:tcW w:w="100" w:type="dxa"/>
            <w:vAlign w:val="bottom"/>
            <w:tcBorders>
              <w:bottom w:val="single" w:sz="8" w:color="DCE2E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DCE2EF"/>
          </w:tcPr>
          <w:p>
            <w:pPr>
              <w:spacing w:after="0"/>
              <w:rPr>
                <w:sz w:val="21"/>
                <w:szCs w:val="21"/>
                <w:color w:val="auto"/>
              </w:rPr>
            </w:pPr>
          </w:p>
        </w:tc>
        <w:tc>
          <w:tcPr>
            <w:tcW w:w="6420" w:type="dxa"/>
            <w:vAlign w:val="bottom"/>
            <w:gridSpan w:val="4"/>
            <w:shd w:val="clear" w:color="auto" w:fill="DCE2EF"/>
          </w:tcPr>
          <w:p>
            <w:pPr>
              <w:spacing w:after="0"/>
              <w:rPr>
                <w:sz w:val="20"/>
                <w:szCs w:val="20"/>
                <w:color w:val="auto"/>
              </w:rPr>
            </w:pPr>
            <w:r>
              <w:rPr>
                <w:rFonts w:ascii="Arial" w:cs="Arial" w:eastAsia="Arial" w:hAnsi="Arial"/>
                <w:sz w:val="18"/>
                <w:szCs w:val="18"/>
                <w:b w:val="1"/>
                <w:bCs w:val="1"/>
                <w:color w:val="auto"/>
              </w:rPr>
              <w:t>Income tax provision</w:t>
            </w:r>
          </w:p>
        </w:tc>
        <w:tc>
          <w:tcPr>
            <w:tcW w:w="500" w:type="dxa"/>
            <w:vAlign w:val="bottom"/>
            <w:shd w:val="clear" w:color="auto" w:fill="DCE2EF"/>
          </w:tcPr>
          <w:p>
            <w:pPr>
              <w:jc w:val="right"/>
              <w:ind w:right="29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DCE2EF"/>
          </w:tcPr>
          <w:p>
            <w:pPr>
              <w:spacing w:after="0"/>
              <w:rPr>
                <w:sz w:val="21"/>
                <w:szCs w:val="21"/>
                <w:color w:val="auto"/>
              </w:rPr>
            </w:pPr>
          </w:p>
        </w:tc>
        <w:tc>
          <w:tcPr>
            <w:tcW w:w="780" w:type="dxa"/>
            <w:vAlign w:val="bottom"/>
            <w:gridSpan w:val="3"/>
            <w:shd w:val="clear" w:color="auto" w:fill="DCE2EF"/>
          </w:tcPr>
          <w:p>
            <w:pPr>
              <w:jc w:val="right"/>
              <w:ind w:right="20"/>
              <w:spacing w:after="0"/>
              <w:rPr>
                <w:sz w:val="20"/>
                <w:szCs w:val="20"/>
                <w:color w:val="auto"/>
              </w:rPr>
            </w:pPr>
            <w:r>
              <w:rPr>
                <w:rFonts w:ascii="Arial" w:cs="Arial" w:eastAsia="Arial" w:hAnsi="Arial"/>
                <w:sz w:val="18"/>
                <w:szCs w:val="18"/>
                <w:color w:val="auto"/>
              </w:rPr>
              <w:t>(53.5)</w:t>
            </w:r>
          </w:p>
        </w:tc>
        <w:tc>
          <w:tcPr>
            <w:tcW w:w="320" w:type="dxa"/>
            <w:vAlign w:val="bottom"/>
            <w:gridSpan w:val="3"/>
            <w:shd w:val="clear" w:color="auto" w:fill="DCE2E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DCE2EF"/>
          </w:tcPr>
          <w:p>
            <w:pPr>
              <w:spacing w:after="0"/>
              <w:rPr>
                <w:sz w:val="21"/>
                <w:szCs w:val="21"/>
                <w:color w:val="auto"/>
              </w:rPr>
            </w:pPr>
          </w:p>
        </w:tc>
        <w:tc>
          <w:tcPr>
            <w:tcW w:w="180" w:type="dxa"/>
            <w:vAlign w:val="bottom"/>
            <w:shd w:val="clear" w:color="auto" w:fill="DCE2EF"/>
          </w:tcPr>
          <w:p>
            <w:pPr>
              <w:spacing w:after="0"/>
              <w:rPr>
                <w:sz w:val="21"/>
                <w:szCs w:val="21"/>
                <w:color w:val="auto"/>
              </w:rPr>
            </w:pPr>
          </w:p>
        </w:tc>
        <w:tc>
          <w:tcPr>
            <w:tcW w:w="1020" w:type="dxa"/>
            <w:vAlign w:val="bottom"/>
            <w:gridSpan w:val="2"/>
            <w:shd w:val="clear" w:color="auto" w:fill="DCE2EF"/>
          </w:tcPr>
          <w:p>
            <w:pPr>
              <w:jc w:val="right"/>
              <w:ind w:right="20"/>
              <w:spacing w:after="0"/>
              <w:rPr>
                <w:sz w:val="20"/>
                <w:szCs w:val="20"/>
                <w:color w:val="auto"/>
              </w:rPr>
            </w:pPr>
            <w:r>
              <w:rPr>
                <w:rFonts w:ascii="Arial" w:cs="Arial" w:eastAsia="Arial" w:hAnsi="Arial"/>
                <w:sz w:val="18"/>
                <w:szCs w:val="18"/>
                <w:color w:val="auto"/>
              </w:rPr>
              <w:t>(53.1)</w:t>
            </w:r>
          </w:p>
        </w:tc>
        <w:tc>
          <w:tcPr>
            <w:tcW w:w="2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20" w:type="dxa"/>
            <w:vAlign w:val="bottom"/>
            <w:shd w:val="clear" w:color="auto" w:fill="DCE2EF"/>
          </w:tcPr>
          <w:p>
            <w:pPr>
              <w:spacing w:after="0"/>
              <w:rPr>
                <w:sz w:val="21"/>
                <w:szCs w:val="21"/>
                <w:color w:val="auto"/>
              </w:rPr>
            </w:pPr>
          </w:p>
        </w:tc>
        <w:tc>
          <w:tcPr>
            <w:tcW w:w="1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DCE2EF"/>
          </w:tcPr>
          <w:p>
            <w:pPr>
              <w:spacing w:after="0"/>
              <w:rPr>
                <w:sz w:val="21"/>
                <w:szCs w:val="21"/>
                <w:color w:val="auto"/>
              </w:rPr>
            </w:pPr>
          </w:p>
        </w:tc>
        <w:tc>
          <w:tcPr>
            <w:tcW w:w="1140" w:type="dxa"/>
            <w:vAlign w:val="bottom"/>
            <w:gridSpan w:val="3"/>
            <w:shd w:val="clear" w:color="auto" w:fill="DCE2EF"/>
          </w:tcPr>
          <w:p>
            <w:pPr>
              <w:jc w:val="right"/>
              <w:ind w:right="2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6440" w:type="dxa"/>
            <w:vAlign w:val="bottom"/>
            <w:tcBorders>
              <w:top w:val="single" w:sz="8" w:color="DCE2EF"/>
              <w:bottom w:val="single" w:sz="8" w:color="DCE2EF"/>
            </w:tcBorders>
            <w:gridSpan w:val="5"/>
            <w:vMerge w:val="restart"/>
          </w:tcPr>
          <w:p>
            <w:pPr>
              <w:spacing w:after="0"/>
              <w:rPr>
                <w:sz w:val="20"/>
                <w:szCs w:val="20"/>
                <w:color w:val="auto"/>
              </w:rPr>
            </w:pPr>
            <w:r>
              <w:rPr>
                <w:rFonts w:ascii="Arial" w:cs="Arial" w:eastAsia="Arial" w:hAnsi="Arial"/>
                <w:sz w:val="18"/>
                <w:szCs w:val="18"/>
                <w:b w:val="1"/>
                <w:bCs w:val="1"/>
                <w:color w:val="0046AD"/>
              </w:rPr>
              <w:t>Reconciliation of the U.S. Statutory Tax Rate to Annual Effective Tax Rate</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440" w:type="dxa"/>
            <w:vAlign w:val="bottom"/>
            <w:gridSpan w:val="5"/>
            <w:vMerge w:val="continue"/>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5"/>
          </w:tcPr>
          <w:p>
            <w:pPr>
              <w:jc w:val="right"/>
              <w:ind w:right="340"/>
              <w:spacing w:after="0"/>
              <w:rPr>
                <w:sz w:val="20"/>
                <w:szCs w:val="20"/>
                <w:color w:val="auto"/>
              </w:rPr>
            </w:pPr>
            <w:r>
              <w:rPr>
                <w:rFonts w:ascii="Arial" w:cs="Arial" w:eastAsia="Arial" w:hAnsi="Arial"/>
                <w:sz w:val="18"/>
                <w:szCs w:val="18"/>
                <w:b w:val="1"/>
                <w:bCs w:val="1"/>
                <w:color w:val="auto"/>
              </w:rPr>
              <w:t>Years Ended October 31,</w:t>
            </w: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DCE2EF"/>
            </w:tcBorders>
          </w:tcPr>
          <w:p>
            <w:pPr>
              <w:spacing w:after="0"/>
              <w:rPr>
                <w:sz w:val="19"/>
                <w:szCs w:val="19"/>
                <w:color w:val="auto"/>
              </w:rPr>
            </w:pPr>
          </w:p>
        </w:tc>
        <w:tc>
          <w:tcPr>
            <w:tcW w:w="720" w:type="dxa"/>
            <w:vAlign w:val="bottom"/>
            <w:tcBorders>
              <w:bottom w:val="single" w:sz="8" w:color="DCE2EF"/>
            </w:tcBorders>
          </w:tcPr>
          <w:p>
            <w:pPr>
              <w:spacing w:after="0"/>
              <w:rPr>
                <w:sz w:val="19"/>
                <w:szCs w:val="19"/>
                <w:color w:val="auto"/>
              </w:rPr>
            </w:pPr>
          </w:p>
        </w:tc>
        <w:tc>
          <w:tcPr>
            <w:tcW w:w="1540" w:type="dxa"/>
            <w:vAlign w:val="bottom"/>
            <w:tcBorders>
              <w:bottom w:val="single" w:sz="8" w:color="DCE2EF"/>
            </w:tcBorders>
          </w:tcPr>
          <w:p>
            <w:pPr>
              <w:spacing w:after="0"/>
              <w:rPr>
                <w:sz w:val="19"/>
                <w:szCs w:val="19"/>
                <w:color w:val="auto"/>
              </w:rPr>
            </w:pPr>
          </w:p>
        </w:tc>
        <w:tc>
          <w:tcPr>
            <w:tcW w:w="3900" w:type="dxa"/>
            <w:vAlign w:val="bottom"/>
            <w:tcBorders>
              <w:bottom w:val="single" w:sz="8" w:color="DCE2E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center"/>
              <w:ind w:left="250"/>
              <w:spacing w:after="0"/>
              <w:rPr>
                <w:sz w:val="20"/>
                <w:szCs w:val="20"/>
                <w:color w:val="auto"/>
              </w:rPr>
            </w:pPr>
            <w:r>
              <w:rPr>
                <w:rFonts w:ascii="Arial" w:cs="Arial" w:eastAsia="Arial" w:hAnsi="Arial"/>
                <w:sz w:val="18"/>
                <w:szCs w:val="18"/>
                <w:b w:val="1"/>
                <w:bCs w:val="1"/>
                <w:color w:val="auto"/>
                <w:w w:val="99"/>
              </w:rPr>
              <w:t>2021</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DCE2E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CE2EF"/>
            </w:tcBorders>
          </w:tcPr>
          <w:p>
            <w:pPr>
              <w:spacing w:after="0"/>
              <w:rPr>
                <w:sz w:val="19"/>
                <w:szCs w:val="19"/>
                <w:color w:val="auto"/>
              </w:rPr>
            </w:pPr>
          </w:p>
        </w:tc>
        <w:tc>
          <w:tcPr>
            <w:tcW w:w="20" w:type="dxa"/>
            <w:vAlign w:val="bottom"/>
            <w:tcBorders>
              <w:bottom w:val="single" w:sz="8" w:color="DCE2E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6160" w:type="dxa"/>
            <w:vAlign w:val="bottom"/>
            <w:gridSpan w:val="3"/>
            <w:shd w:val="clear" w:color="auto" w:fill="DCE2EF"/>
          </w:tcPr>
          <w:p>
            <w:pPr>
              <w:spacing w:after="0"/>
              <w:rPr>
                <w:sz w:val="20"/>
                <w:szCs w:val="20"/>
                <w:color w:val="auto"/>
              </w:rPr>
            </w:pPr>
            <w:r>
              <w:rPr>
                <w:rFonts w:ascii="Arial" w:cs="Arial" w:eastAsia="Arial" w:hAnsi="Arial"/>
                <w:sz w:val="18"/>
                <w:szCs w:val="18"/>
                <w:b w:val="1"/>
                <w:bCs w:val="1"/>
                <w:color w:val="auto"/>
              </w:rPr>
              <w:t>U.S. statutory rate</w:t>
            </w:r>
          </w:p>
        </w:tc>
        <w:tc>
          <w:tcPr>
            <w:tcW w:w="26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21.0 %</w:t>
            </w:r>
          </w:p>
        </w:tc>
        <w:tc>
          <w:tcPr>
            <w:tcW w:w="12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120" w:type="dxa"/>
            <w:vAlign w:val="bottom"/>
            <w:gridSpan w:val="2"/>
            <w:shd w:val="clear" w:color="auto" w:fill="DCE2EF"/>
          </w:tcPr>
          <w:p>
            <w:pPr>
              <w:jc w:val="right"/>
              <w:spacing w:after="0"/>
              <w:rPr>
                <w:sz w:val="20"/>
                <w:szCs w:val="20"/>
                <w:color w:val="auto"/>
              </w:rPr>
            </w:pPr>
            <w:r>
              <w:rPr>
                <w:rFonts w:ascii="Arial" w:cs="Arial" w:eastAsia="Arial" w:hAnsi="Arial"/>
                <w:sz w:val="18"/>
                <w:szCs w:val="18"/>
                <w:color w:val="auto"/>
              </w:rPr>
              <w:t>21.0 %</w:t>
            </w:r>
          </w:p>
        </w:tc>
        <w:tc>
          <w:tcPr>
            <w:tcW w:w="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4"/>
          </w:tcPr>
          <w:p>
            <w:pPr>
              <w:ind w:left="120"/>
              <w:spacing w:after="0"/>
              <w:rPr>
                <w:sz w:val="20"/>
                <w:szCs w:val="20"/>
                <w:color w:val="auto"/>
              </w:rPr>
            </w:pPr>
            <w:r>
              <w:rPr>
                <w:rFonts w:ascii="Arial" w:cs="Arial" w:eastAsia="Arial" w:hAnsi="Arial"/>
                <w:sz w:val="18"/>
                <w:szCs w:val="18"/>
                <w:color w:val="auto"/>
              </w:rPr>
              <w:t>State and local income taxes, net of federal tax benefit</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6420" w:type="dxa"/>
            <w:vAlign w:val="bottom"/>
            <w:gridSpan w:val="4"/>
            <w:shd w:val="clear" w:color="auto" w:fill="DCE2EF"/>
          </w:tcPr>
          <w:p>
            <w:pPr>
              <w:ind w:left="120"/>
              <w:spacing w:after="0"/>
              <w:rPr>
                <w:sz w:val="20"/>
                <w:szCs w:val="20"/>
                <w:color w:val="auto"/>
              </w:rPr>
            </w:pPr>
            <w:r>
              <w:rPr>
                <w:rFonts w:ascii="Arial" w:cs="Arial" w:eastAsia="Arial" w:hAnsi="Arial"/>
                <w:sz w:val="18"/>
                <w:szCs w:val="18"/>
                <w:color w:val="auto"/>
              </w:rPr>
              <w:t>Federal and state tax credits</w:t>
            </w:r>
          </w:p>
        </w:tc>
        <w:tc>
          <w:tcPr>
            <w:tcW w:w="50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6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94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rPr>
              <w:t>(4.7)</w:t>
            </w:r>
          </w:p>
        </w:tc>
        <w:tc>
          <w:tcPr>
            <w:tcW w:w="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0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(3.9)</w:t>
            </w:r>
          </w:p>
        </w:tc>
        <w:tc>
          <w:tcPr>
            <w:tcW w:w="4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gridSpan w:val="4"/>
          </w:tcPr>
          <w:p>
            <w:pPr>
              <w:ind w:left="120"/>
              <w:spacing w:after="0"/>
              <w:rPr>
                <w:sz w:val="20"/>
                <w:szCs w:val="20"/>
                <w:color w:val="auto"/>
              </w:rPr>
            </w:pPr>
            <w:r>
              <w:rPr>
                <w:rFonts w:ascii="Arial" w:cs="Arial" w:eastAsia="Arial" w:hAnsi="Arial"/>
                <w:sz w:val="18"/>
                <w:szCs w:val="18"/>
                <w:color w:val="auto"/>
              </w:rPr>
              <w:t>Impact of foreign operations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6420" w:type="dxa"/>
            <w:vAlign w:val="bottom"/>
            <w:gridSpan w:val="4"/>
            <w:shd w:val="clear" w:color="auto" w:fill="DCE2EF"/>
          </w:tcPr>
          <w:p>
            <w:pPr>
              <w:ind w:left="120"/>
              <w:spacing w:after="0"/>
              <w:rPr>
                <w:sz w:val="20"/>
                <w:szCs w:val="20"/>
                <w:color w:val="auto"/>
              </w:rPr>
            </w:pPr>
            <w:r>
              <w:rPr>
                <w:rFonts w:ascii="Arial" w:cs="Arial" w:eastAsia="Arial" w:hAnsi="Arial"/>
                <w:sz w:val="18"/>
                <w:szCs w:val="18"/>
                <w:color w:val="auto"/>
              </w:rPr>
              <w:t>Changes in uncertain tax positions</w:t>
            </w:r>
          </w:p>
        </w:tc>
        <w:tc>
          <w:tcPr>
            <w:tcW w:w="50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60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94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rPr>
              <w:t>(2.0)</w:t>
            </w:r>
          </w:p>
        </w:tc>
        <w:tc>
          <w:tcPr>
            <w:tcW w:w="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0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(0.8)</w:t>
            </w:r>
          </w:p>
        </w:tc>
        <w:tc>
          <w:tcPr>
            <w:tcW w:w="4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4"/>
          </w:tcPr>
          <w:p>
            <w:pPr>
              <w:ind w:left="120"/>
              <w:spacing w:after="0"/>
              <w:rPr>
                <w:sz w:val="20"/>
                <w:szCs w:val="20"/>
                <w:color w:val="auto"/>
              </w:rPr>
            </w:pPr>
            <w:r>
              <w:rPr>
                <w:rFonts w:ascii="Arial" w:cs="Arial" w:eastAsia="Arial" w:hAnsi="Arial"/>
                <w:sz w:val="18"/>
                <w:szCs w:val="18"/>
                <w:color w:val="auto"/>
              </w:rPr>
              <w:t>Incremental tax benefit from share-based compensation awards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CE2EF"/>
          </w:tcPr>
          <w:p>
            <w:pPr>
              <w:spacing w:after="0"/>
              <w:rPr>
                <w:sz w:val="19"/>
                <w:szCs w:val="19"/>
                <w:color w:val="auto"/>
              </w:rPr>
            </w:pPr>
          </w:p>
        </w:tc>
        <w:tc>
          <w:tcPr>
            <w:tcW w:w="6420" w:type="dxa"/>
            <w:vAlign w:val="bottom"/>
            <w:gridSpan w:val="4"/>
            <w:shd w:val="clear" w:color="auto" w:fill="DCE2EF"/>
          </w:tcPr>
          <w:p>
            <w:pPr>
              <w:ind w:left="120"/>
              <w:spacing w:after="0"/>
              <w:rPr>
                <w:sz w:val="20"/>
                <w:szCs w:val="20"/>
                <w:color w:val="auto"/>
              </w:rPr>
            </w:pPr>
            <w:r>
              <w:rPr>
                <w:rFonts w:ascii="Arial" w:cs="Arial" w:eastAsia="Arial" w:hAnsi="Arial"/>
                <w:sz w:val="18"/>
                <w:szCs w:val="18"/>
                <w:color w:val="auto"/>
              </w:rPr>
              <w:t>Energy efficiency incentives</w:t>
            </w:r>
          </w:p>
        </w:tc>
        <w:tc>
          <w:tcPr>
            <w:tcW w:w="50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6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94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rPr>
              <w:t>(3.8)</w:t>
            </w:r>
          </w:p>
        </w:tc>
        <w:tc>
          <w:tcPr>
            <w:tcW w:w="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140" w:type="dxa"/>
            <w:vAlign w:val="bottom"/>
            <w:gridSpan w:val="3"/>
            <w:shd w:val="clear" w:color="auto" w:fill="DCE2E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4"/>
          </w:tcPr>
          <w:p>
            <w:pPr>
              <w:ind w:left="120"/>
              <w:spacing w:after="0"/>
              <w:rPr>
                <w:sz w:val="20"/>
                <w:szCs w:val="20"/>
                <w:color w:val="auto"/>
              </w:rPr>
            </w:pPr>
            <w:r>
              <w:rPr>
                <w:rFonts w:ascii="Arial" w:cs="Arial" w:eastAsia="Arial" w:hAnsi="Arial"/>
                <w:sz w:val="18"/>
                <w:szCs w:val="18"/>
                <w:color w:val="auto"/>
              </w:rPr>
              <w:t>Impact from goodwill impairment</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81.7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DCE2EF"/>
          </w:tcPr>
          <w:p>
            <w:pPr>
              <w:spacing w:after="0"/>
              <w:rPr>
                <w:sz w:val="19"/>
                <w:szCs w:val="19"/>
                <w:color w:val="auto"/>
              </w:rPr>
            </w:pPr>
          </w:p>
        </w:tc>
        <w:tc>
          <w:tcPr>
            <w:tcW w:w="6420" w:type="dxa"/>
            <w:vAlign w:val="bottom"/>
            <w:gridSpan w:val="4"/>
            <w:shd w:val="clear" w:color="auto" w:fill="DCE2EF"/>
          </w:tcPr>
          <w:p>
            <w:pPr>
              <w:ind w:left="120"/>
              <w:spacing w:after="0"/>
              <w:rPr>
                <w:sz w:val="20"/>
                <w:szCs w:val="20"/>
                <w:color w:val="auto"/>
              </w:rPr>
            </w:pPr>
            <w:r>
              <w:rPr>
                <w:rFonts w:ascii="Arial" w:cs="Arial" w:eastAsia="Arial" w:hAnsi="Arial"/>
                <w:sz w:val="18"/>
                <w:szCs w:val="18"/>
                <w:color w:val="auto"/>
              </w:rPr>
              <w:t>Transition tax on foreign earnings</w:t>
            </w:r>
          </w:p>
        </w:tc>
        <w:tc>
          <w:tcPr>
            <w:tcW w:w="50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780" w:type="dxa"/>
            <w:vAlign w:val="bottom"/>
            <w:gridSpan w:val="3"/>
            <w:shd w:val="clear" w:color="auto" w:fill="DCE2E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160" w:type="dxa"/>
            <w:vAlign w:val="bottom"/>
            <w:gridSpan w:val="5"/>
            <w:shd w:val="clear" w:color="auto" w:fill="DCE2E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0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(1.1)</w:t>
            </w:r>
          </w:p>
        </w:tc>
        <w:tc>
          <w:tcPr>
            <w:tcW w:w="4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4"/>
          </w:tcPr>
          <w:p>
            <w:pPr>
              <w:ind w:left="120"/>
              <w:spacing w:after="0"/>
              <w:rPr>
                <w:sz w:val="20"/>
                <w:szCs w:val="20"/>
                <w:color w:val="auto"/>
              </w:rPr>
            </w:pPr>
            <w:r>
              <w:rPr>
                <w:rFonts w:ascii="Arial" w:cs="Arial" w:eastAsia="Arial" w:hAnsi="Arial"/>
                <w:sz w:val="18"/>
                <w:szCs w:val="18"/>
                <w:color w:val="auto"/>
              </w:rPr>
              <w:t>Remeasurement of U.S. deferred taxes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5"/>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CE2EF"/>
          </w:tcPr>
          <w:p>
            <w:pPr>
              <w:spacing w:after="0"/>
              <w:rPr>
                <w:sz w:val="19"/>
                <w:szCs w:val="19"/>
                <w:color w:val="auto"/>
              </w:rPr>
            </w:pPr>
          </w:p>
        </w:tc>
        <w:tc>
          <w:tcPr>
            <w:tcW w:w="6420" w:type="dxa"/>
            <w:vAlign w:val="bottom"/>
            <w:gridSpan w:val="4"/>
            <w:shd w:val="clear" w:color="auto" w:fill="DCE2EF"/>
          </w:tcPr>
          <w:p>
            <w:pPr>
              <w:ind w:left="120"/>
              <w:spacing w:after="0"/>
              <w:rPr>
                <w:sz w:val="20"/>
                <w:szCs w:val="20"/>
                <w:color w:val="auto"/>
              </w:rPr>
            </w:pPr>
            <w:r>
              <w:rPr>
                <w:rFonts w:ascii="Arial" w:cs="Arial" w:eastAsia="Arial" w:hAnsi="Arial"/>
                <w:sz w:val="18"/>
                <w:szCs w:val="18"/>
                <w:color w:val="auto"/>
              </w:rPr>
              <w:t>Nondeductible expenses</w:t>
            </w:r>
          </w:p>
        </w:tc>
        <w:tc>
          <w:tcPr>
            <w:tcW w:w="50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60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94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rPr>
              <w:t>4.4</w:t>
            </w:r>
          </w:p>
        </w:tc>
        <w:tc>
          <w:tcPr>
            <w:tcW w:w="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08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rPr>
              <w:t>2.1</w:t>
            </w:r>
          </w:p>
        </w:tc>
        <w:tc>
          <w:tcPr>
            <w:tcW w:w="4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DCE2EF"/>
            </w:tcBorders>
          </w:tcPr>
          <w:p>
            <w:pPr>
              <w:spacing w:after="0"/>
              <w:rPr>
                <w:sz w:val="19"/>
                <w:szCs w:val="19"/>
                <w:color w:val="auto"/>
              </w:rPr>
            </w:pPr>
          </w:p>
        </w:tc>
        <w:tc>
          <w:tcPr>
            <w:tcW w:w="6160" w:type="dxa"/>
            <w:vAlign w:val="bottom"/>
            <w:tcBorders>
              <w:bottom w:val="single" w:sz="8" w:color="DCE2EF"/>
            </w:tcBorders>
            <w:gridSpan w:val="3"/>
          </w:tcPr>
          <w:p>
            <w:pPr>
              <w:ind w:left="1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DCE2E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DCE2EF"/>
            </w:tcBorders>
          </w:tcPr>
          <w:p>
            <w:pPr>
              <w:spacing w:after="0"/>
              <w:rPr>
                <w:sz w:val="19"/>
                <w:szCs w:val="19"/>
                <w:color w:val="auto"/>
              </w:rPr>
            </w:pPr>
          </w:p>
        </w:tc>
        <w:tc>
          <w:tcPr>
            <w:tcW w:w="20" w:type="dxa"/>
            <w:vAlign w:val="bottom"/>
            <w:tcBorders>
              <w:bottom w:val="single" w:sz="8" w:color="DCE2E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DCE2EF"/>
          </w:tcPr>
          <w:p>
            <w:pPr>
              <w:spacing w:after="0"/>
              <w:rPr>
                <w:sz w:val="21"/>
                <w:szCs w:val="21"/>
                <w:color w:val="auto"/>
              </w:rPr>
            </w:pPr>
          </w:p>
        </w:tc>
        <w:tc>
          <w:tcPr>
            <w:tcW w:w="6420" w:type="dxa"/>
            <w:vAlign w:val="bottom"/>
            <w:gridSpan w:val="4"/>
            <w:shd w:val="clear" w:color="auto" w:fill="DCE2EF"/>
          </w:tcPr>
          <w:p>
            <w:pPr>
              <w:spacing w:after="0"/>
              <w:rPr>
                <w:sz w:val="20"/>
                <w:szCs w:val="20"/>
                <w:color w:val="auto"/>
              </w:rPr>
            </w:pPr>
            <w:r>
              <w:rPr>
                <w:rFonts w:ascii="Arial" w:cs="Arial" w:eastAsia="Arial" w:hAnsi="Arial"/>
                <w:sz w:val="18"/>
                <w:szCs w:val="18"/>
                <w:b w:val="1"/>
                <w:bCs w:val="1"/>
                <w:color w:val="auto"/>
              </w:rPr>
              <w:t>Effective tax rate</w:t>
            </w:r>
          </w:p>
        </w:tc>
        <w:tc>
          <w:tcPr>
            <w:tcW w:w="500" w:type="dxa"/>
            <w:vAlign w:val="bottom"/>
            <w:shd w:val="clear" w:color="auto" w:fill="DCE2EF"/>
          </w:tcPr>
          <w:p>
            <w:pPr>
              <w:spacing w:after="0"/>
              <w:rPr>
                <w:sz w:val="21"/>
                <w:szCs w:val="21"/>
                <w:color w:val="auto"/>
              </w:rPr>
            </w:pPr>
          </w:p>
        </w:tc>
        <w:tc>
          <w:tcPr>
            <w:tcW w:w="240" w:type="dxa"/>
            <w:vAlign w:val="bottom"/>
            <w:shd w:val="clear" w:color="auto" w:fill="DCE2EF"/>
          </w:tcPr>
          <w:p>
            <w:pPr>
              <w:spacing w:after="0"/>
              <w:rPr>
                <w:sz w:val="21"/>
                <w:szCs w:val="21"/>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29.8 %</w:t>
            </w:r>
          </w:p>
        </w:tc>
        <w:tc>
          <w:tcPr>
            <w:tcW w:w="120" w:type="dxa"/>
            <w:vAlign w:val="bottom"/>
            <w:shd w:val="clear" w:color="auto" w:fill="DCE2EF"/>
          </w:tcPr>
          <w:p>
            <w:pPr>
              <w:spacing w:after="0"/>
              <w:rPr>
                <w:sz w:val="21"/>
                <w:szCs w:val="21"/>
                <w:color w:val="auto"/>
              </w:rPr>
            </w:pPr>
          </w:p>
        </w:tc>
        <w:tc>
          <w:tcPr>
            <w:tcW w:w="60" w:type="dxa"/>
            <w:vAlign w:val="bottom"/>
            <w:shd w:val="clear" w:color="auto" w:fill="DCE2EF"/>
          </w:tcPr>
          <w:p>
            <w:pPr>
              <w:spacing w:after="0"/>
              <w:rPr>
                <w:sz w:val="21"/>
                <w:szCs w:val="21"/>
                <w:color w:val="auto"/>
              </w:rPr>
            </w:pPr>
          </w:p>
        </w:tc>
        <w:tc>
          <w:tcPr>
            <w:tcW w:w="2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200" w:type="dxa"/>
            <w:vAlign w:val="bottom"/>
            <w:shd w:val="clear" w:color="auto" w:fill="DCE2EF"/>
          </w:tcPr>
          <w:p>
            <w:pPr>
              <w:spacing w:after="0"/>
              <w:rPr>
                <w:sz w:val="21"/>
                <w:szCs w:val="21"/>
                <w:color w:val="auto"/>
              </w:rPr>
            </w:pPr>
          </w:p>
        </w:tc>
        <w:tc>
          <w:tcPr>
            <w:tcW w:w="120" w:type="dxa"/>
            <w:vAlign w:val="bottom"/>
            <w:shd w:val="clear" w:color="auto" w:fill="DCE2EF"/>
          </w:tcPr>
          <w:p>
            <w:pPr>
              <w:spacing w:after="0"/>
              <w:rPr>
                <w:sz w:val="21"/>
                <w:szCs w:val="21"/>
                <w:color w:val="auto"/>
              </w:rPr>
            </w:pPr>
          </w:p>
        </w:tc>
        <w:tc>
          <w:tcPr>
            <w:tcW w:w="180" w:type="dxa"/>
            <w:vAlign w:val="bottom"/>
            <w:shd w:val="clear" w:color="auto" w:fill="DCE2EF"/>
          </w:tcPr>
          <w:p>
            <w:pPr>
              <w:spacing w:after="0"/>
              <w:rPr>
                <w:sz w:val="21"/>
                <w:szCs w:val="21"/>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99.6 %</w:t>
            </w:r>
          </w:p>
        </w:tc>
        <w:tc>
          <w:tcPr>
            <w:tcW w:w="80" w:type="dxa"/>
            <w:vAlign w:val="bottom"/>
            <w:shd w:val="clear" w:color="auto" w:fill="DCE2EF"/>
          </w:tcPr>
          <w:p>
            <w:pPr>
              <w:spacing w:after="0"/>
              <w:rPr>
                <w:sz w:val="21"/>
                <w:szCs w:val="21"/>
                <w:color w:val="auto"/>
              </w:rPr>
            </w:pPr>
          </w:p>
        </w:tc>
        <w:tc>
          <w:tcPr>
            <w:tcW w:w="2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2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260" w:type="dxa"/>
            <w:vAlign w:val="bottom"/>
            <w:shd w:val="clear" w:color="auto" w:fill="DCE2EF"/>
          </w:tcPr>
          <w:p>
            <w:pPr>
              <w:spacing w:after="0"/>
              <w:rPr>
                <w:sz w:val="21"/>
                <w:szCs w:val="21"/>
                <w:color w:val="auto"/>
              </w:rPr>
            </w:pPr>
          </w:p>
        </w:tc>
        <w:tc>
          <w:tcPr>
            <w:tcW w:w="1140" w:type="dxa"/>
            <w:vAlign w:val="bottom"/>
            <w:gridSpan w:val="3"/>
            <w:shd w:val="clear" w:color="auto" w:fill="DCE2EF"/>
          </w:tcPr>
          <w:p>
            <w:pPr>
              <w:jc w:val="right"/>
              <w:ind w:right="20"/>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1540" w:type="dxa"/>
            <w:vAlign w:val="bottom"/>
            <w:tcBorders>
              <w:top w:val="single" w:sz="8" w:color="DCE2EF"/>
            </w:tcBorders>
          </w:tcPr>
          <w:p>
            <w:pPr>
              <w:spacing w:after="0" w:line="20" w:lineRule="exact"/>
              <w:rPr>
                <w:sz w:val="1"/>
                <w:szCs w:val="1"/>
                <w:color w:val="auto"/>
              </w:rPr>
            </w:pPr>
          </w:p>
        </w:tc>
        <w:tc>
          <w:tcPr>
            <w:tcW w:w="390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type w:val="continuous"/>
        </w:sectPr>
      </w:pPr>
    </w:p>
    <w:bookmarkStart w:id="91" w:name="page92"/>
    <w:bookmarkEnd w:id="91"/>
    <w:p>
      <w:pPr>
        <w:jc w:val="both"/>
        <w:ind w:firstLine="648"/>
        <w:spacing w:after="0" w:line="252" w:lineRule="auto"/>
        <w:rPr>
          <w:sz w:val="20"/>
          <w:szCs w:val="20"/>
          <w:color w:val="auto"/>
        </w:rPr>
      </w:pPr>
      <w:r>
        <w:rPr>
          <w:rFonts w:ascii="Arial" w:cs="Arial" w:eastAsia="Arial" w:hAnsi="Arial"/>
          <w:sz w:val="18"/>
          <w:szCs w:val="18"/>
          <w:color w:val="auto"/>
        </w:rPr>
        <w:t>On December 22, 2017, the Tax Cuts and Jobs Act of 2017 (“Tax Act”) was enacted into law. Among other provisions, it reduced the federal corporate income tax rate from 35% to 21% and required companies to pay a one-time transition tax on the deemed repatriation of indefinitely reinvested earnings of international subsidiaries. Our U.S. statutory federal tax rate for fiscal 2019 and future years was reduced to 21%. Other provisions under the Tax Act became effective for us in fiscal 2019, including limitations on deductibility of interest and executive compensation, as well as a new minimum tax on Global Intangible Low-Taxed Income (“GILTI”), which we have elected to account for as a period cost. While U.S. federal tax expense has been recognized as a result of the Tax Act, no deferred tax liabilities with respect to federal and state income taxes or foreign withholding taxes have been recognized.</w:t>
      </w:r>
    </w:p>
    <w:p>
      <w:pPr>
        <w:spacing w:after="0" w:line="1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2021 and 2020, we had effective tax rates of 29.8% and 99.6%, respectively, resulting in a provision for tax of $53.5 million and $53.1 million, respectively. Our effective tax rate for 2021 was impacted by the following discrete items: a $3.0 million provision for nondeductible transaction costs; a $2.6 million provision for change in tax reserves; a $1.4 million provision for true-ups; and a $1.2 million benefit for energy efficiency incentives. Our effective tax rate for 2020 was also impacted by the following discrete items: a $5.7 million benefit from true-ups; a $2.3 million provision related to WOTC; a $2.1 million benefit from energy efficiency incentives; and a $1.1 million benefit from change of tax reserves. The effective tax rate for the year ended October 31, 2020, excluding a nondeductible impairment loss of $163.8 million, was 24.4%.</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response to the Pandemic, Congress enacted the CARES Act on March 27, 2020. The CARES Act provides various tax provisions, including payroll tax provisions, which we have evaluated for applicability. Through December 31, 2020, we deferred approximately $132 million of payroll tax, which the CARES Act requires to be remitted in equal parts by December 31, 2021, and December 31, 2022. The CARES Act did not have a material impact on our income tax provision.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Components of Deferred Tax Assets and Liabilities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As of October 31,</w:t>
            </w: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80" w:type="dxa"/>
            <w:vAlign w:val="bottom"/>
          </w:tcPr>
          <w:p>
            <w:pPr>
              <w:jc w:val="right"/>
              <w:ind w:right="87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00" w:type="dxa"/>
            <w:vAlign w:val="bottom"/>
          </w:tcPr>
          <w:p>
            <w:pPr>
              <w:jc w:val="right"/>
              <w:ind w:right="870"/>
              <w:spacing w:after="0" w:line="182"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3800" w:type="dxa"/>
            <w:vAlign w:val="bottom"/>
            <w:tcBorders>
              <w:bottom w:val="single" w:sz="8" w:color="DCE2EF"/>
            </w:tcBorders>
          </w:tcPr>
          <w:p>
            <w:pPr>
              <w:spacing w:after="0" w:line="20" w:lineRule="exact"/>
              <w:rPr>
                <w:sz w:val="1"/>
                <w:szCs w:val="1"/>
                <w:color w:val="auto"/>
              </w:rPr>
            </w:pPr>
          </w:p>
        </w:tc>
        <w:tc>
          <w:tcPr>
            <w:tcW w:w="1940" w:type="dxa"/>
            <w:vAlign w:val="bottom"/>
            <w:tcBorders>
              <w:bottom w:val="single" w:sz="8" w:color="DCE2E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4520" w:type="dxa"/>
            <w:vAlign w:val="bottom"/>
            <w:gridSpan w:val="2"/>
            <w:shd w:val="clear" w:color="auto" w:fill="DCE2EF"/>
          </w:tcPr>
          <w:p>
            <w:pPr>
              <w:spacing w:after="0"/>
              <w:rPr>
                <w:sz w:val="20"/>
                <w:szCs w:val="20"/>
                <w:color w:val="auto"/>
              </w:rPr>
            </w:pPr>
            <w:r>
              <w:rPr>
                <w:rFonts w:ascii="Arial" w:cs="Arial" w:eastAsia="Arial" w:hAnsi="Arial"/>
                <w:sz w:val="18"/>
                <w:szCs w:val="18"/>
                <w:b w:val="1"/>
                <w:bCs w:val="1"/>
                <w:i w:val="1"/>
                <w:iCs w:val="1"/>
                <w:color w:val="auto"/>
              </w:rPr>
              <w:t>Deferred tax assets attributable to:</w:t>
            </w:r>
          </w:p>
        </w:tc>
        <w:tc>
          <w:tcPr>
            <w:tcW w:w="1940" w:type="dxa"/>
            <w:vAlign w:val="bottom"/>
            <w:shd w:val="clear" w:color="auto" w:fill="DCE2EF"/>
          </w:tcPr>
          <w:p>
            <w:pPr>
              <w:spacing w:after="0"/>
              <w:rPr>
                <w:sz w:val="18"/>
                <w:szCs w:val="18"/>
                <w:color w:val="auto"/>
              </w:rPr>
            </w:pPr>
          </w:p>
        </w:tc>
        <w:tc>
          <w:tcPr>
            <w:tcW w:w="540" w:type="dxa"/>
            <w:vAlign w:val="bottom"/>
            <w:shd w:val="clear" w:color="auto" w:fill="DCE2EF"/>
          </w:tcPr>
          <w:p>
            <w:pPr>
              <w:spacing w:after="0"/>
              <w:rPr>
                <w:sz w:val="18"/>
                <w:szCs w:val="18"/>
                <w:color w:val="auto"/>
              </w:rPr>
            </w:pPr>
          </w:p>
        </w:tc>
        <w:tc>
          <w:tcPr>
            <w:tcW w:w="178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820" w:type="dxa"/>
            <w:vAlign w:val="bottom"/>
            <w:shd w:val="clear" w:color="auto" w:fill="DCE2EF"/>
          </w:tcPr>
          <w:p>
            <w:pPr>
              <w:spacing w:after="0"/>
              <w:rPr>
                <w:sz w:val="18"/>
                <w:szCs w:val="18"/>
                <w:color w:val="auto"/>
              </w:rPr>
            </w:pPr>
          </w:p>
        </w:tc>
        <w:tc>
          <w:tcPr>
            <w:tcW w:w="150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Self-insurance claims (net of recoverables)</w:t>
            </w:r>
          </w:p>
        </w:tc>
        <w:tc>
          <w:tcPr>
            <w:tcW w:w="24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19"/>
                <w:szCs w:val="19"/>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29"/>
        </w:trPr>
        <w:tc>
          <w:tcPr>
            <w:tcW w:w="20" w:type="dxa"/>
            <w:vAlign w:val="bottom"/>
            <w:shd w:val="clear" w:color="auto" w:fill="DCE2EF"/>
          </w:tcPr>
          <w:p>
            <w:pPr>
              <w:spacing w:after="0"/>
              <w:rPr>
                <w:sz w:val="19"/>
                <w:szCs w:val="19"/>
                <w:color w:val="auto"/>
              </w:rPr>
            </w:pPr>
          </w:p>
        </w:tc>
        <w:tc>
          <w:tcPr>
            <w:tcW w:w="4520" w:type="dxa"/>
            <w:vAlign w:val="bottom"/>
            <w:gridSpan w:val="2"/>
            <w:shd w:val="clear" w:color="auto" w:fill="DCE2EF"/>
          </w:tcPr>
          <w:p>
            <w:pPr>
              <w:ind w:left="120"/>
              <w:spacing w:after="0"/>
              <w:rPr>
                <w:sz w:val="20"/>
                <w:szCs w:val="20"/>
                <w:color w:val="auto"/>
              </w:rPr>
            </w:pPr>
            <w:r>
              <w:rPr>
                <w:rFonts w:ascii="Arial" w:cs="Arial" w:eastAsia="Arial" w:hAnsi="Arial"/>
                <w:sz w:val="18"/>
                <w:szCs w:val="18"/>
                <w:color w:val="auto"/>
              </w:rPr>
              <w:t>Deferred and other compensation</w:t>
            </w:r>
          </w:p>
        </w:tc>
        <w:tc>
          <w:tcPr>
            <w:tcW w:w="1940" w:type="dxa"/>
            <w:vAlign w:val="bottom"/>
            <w:shd w:val="clear" w:color="auto" w:fill="DCE2EF"/>
          </w:tcPr>
          <w:p>
            <w:pPr>
              <w:spacing w:after="0"/>
              <w:rPr>
                <w:sz w:val="19"/>
                <w:szCs w:val="19"/>
                <w:color w:val="auto"/>
              </w:rPr>
            </w:pP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Accounts receivable allowances</w:t>
            </w:r>
          </w:p>
        </w:tc>
        <w:tc>
          <w:tcPr>
            <w:tcW w:w="1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4520" w:type="dxa"/>
            <w:vAlign w:val="bottom"/>
            <w:gridSpan w:val="2"/>
            <w:shd w:val="clear" w:color="auto" w:fill="DCE2EF"/>
          </w:tcPr>
          <w:p>
            <w:pPr>
              <w:ind w:left="120"/>
              <w:spacing w:after="0"/>
              <w:rPr>
                <w:sz w:val="20"/>
                <w:szCs w:val="20"/>
                <w:color w:val="auto"/>
              </w:rPr>
            </w:pPr>
            <w:r>
              <w:rPr>
                <w:rFonts w:ascii="Arial" w:cs="Arial" w:eastAsia="Arial" w:hAnsi="Arial"/>
                <w:sz w:val="18"/>
                <w:szCs w:val="18"/>
                <w:color w:val="auto"/>
              </w:rPr>
              <w:t>Settlement liabilities</w:t>
            </w:r>
          </w:p>
        </w:tc>
        <w:tc>
          <w:tcPr>
            <w:tcW w:w="1940" w:type="dxa"/>
            <w:vAlign w:val="bottom"/>
            <w:shd w:val="clear" w:color="auto" w:fill="DCE2EF"/>
          </w:tcPr>
          <w:p>
            <w:pPr>
              <w:spacing w:after="0"/>
              <w:rPr>
                <w:sz w:val="19"/>
                <w:szCs w:val="19"/>
                <w:color w:val="auto"/>
              </w:rPr>
            </w:pP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Other accruals</w:t>
            </w:r>
          </w:p>
        </w:tc>
        <w:tc>
          <w:tcPr>
            <w:tcW w:w="1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0" w:type="dxa"/>
            <w:vAlign w:val="bottom"/>
            <w:shd w:val="clear" w:color="auto" w:fill="DCE2EF"/>
          </w:tcPr>
          <w:p>
            <w:pPr>
              <w:spacing w:after="0"/>
              <w:rPr>
                <w:sz w:val="19"/>
                <w:szCs w:val="19"/>
                <w:color w:val="auto"/>
              </w:rPr>
            </w:pPr>
          </w:p>
        </w:tc>
        <w:tc>
          <w:tcPr>
            <w:tcW w:w="4520" w:type="dxa"/>
            <w:vAlign w:val="bottom"/>
            <w:gridSpan w:val="2"/>
            <w:shd w:val="clear" w:color="auto" w:fill="DCE2EF"/>
          </w:tcPr>
          <w:p>
            <w:pPr>
              <w:ind w:left="120"/>
              <w:spacing w:after="0"/>
              <w:rPr>
                <w:sz w:val="20"/>
                <w:szCs w:val="20"/>
                <w:color w:val="auto"/>
              </w:rPr>
            </w:pPr>
            <w:r>
              <w:rPr>
                <w:rFonts w:ascii="Arial" w:cs="Arial" w:eastAsia="Arial" w:hAnsi="Arial"/>
                <w:sz w:val="18"/>
                <w:szCs w:val="18"/>
                <w:color w:val="auto"/>
              </w:rPr>
              <w:t>Other comprehensive income</w:t>
            </w:r>
          </w:p>
        </w:tc>
        <w:tc>
          <w:tcPr>
            <w:tcW w:w="1940" w:type="dxa"/>
            <w:vAlign w:val="bottom"/>
            <w:shd w:val="clear" w:color="auto" w:fill="DCE2EF"/>
          </w:tcPr>
          <w:p>
            <w:pPr>
              <w:spacing w:after="0"/>
              <w:rPr>
                <w:sz w:val="19"/>
                <w:szCs w:val="19"/>
                <w:color w:val="auto"/>
              </w:rPr>
            </w:pP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State taxes</w:t>
            </w:r>
          </w:p>
        </w:tc>
        <w:tc>
          <w:tcPr>
            <w:tcW w:w="1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4520" w:type="dxa"/>
            <w:vAlign w:val="bottom"/>
            <w:gridSpan w:val="2"/>
            <w:shd w:val="clear" w:color="auto" w:fill="DCE2EF"/>
          </w:tcPr>
          <w:p>
            <w:pPr>
              <w:ind w:left="120"/>
              <w:spacing w:after="0"/>
              <w:rPr>
                <w:sz w:val="20"/>
                <w:szCs w:val="20"/>
                <w:color w:val="auto"/>
              </w:rPr>
            </w:pPr>
            <w:r>
              <w:rPr>
                <w:rFonts w:ascii="Arial" w:cs="Arial" w:eastAsia="Arial" w:hAnsi="Arial"/>
                <w:sz w:val="18"/>
                <w:szCs w:val="18"/>
                <w:color w:val="auto"/>
              </w:rPr>
              <w:t>State net operating loss carryforwards</w:t>
            </w:r>
          </w:p>
        </w:tc>
        <w:tc>
          <w:tcPr>
            <w:tcW w:w="1940" w:type="dxa"/>
            <w:vAlign w:val="bottom"/>
            <w:shd w:val="clear" w:color="auto" w:fill="DCE2EF"/>
          </w:tcPr>
          <w:p>
            <w:pPr>
              <w:spacing w:after="0"/>
              <w:rPr>
                <w:sz w:val="19"/>
                <w:szCs w:val="19"/>
                <w:color w:val="auto"/>
              </w:rPr>
            </w:pP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Tax credits</w:t>
            </w:r>
          </w:p>
        </w:tc>
        <w:tc>
          <w:tcPr>
            <w:tcW w:w="1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20" w:type="dxa"/>
            <w:vAlign w:val="bottom"/>
            <w:shd w:val="clear" w:color="auto" w:fill="DCE2EF"/>
          </w:tcPr>
          <w:p>
            <w:pPr>
              <w:spacing w:after="0"/>
              <w:rPr>
                <w:sz w:val="19"/>
                <w:szCs w:val="19"/>
                <w:color w:val="auto"/>
              </w:rPr>
            </w:pPr>
          </w:p>
        </w:tc>
        <w:tc>
          <w:tcPr>
            <w:tcW w:w="4520" w:type="dxa"/>
            <w:vAlign w:val="bottom"/>
            <w:gridSpan w:val="2"/>
            <w:shd w:val="clear" w:color="auto" w:fill="DCE2EF"/>
          </w:tcPr>
          <w:p>
            <w:pPr>
              <w:ind w:left="120"/>
              <w:spacing w:after="0"/>
              <w:rPr>
                <w:sz w:val="20"/>
                <w:szCs w:val="20"/>
                <w:color w:val="auto"/>
              </w:rPr>
            </w:pPr>
            <w:r>
              <w:rPr>
                <w:rFonts w:ascii="Arial" w:cs="Arial" w:eastAsia="Arial" w:hAnsi="Arial"/>
                <w:sz w:val="18"/>
                <w:szCs w:val="18"/>
                <w:color w:val="auto"/>
              </w:rPr>
              <w:t>Unrecognized tax benefits</w:t>
            </w:r>
          </w:p>
        </w:tc>
        <w:tc>
          <w:tcPr>
            <w:tcW w:w="1940" w:type="dxa"/>
            <w:vAlign w:val="bottom"/>
            <w:shd w:val="clear" w:color="auto" w:fill="DCE2EF"/>
          </w:tcPr>
          <w:p>
            <w:pPr>
              <w:spacing w:after="0"/>
              <w:rPr>
                <w:sz w:val="19"/>
                <w:szCs w:val="19"/>
                <w:color w:val="auto"/>
              </w:rPr>
            </w:pP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Deferred payroll taxes</w:t>
            </w:r>
          </w:p>
        </w:tc>
        <w:tc>
          <w:tcPr>
            <w:tcW w:w="1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4520" w:type="dxa"/>
            <w:vAlign w:val="bottom"/>
            <w:gridSpan w:val="2"/>
            <w:shd w:val="clear" w:color="auto" w:fill="DCE2EF"/>
          </w:tcPr>
          <w:p>
            <w:pPr>
              <w:ind w:left="120"/>
              <w:spacing w:after="0"/>
              <w:rPr>
                <w:sz w:val="20"/>
                <w:szCs w:val="20"/>
                <w:color w:val="auto"/>
              </w:rPr>
            </w:pPr>
            <w:r>
              <w:rPr>
                <w:rFonts w:ascii="Arial" w:cs="Arial" w:eastAsia="Arial" w:hAnsi="Arial"/>
                <w:sz w:val="18"/>
                <w:szCs w:val="18"/>
                <w:color w:val="auto"/>
              </w:rPr>
              <w:t>Operating lease liabilities</w:t>
            </w:r>
          </w:p>
        </w:tc>
        <w:tc>
          <w:tcPr>
            <w:tcW w:w="1940" w:type="dxa"/>
            <w:vAlign w:val="bottom"/>
            <w:shd w:val="clear" w:color="auto" w:fill="DCE2EF"/>
          </w:tcPr>
          <w:p>
            <w:pPr>
              <w:spacing w:after="0"/>
              <w:rPr>
                <w:sz w:val="19"/>
                <w:szCs w:val="19"/>
                <w:color w:val="auto"/>
              </w:rPr>
            </w:pPr>
          </w:p>
        </w:tc>
        <w:tc>
          <w:tcPr>
            <w:tcW w:w="540" w:type="dxa"/>
            <w:vAlign w:val="bottom"/>
            <w:tcBorders>
              <w:bottom w:val="single" w:sz="8" w:color="auto"/>
            </w:tcBorders>
            <w:shd w:val="clear" w:color="auto" w:fill="DCE2EF"/>
          </w:tcPr>
          <w:p>
            <w:pPr>
              <w:spacing w:after="0"/>
              <w:rPr>
                <w:sz w:val="19"/>
                <w:szCs w:val="19"/>
                <w:color w:val="auto"/>
              </w:rPr>
            </w:pP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DCE2EF"/>
          </w:tcPr>
          <w:p>
            <w:pPr>
              <w:spacing w:after="0"/>
              <w:rPr>
                <w:sz w:val="19"/>
                <w:szCs w:val="19"/>
                <w:color w:val="auto"/>
              </w:rPr>
            </w:pPr>
          </w:p>
        </w:tc>
        <w:tc>
          <w:tcPr>
            <w:tcW w:w="820" w:type="dxa"/>
            <w:vAlign w:val="bottom"/>
            <w:tcBorders>
              <w:bottom w:val="single" w:sz="8" w:color="auto"/>
            </w:tcBorders>
            <w:shd w:val="clear" w:color="auto" w:fill="DCE2EF"/>
          </w:tcPr>
          <w:p>
            <w:pPr>
              <w:spacing w:after="0"/>
              <w:rPr>
                <w:sz w:val="19"/>
                <w:szCs w:val="19"/>
                <w:color w:val="auto"/>
              </w:rPr>
            </w:pPr>
          </w:p>
        </w:tc>
        <w:tc>
          <w:tcPr>
            <w:tcW w:w="15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Gross deferred tax assets</w:t>
            </w:r>
          </w:p>
        </w:tc>
        <w:tc>
          <w:tcPr>
            <w:tcW w:w="1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266.2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452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Valuation allowance</w:t>
            </w:r>
          </w:p>
        </w:tc>
        <w:tc>
          <w:tcPr>
            <w:tcW w:w="1940" w:type="dxa"/>
            <w:vAlign w:val="bottom"/>
            <w:shd w:val="clear" w:color="auto" w:fill="DCE2EF"/>
          </w:tcPr>
          <w:p>
            <w:pPr>
              <w:spacing w:after="0"/>
              <w:rPr>
                <w:sz w:val="19"/>
                <w:szCs w:val="19"/>
                <w:color w:val="auto"/>
              </w:rPr>
            </w:pPr>
          </w:p>
        </w:tc>
        <w:tc>
          <w:tcPr>
            <w:tcW w:w="540" w:type="dxa"/>
            <w:vAlign w:val="bottom"/>
            <w:tcBorders>
              <w:bottom w:val="single" w:sz="8" w:color="auto"/>
            </w:tcBorders>
            <w:shd w:val="clear" w:color="auto" w:fill="DCE2EF"/>
          </w:tcPr>
          <w:p>
            <w:pPr>
              <w:spacing w:after="0"/>
              <w:rPr>
                <w:sz w:val="19"/>
                <w:szCs w:val="19"/>
                <w:color w:val="auto"/>
              </w:rPr>
            </w:pP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DCE2EF"/>
          </w:tcPr>
          <w:p>
            <w:pPr>
              <w:spacing w:after="0"/>
              <w:rPr>
                <w:sz w:val="19"/>
                <w:szCs w:val="19"/>
                <w:color w:val="auto"/>
              </w:rPr>
            </w:pPr>
          </w:p>
        </w:tc>
        <w:tc>
          <w:tcPr>
            <w:tcW w:w="820" w:type="dxa"/>
            <w:vAlign w:val="bottom"/>
            <w:tcBorders>
              <w:bottom w:val="single" w:sz="8" w:color="auto"/>
            </w:tcBorders>
            <w:shd w:val="clear" w:color="auto" w:fill="DCE2EF"/>
          </w:tcPr>
          <w:p>
            <w:pPr>
              <w:spacing w:after="0"/>
              <w:rPr>
                <w:sz w:val="19"/>
                <w:szCs w:val="19"/>
                <w:color w:val="auto"/>
              </w:rPr>
            </w:pPr>
          </w:p>
        </w:tc>
        <w:tc>
          <w:tcPr>
            <w:tcW w:w="15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Borders>
              <w:bottom w:val="single" w:sz="8" w:color="DCE2EF"/>
            </w:tcBorders>
          </w:tcPr>
          <w:p>
            <w:pPr>
              <w:spacing w:after="0"/>
              <w:rPr>
                <w:sz w:val="19"/>
                <w:szCs w:val="19"/>
                <w:color w:val="auto"/>
              </w:rPr>
            </w:pPr>
          </w:p>
        </w:tc>
        <w:tc>
          <w:tcPr>
            <w:tcW w:w="4520" w:type="dxa"/>
            <w:vAlign w:val="bottom"/>
            <w:tcBorders>
              <w:bottom w:val="single" w:sz="8" w:color="DCE2EF"/>
            </w:tcBorders>
            <w:gridSpan w:val="2"/>
          </w:tcPr>
          <w:p>
            <w:pPr>
              <w:spacing w:after="0"/>
              <w:rPr>
                <w:sz w:val="20"/>
                <w:szCs w:val="20"/>
                <w:color w:val="auto"/>
              </w:rPr>
            </w:pPr>
            <w:r>
              <w:rPr>
                <w:rFonts w:ascii="Arial" w:cs="Arial" w:eastAsia="Arial" w:hAnsi="Arial"/>
                <w:sz w:val="18"/>
                <w:szCs w:val="18"/>
                <w:b w:val="1"/>
                <w:bCs w:val="1"/>
                <w:color w:val="auto"/>
              </w:rPr>
              <w:t>Total deferred tax assets</w:t>
            </w:r>
          </w:p>
        </w:tc>
        <w:tc>
          <w:tcPr>
            <w:tcW w:w="1940" w:type="dxa"/>
            <w:vAlign w:val="bottom"/>
            <w:tcBorders>
              <w:bottom w:val="single" w:sz="8" w:color="DCE2E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120" w:type="dxa"/>
            <w:vAlign w:val="bottom"/>
            <w:tcBorders>
              <w:bottom w:val="single" w:sz="8" w:color="DCE2E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37"/>
        </w:trPr>
        <w:tc>
          <w:tcPr>
            <w:tcW w:w="20" w:type="dxa"/>
            <w:vAlign w:val="bottom"/>
            <w:shd w:val="clear" w:color="auto" w:fill="DCE2EF"/>
          </w:tcPr>
          <w:p>
            <w:pPr>
              <w:spacing w:after="0"/>
              <w:rPr>
                <w:sz w:val="20"/>
                <w:szCs w:val="20"/>
                <w:color w:val="auto"/>
              </w:rPr>
            </w:pPr>
          </w:p>
        </w:tc>
        <w:tc>
          <w:tcPr>
            <w:tcW w:w="720" w:type="dxa"/>
            <w:vAlign w:val="bottom"/>
            <w:shd w:val="clear" w:color="auto" w:fill="DCE2EF"/>
          </w:tcPr>
          <w:p>
            <w:pPr>
              <w:spacing w:after="0"/>
              <w:rPr>
                <w:sz w:val="20"/>
                <w:szCs w:val="20"/>
                <w:color w:val="auto"/>
              </w:rPr>
            </w:pPr>
          </w:p>
        </w:tc>
        <w:tc>
          <w:tcPr>
            <w:tcW w:w="3800" w:type="dxa"/>
            <w:vAlign w:val="bottom"/>
            <w:shd w:val="clear" w:color="auto" w:fill="DCE2EF"/>
          </w:tcPr>
          <w:p>
            <w:pPr>
              <w:spacing w:after="0"/>
              <w:rPr>
                <w:sz w:val="20"/>
                <w:szCs w:val="20"/>
                <w:color w:val="auto"/>
              </w:rPr>
            </w:pPr>
          </w:p>
        </w:tc>
        <w:tc>
          <w:tcPr>
            <w:tcW w:w="1940" w:type="dxa"/>
            <w:vAlign w:val="bottom"/>
            <w:shd w:val="clear" w:color="auto" w:fill="DCE2EF"/>
          </w:tcPr>
          <w:p>
            <w:pPr>
              <w:spacing w:after="0"/>
              <w:rPr>
                <w:sz w:val="20"/>
                <w:szCs w:val="20"/>
                <w:color w:val="auto"/>
              </w:rPr>
            </w:pPr>
          </w:p>
        </w:tc>
        <w:tc>
          <w:tcPr>
            <w:tcW w:w="540" w:type="dxa"/>
            <w:vAlign w:val="bottom"/>
            <w:shd w:val="clear" w:color="auto" w:fill="DCE2EF"/>
          </w:tcPr>
          <w:p>
            <w:pPr>
              <w:spacing w:after="0"/>
              <w:rPr>
                <w:sz w:val="20"/>
                <w:szCs w:val="20"/>
                <w:color w:val="auto"/>
              </w:rPr>
            </w:pPr>
          </w:p>
        </w:tc>
        <w:tc>
          <w:tcPr>
            <w:tcW w:w="1780" w:type="dxa"/>
            <w:vAlign w:val="bottom"/>
            <w:shd w:val="clear" w:color="auto" w:fill="DCE2EF"/>
          </w:tcPr>
          <w:p>
            <w:pPr>
              <w:spacing w:after="0"/>
              <w:rPr>
                <w:sz w:val="20"/>
                <w:szCs w:val="20"/>
                <w:color w:val="auto"/>
              </w:rPr>
            </w:pPr>
          </w:p>
        </w:tc>
        <w:tc>
          <w:tcPr>
            <w:tcW w:w="120" w:type="dxa"/>
            <w:vAlign w:val="bottom"/>
            <w:shd w:val="clear" w:color="auto" w:fill="DCE2EF"/>
          </w:tcPr>
          <w:p>
            <w:pPr>
              <w:spacing w:after="0"/>
              <w:rPr>
                <w:sz w:val="20"/>
                <w:szCs w:val="20"/>
                <w:color w:val="auto"/>
              </w:rPr>
            </w:pPr>
          </w:p>
        </w:tc>
        <w:tc>
          <w:tcPr>
            <w:tcW w:w="820" w:type="dxa"/>
            <w:vAlign w:val="bottom"/>
            <w:shd w:val="clear" w:color="auto" w:fill="DCE2EF"/>
          </w:tcPr>
          <w:p>
            <w:pPr>
              <w:spacing w:after="0"/>
              <w:rPr>
                <w:sz w:val="20"/>
                <w:szCs w:val="20"/>
                <w:color w:val="auto"/>
              </w:rPr>
            </w:pPr>
          </w:p>
        </w:tc>
        <w:tc>
          <w:tcPr>
            <w:tcW w:w="1500" w:type="dxa"/>
            <w:vAlign w:val="bottom"/>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Deferred tax liabilities attributable to:</w:t>
            </w:r>
          </w:p>
        </w:tc>
        <w:tc>
          <w:tcPr>
            <w:tcW w:w="1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4520" w:type="dxa"/>
            <w:vAlign w:val="bottom"/>
            <w:gridSpan w:val="2"/>
            <w:shd w:val="clear" w:color="auto" w:fill="DCE2EF"/>
          </w:tcPr>
          <w:p>
            <w:pPr>
              <w:ind w:left="120"/>
              <w:spacing w:after="0"/>
              <w:rPr>
                <w:sz w:val="20"/>
                <w:szCs w:val="20"/>
                <w:color w:val="auto"/>
              </w:rPr>
            </w:pPr>
            <w:r>
              <w:rPr>
                <w:rFonts w:ascii="Arial" w:cs="Arial" w:eastAsia="Arial" w:hAnsi="Arial"/>
                <w:sz w:val="18"/>
                <w:szCs w:val="18"/>
                <w:color w:val="auto"/>
              </w:rPr>
              <w:t>Property, plant and equipment</w:t>
            </w:r>
          </w:p>
        </w:tc>
        <w:tc>
          <w:tcPr>
            <w:tcW w:w="1940" w:type="dxa"/>
            <w:vAlign w:val="bottom"/>
            <w:shd w:val="clear" w:color="auto" w:fill="DCE2EF"/>
          </w:tcPr>
          <w:p>
            <w:pPr>
              <w:spacing w:after="0"/>
              <w:rPr>
                <w:sz w:val="19"/>
                <w:szCs w:val="19"/>
                <w:color w:val="auto"/>
              </w:rPr>
            </w:pP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Goodwill and other acquired intangibles</w:t>
            </w:r>
          </w:p>
        </w:tc>
        <w:tc>
          <w:tcPr>
            <w:tcW w:w="1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(222.2)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4520" w:type="dxa"/>
            <w:vAlign w:val="bottom"/>
            <w:gridSpan w:val="2"/>
            <w:shd w:val="clear" w:color="auto" w:fill="DCE2EF"/>
          </w:tcPr>
          <w:p>
            <w:pPr>
              <w:ind w:left="120"/>
              <w:spacing w:after="0"/>
              <w:rPr>
                <w:sz w:val="20"/>
                <w:szCs w:val="20"/>
                <w:color w:val="auto"/>
              </w:rPr>
            </w:pPr>
            <w:r>
              <w:rPr>
                <w:rFonts w:ascii="Arial" w:cs="Arial" w:eastAsia="Arial" w:hAnsi="Arial"/>
                <w:sz w:val="18"/>
                <w:szCs w:val="18"/>
                <w:color w:val="auto"/>
              </w:rPr>
              <w:t>Right-of-use assets</w:t>
            </w:r>
          </w:p>
        </w:tc>
        <w:tc>
          <w:tcPr>
            <w:tcW w:w="1940" w:type="dxa"/>
            <w:vAlign w:val="bottom"/>
            <w:shd w:val="clear" w:color="auto" w:fill="DCE2EF"/>
          </w:tcPr>
          <w:p>
            <w:pPr>
              <w:spacing w:after="0"/>
              <w:rPr>
                <w:sz w:val="19"/>
                <w:szCs w:val="19"/>
                <w:color w:val="auto"/>
              </w:rPr>
            </w:pP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Tax accounting method change</w:t>
            </w:r>
          </w:p>
        </w:tc>
        <w:tc>
          <w:tcPr>
            <w:tcW w:w="1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4520" w:type="dxa"/>
            <w:vAlign w:val="bottom"/>
            <w:gridSpan w:val="2"/>
            <w:shd w:val="clear" w:color="auto" w:fill="DCE2EF"/>
          </w:tcPr>
          <w:p>
            <w:pPr>
              <w:ind w:left="120"/>
              <w:spacing w:after="0"/>
              <w:rPr>
                <w:sz w:val="20"/>
                <w:szCs w:val="20"/>
                <w:color w:val="auto"/>
              </w:rPr>
            </w:pPr>
            <w:r>
              <w:rPr>
                <w:rFonts w:ascii="Arial" w:cs="Arial" w:eastAsia="Arial" w:hAnsi="Arial"/>
                <w:sz w:val="18"/>
                <w:szCs w:val="18"/>
                <w:color w:val="auto"/>
              </w:rPr>
              <w:t>Other</w:t>
            </w:r>
          </w:p>
        </w:tc>
        <w:tc>
          <w:tcPr>
            <w:tcW w:w="1940" w:type="dxa"/>
            <w:vAlign w:val="bottom"/>
            <w:shd w:val="clear" w:color="auto" w:fill="DCE2EF"/>
          </w:tcPr>
          <w:p>
            <w:pPr>
              <w:spacing w:after="0"/>
              <w:rPr>
                <w:sz w:val="19"/>
                <w:szCs w:val="19"/>
                <w:color w:val="auto"/>
              </w:rPr>
            </w:pPr>
          </w:p>
        </w:tc>
        <w:tc>
          <w:tcPr>
            <w:tcW w:w="540" w:type="dxa"/>
            <w:vAlign w:val="bottom"/>
            <w:tcBorders>
              <w:bottom w:val="single" w:sz="8" w:color="auto"/>
            </w:tcBorders>
            <w:shd w:val="clear" w:color="auto" w:fill="DCE2EF"/>
          </w:tcPr>
          <w:p>
            <w:pPr>
              <w:spacing w:after="0"/>
              <w:rPr>
                <w:sz w:val="19"/>
                <w:szCs w:val="19"/>
                <w:color w:val="auto"/>
              </w:rPr>
            </w:pP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DCE2EF"/>
          </w:tcPr>
          <w:p>
            <w:pPr>
              <w:spacing w:after="0"/>
              <w:rPr>
                <w:sz w:val="19"/>
                <w:szCs w:val="19"/>
                <w:color w:val="auto"/>
              </w:rPr>
            </w:pPr>
          </w:p>
        </w:tc>
        <w:tc>
          <w:tcPr>
            <w:tcW w:w="820" w:type="dxa"/>
            <w:vAlign w:val="bottom"/>
            <w:tcBorders>
              <w:bottom w:val="single" w:sz="8" w:color="auto"/>
            </w:tcBorders>
            <w:shd w:val="clear" w:color="auto" w:fill="DCE2EF"/>
          </w:tcPr>
          <w:p>
            <w:pPr>
              <w:spacing w:after="0"/>
              <w:rPr>
                <w:sz w:val="19"/>
                <w:szCs w:val="19"/>
                <w:color w:val="auto"/>
              </w:rPr>
            </w:pPr>
          </w:p>
        </w:tc>
        <w:tc>
          <w:tcPr>
            <w:tcW w:w="15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20" w:type="dxa"/>
            <w:vAlign w:val="bottom"/>
            <w:tcBorders>
              <w:bottom w:val="single" w:sz="8" w:color="DCE2EF"/>
            </w:tcBorders>
          </w:tcPr>
          <w:p>
            <w:pPr>
              <w:spacing w:after="0"/>
              <w:rPr>
                <w:sz w:val="19"/>
                <w:szCs w:val="19"/>
                <w:color w:val="auto"/>
              </w:rPr>
            </w:pPr>
          </w:p>
        </w:tc>
        <w:tc>
          <w:tcPr>
            <w:tcW w:w="4520" w:type="dxa"/>
            <w:vAlign w:val="bottom"/>
            <w:tcBorders>
              <w:bottom w:val="single" w:sz="8" w:color="DCE2EF"/>
            </w:tcBorders>
            <w:gridSpan w:val="2"/>
          </w:tcPr>
          <w:p>
            <w:pPr>
              <w:spacing w:after="0"/>
              <w:rPr>
                <w:sz w:val="20"/>
                <w:szCs w:val="20"/>
                <w:color w:val="auto"/>
              </w:rPr>
            </w:pPr>
            <w:r>
              <w:rPr>
                <w:rFonts w:ascii="Arial" w:cs="Arial" w:eastAsia="Arial" w:hAnsi="Arial"/>
                <w:sz w:val="18"/>
                <w:szCs w:val="18"/>
                <w:b w:val="1"/>
                <w:bCs w:val="1"/>
                <w:color w:val="auto"/>
              </w:rPr>
              <w:t>Total deferred tax liabilities</w:t>
            </w:r>
          </w:p>
        </w:tc>
        <w:tc>
          <w:tcPr>
            <w:tcW w:w="1940" w:type="dxa"/>
            <w:vAlign w:val="bottom"/>
            <w:tcBorders>
              <w:bottom w:val="single" w:sz="8" w:color="DCE2E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120" w:type="dxa"/>
            <w:vAlign w:val="bottom"/>
            <w:tcBorders>
              <w:bottom w:val="single" w:sz="8" w:color="DCE2E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37"/>
        </w:trPr>
        <w:tc>
          <w:tcPr>
            <w:tcW w:w="20" w:type="dxa"/>
            <w:vAlign w:val="bottom"/>
            <w:shd w:val="clear" w:color="auto" w:fill="DCE2EF"/>
          </w:tcPr>
          <w:p>
            <w:pPr>
              <w:spacing w:after="0"/>
              <w:rPr>
                <w:sz w:val="20"/>
                <w:szCs w:val="20"/>
                <w:color w:val="auto"/>
              </w:rPr>
            </w:pPr>
          </w:p>
        </w:tc>
        <w:tc>
          <w:tcPr>
            <w:tcW w:w="720" w:type="dxa"/>
            <w:vAlign w:val="bottom"/>
            <w:shd w:val="clear" w:color="auto" w:fill="DCE2EF"/>
          </w:tcPr>
          <w:p>
            <w:pPr>
              <w:spacing w:after="0"/>
              <w:rPr>
                <w:sz w:val="20"/>
                <w:szCs w:val="20"/>
                <w:color w:val="auto"/>
              </w:rPr>
            </w:pPr>
          </w:p>
        </w:tc>
        <w:tc>
          <w:tcPr>
            <w:tcW w:w="3800" w:type="dxa"/>
            <w:vAlign w:val="bottom"/>
            <w:shd w:val="clear" w:color="auto" w:fill="DCE2EF"/>
          </w:tcPr>
          <w:p>
            <w:pPr>
              <w:spacing w:after="0"/>
              <w:rPr>
                <w:sz w:val="20"/>
                <w:szCs w:val="20"/>
                <w:color w:val="auto"/>
              </w:rPr>
            </w:pPr>
          </w:p>
        </w:tc>
        <w:tc>
          <w:tcPr>
            <w:tcW w:w="1940" w:type="dxa"/>
            <w:vAlign w:val="bottom"/>
            <w:shd w:val="clear" w:color="auto" w:fill="DCE2EF"/>
          </w:tcPr>
          <w:p>
            <w:pPr>
              <w:spacing w:after="0"/>
              <w:rPr>
                <w:sz w:val="20"/>
                <w:szCs w:val="20"/>
                <w:color w:val="auto"/>
              </w:rPr>
            </w:pPr>
          </w:p>
        </w:tc>
        <w:tc>
          <w:tcPr>
            <w:tcW w:w="540" w:type="dxa"/>
            <w:vAlign w:val="bottom"/>
            <w:shd w:val="clear" w:color="auto" w:fill="DCE2EF"/>
          </w:tcPr>
          <w:p>
            <w:pPr>
              <w:spacing w:after="0"/>
              <w:rPr>
                <w:sz w:val="20"/>
                <w:szCs w:val="20"/>
                <w:color w:val="auto"/>
              </w:rPr>
            </w:pPr>
          </w:p>
        </w:tc>
        <w:tc>
          <w:tcPr>
            <w:tcW w:w="1780" w:type="dxa"/>
            <w:vAlign w:val="bottom"/>
            <w:shd w:val="clear" w:color="auto" w:fill="DCE2EF"/>
          </w:tcPr>
          <w:p>
            <w:pPr>
              <w:spacing w:after="0"/>
              <w:rPr>
                <w:sz w:val="20"/>
                <w:szCs w:val="20"/>
                <w:color w:val="auto"/>
              </w:rPr>
            </w:pPr>
          </w:p>
        </w:tc>
        <w:tc>
          <w:tcPr>
            <w:tcW w:w="120" w:type="dxa"/>
            <w:vAlign w:val="bottom"/>
            <w:shd w:val="clear" w:color="auto" w:fill="DCE2EF"/>
          </w:tcPr>
          <w:p>
            <w:pPr>
              <w:spacing w:after="0"/>
              <w:rPr>
                <w:sz w:val="20"/>
                <w:szCs w:val="20"/>
                <w:color w:val="auto"/>
              </w:rPr>
            </w:pPr>
          </w:p>
        </w:tc>
        <w:tc>
          <w:tcPr>
            <w:tcW w:w="820" w:type="dxa"/>
            <w:vAlign w:val="bottom"/>
            <w:shd w:val="clear" w:color="auto" w:fill="DCE2EF"/>
          </w:tcPr>
          <w:p>
            <w:pPr>
              <w:spacing w:after="0"/>
              <w:rPr>
                <w:sz w:val="20"/>
                <w:szCs w:val="20"/>
                <w:color w:val="auto"/>
              </w:rPr>
            </w:pPr>
          </w:p>
        </w:tc>
        <w:tc>
          <w:tcPr>
            <w:tcW w:w="1500" w:type="dxa"/>
            <w:vAlign w:val="bottom"/>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Net deferred tax liabilities</w:t>
            </w:r>
          </w:p>
        </w:tc>
        <w:tc>
          <w:tcPr>
            <w:tcW w:w="24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40" w:type="dxa"/>
            <w:vAlign w:val="bottom"/>
            <w:vMerge w:val="restart"/>
          </w:tcPr>
          <w:p>
            <w:pPr>
              <w:jc w:val="right"/>
              <w:ind w:right="670"/>
              <w:spacing w:after="0"/>
              <w:rPr>
                <w:sz w:val="20"/>
                <w:szCs w:val="20"/>
                <w:color w:val="auto"/>
              </w:rPr>
            </w:pPr>
            <w:r>
              <w:rPr>
                <w:rFonts w:ascii="Arial" w:cs="Arial" w:eastAsia="Arial" w:hAnsi="Arial"/>
                <w:sz w:val="18"/>
                <w:szCs w:val="18"/>
                <w:color w:val="auto"/>
              </w:rPr>
              <w:t>89</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0046AD"/>
        </w:rPr>
        <w:t>Net Operating Loss Carryforwards and Credits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State net operating loss carryforwards totaling $74.2 million at October 31, 2021, are being carried forward in several state jurisdictions where we are permitted to use net operating losses from prior periods to reduce future taxable income. These losses will expire between 2022 and 2041. Federal net operating loss carryforwards were fully utilized during 2020. Federal and state tax credit carryforwards totaling $3.4 million are available to reduce future cash taxes and will expire between 2022 and 2041.</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valuation allowance represents the amount of tax benefits related to state net operating loss carryforwards that are not likely to be realized. We believe the remaining deferred tax assets are more likely than not to be realizable based on estimates of future taxable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Changes to the Valuation Allowance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center"/>
              <w:ind w:left="750"/>
              <w:spacing w:after="0"/>
              <w:rPr>
                <w:sz w:val="20"/>
                <w:szCs w:val="20"/>
                <w:color w:val="auto"/>
              </w:rPr>
            </w:pPr>
            <w:r>
              <w:rPr>
                <w:rFonts w:ascii="Arial" w:cs="Arial" w:eastAsia="Arial" w:hAnsi="Arial"/>
                <w:sz w:val="18"/>
                <w:szCs w:val="18"/>
                <w:b w:val="1"/>
                <w:bCs w:val="1"/>
                <w:color w:val="auto"/>
                <w:w w:val="99"/>
              </w:rPr>
              <w:t>Years Ended October 31,</w:t>
            </w:r>
          </w:p>
        </w:tc>
        <w:tc>
          <w:tcPr>
            <w:tcW w:w="11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4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1180" w:type="dxa"/>
            <w:vAlign w:val="bottom"/>
          </w:tcPr>
          <w:p>
            <w:pPr>
              <w:jc w:val="right"/>
              <w:ind w:right="47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47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2019</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568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640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Valuation allowance at beginning of year</w:t>
            </w: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CE2EF"/>
          </w:tcPr>
          <w:p>
            <w:pPr>
              <w:jc w:val="center"/>
              <w:ind w:left="690"/>
              <w:spacing w:after="0"/>
              <w:rPr>
                <w:sz w:val="20"/>
                <w:szCs w:val="20"/>
                <w:color w:val="auto"/>
              </w:rPr>
            </w:pPr>
            <w:r>
              <w:rPr>
                <w:rFonts w:ascii="Arial" w:cs="Arial" w:eastAsia="Arial" w:hAnsi="Arial"/>
                <w:sz w:val="18"/>
                <w:szCs w:val="18"/>
                <w:color w:val="auto"/>
                <w:w w:val="95"/>
              </w:rPr>
              <w:t>4.1</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CE2EF"/>
          </w:tcPr>
          <w:p>
            <w:pPr>
              <w:jc w:val="center"/>
              <w:ind w:left="690"/>
              <w:spacing w:after="0"/>
              <w:rPr>
                <w:sz w:val="20"/>
                <w:szCs w:val="20"/>
                <w:color w:val="auto"/>
              </w:rPr>
            </w:pPr>
            <w:r>
              <w:rPr>
                <w:rFonts w:ascii="Arial" w:cs="Arial" w:eastAsia="Arial" w:hAnsi="Arial"/>
                <w:sz w:val="18"/>
                <w:szCs w:val="18"/>
                <w:color w:val="auto"/>
                <w:w w:val="95"/>
              </w:rPr>
              <w:t>8.4</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20" w:type="dxa"/>
            <w:vAlign w:val="bottom"/>
            <w:tcBorders>
              <w:bottom w:val="single" w:sz="8" w:color="DCE2EF"/>
            </w:tcBorders>
          </w:tcPr>
          <w:p>
            <w:pPr>
              <w:spacing w:after="0"/>
              <w:rPr>
                <w:sz w:val="19"/>
                <w:szCs w:val="19"/>
                <w:color w:val="auto"/>
              </w:rPr>
            </w:pPr>
          </w:p>
        </w:tc>
        <w:tc>
          <w:tcPr>
            <w:tcW w:w="6400" w:type="dxa"/>
            <w:vAlign w:val="bottom"/>
            <w:tcBorders>
              <w:bottom w:val="single" w:sz="8" w:color="DCE2EF"/>
            </w:tcBorders>
            <w:gridSpan w:val="2"/>
          </w:tcPr>
          <w:p>
            <w:pPr>
              <w:ind w:left="12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DCE2E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48"/>
        </w:trPr>
        <w:tc>
          <w:tcPr>
            <w:tcW w:w="20" w:type="dxa"/>
            <w:vAlign w:val="bottom"/>
            <w:tcBorders>
              <w:bottom w:val="single" w:sz="8" w:color="DCE2EF"/>
            </w:tcBorders>
            <w:shd w:val="clear" w:color="auto" w:fill="DCE2EF"/>
          </w:tcPr>
          <w:p>
            <w:pPr>
              <w:spacing w:after="0"/>
              <w:rPr>
                <w:sz w:val="21"/>
                <w:szCs w:val="21"/>
                <w:color w:val="auto"/>
              </w:rPr>
            </w:pPr>
          </w:p>
        </w:tc>
        <w:tc>
          <w:tcPr>
            <w:tcW w:w="640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b w:val="1"/>
                <w:bCs w:val="1"/>
                <w:color w:val="auto"/>
              </w:rPr>
              <w:t>Valuation allowance at end of year</w:t>
            </w:r>
          </w:p>
        </w:tc>
        <w:tc>
          <w:tcPr>
            <w:tcW w:w="340" w:type="dxa"/>
            <w:vAlign w:val="bottom"/>
            <w:tcBorders>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CE2EF"/>
          </w:tcPr>
          <w:p>
            <w:pPr>
              <w:jc w:val="center"/>
              <w:ind w:left="690"/>
              <w:spacing w:after="0"/>
              <w:rPr>
                <w:sz w:val="20"/>
                <w:szCs w:val="20"/>
                <w:color w:val="auto"/>
              </w:rPr>
            </w:pPr>
            <w:r>
              <w:rPr>
                <w:rFonts w:ascii="Arial" w:cs="Arial" w:eastAsia="Arial" w:hAnsi="Arial"/>
                <w:sz w:val="18"/>
                <w:szCs w:val="18"/>
                <w:color w:val="auto"/>
                <w:w w:val="95"/>
              </w:rPr>
              <w:t>2.2</w:t>
            </w:r>
          </w:p>
        </w:tc>
        <w:tc>
          <w:tcPr>
            <w:tcW w:w="120" w:type="dxa"/>
            <w:vAlign w:val="bottom"/>
            <w:tcBorders>
              <w:bottom w:val="single" w:sz="8" w:color="DCE2EF"/>
            </w:tcBorders>
            <w:shd w:val="clear" w:color="auto" w:fill="DCE2EF"/>
          </w:tcPr>
          <w:p>
            <w:pPr>
              <w:spacing w:after="0"/>
              <w:rPr>
                <w:sz w:val="21"/>
                <w:szCs w:val="21"/>
                <w:color w:val="auto"/>
              </w:rPr>
            </w:pPr>
          </w:p>
        </w:tc>
        <w:tc>
          <w:tcPr>
            <w:tcW w:w="340" w:type="dxa"/>
            <w:vAlign w:val="bottom"/>
            <w:tcBorders>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CE2EF"/>
          </w:tcPr>
          <w:p>
            <w:pPr>
              <w:jc w:val="center"/>
              <w:ind w:left="690"/>
              <w:spacing w:after="0"/>
              <w:rPr>
                <w:sz w:val="20"/>
                <w:szCs w:val="20"/>
                <w:color w:val="auto"/>
              </w:rPr>
            </w:pPr>
            <w:r>
              <w:rPr>
                <w:rFonts w:ascii="Arial" w:cs="Arial" w:eastAsia="Arial" w:hAnsi="Arial"/>
                <w:sz w:val="18"/>
                <w:szCs w:val="18"/>
                <w:color w:val="auto"/>
                <w:w w:val="95"/>
              </w:rPr>
              <w:t>4.1</w:t>
            </w:r>
          </w:p>
        </w:tc>
        <w:tc>
          <w:tcPr>
            <w:tcW w:w="10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auto"/>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568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DCE2EF"/>
              <w:bottom w:val="single" w:sz="8" w:color="auto"/>
            </w:tcBorders>
          </w:tcPr>
          <w:p>
            <w:pPr>
              <w:spacing w:after="0" w:line="20" w:lineRule="exact"/>
              <w:rPr>
                <w:sz w:val="1"/>
                <w:szCs w:val="1"/>
                <w:color w:val="auto"/>
              </w:rPr>
            </w:pPr>
          </w:p>
        </w:tc>
        <w:tc>
          <w:tcPr>
            <w:tcW w:w="1160" w:type="dxa"/>
            <w:vAlign w:val="bottom"/>
            <w:tcBorders>
              <w:top w:val="single" w:sz="8" w:color="DCE2E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Unrecognized Tax Benefits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October 31, 2021, 2020, and 2019, there were $30.4 million, $35.5 million, and $ 35.3 million, respectively, of unrecognized tax benefits that if recognized in the future would impact our effective tax rate. We estimate that a decrease in unrecognized tax benefits of up to approximately $ 8.3 million is reasonably possible over the next 12 months due to lapses of applicable statutes of limitations. At October 31, 2021 and 2020, accrued interest and penalties were $1.6 million and $1.5 million, respectively. For interest and penalties, we recognized an expense of $0.1 million and $0.4 million in 2021 and 2020, respectively, and a benefit of $0.2 million in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Reconciliation of Total Unrecognized Tax Benefits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Years Ended October 31,</w:t>
            </w:r>
          </w:p>
        </w:tc>
        <w:tc>
          <w:tcPr>
            <w:tcW w:w="11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3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120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470"/>
              <w:spacing w:after="0" w:line="182" w:lineRule="exact"/>
              <w:rPr>
                <w:sz w:val="20"/>
                <w:szCs w:val="20"/>
                <w:color w:val="auto"/>
              </w:rPr>
            </w:pPr>
            <w:r>
              <w:rPr>
                <w:rFonts w:ascii="Arial" w:cs="Arial" w:eastAsia="Arial" w:hAnsi="Arial"/>
                <w:sz w:val="18"/>
                <w:szCs w:val="18"/>
                <w:b w:val="1"/>
                <w:bCs w:val="1"/>
                <w:color w:val="auto"/>
              </w:rPr>
              <w:t>2019</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56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634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Balance at beginning of year</w:t>
            </w: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35.8</w:t>
            </w:r>
          </w:p>
        </w:tc>
      </w:tr>
      <w:tr>
        <w:trPr>
          <w:trHeight w:val="230"/>
        </w:trPr>
        <w:tc>
          <w:tcPr>
            <w:tcW w:w="20" w:type="dxa"/>
            <w:vAlign w:val="bottom"/>
          </w:tcPr>
          <w:p>
            <w:pPr>
              <w:spacing w:after="0"/>
              <w:rPr>
                <w:sz w:val="19"/>
                <w:szCs w:val="19"/>
                <w:color w:val="auto"/>
              </w:rPr>
            </w:pPr>
          </w:p>
        </w:tc>
        <w:tc>
          <w:tcPr>
            <w:tcW w:w="6340" w:type="dxa"/>
            <w:vAlign w:val="bottom"/>
            <w:gridSpan w:val="2"/>
          </w:tcPr>
          <w:p>
            <w:pPr>
              <w:ind w:left="120"/>
              <w:spacing w:after="0"/>
              <w:rPr>
                <w:sz w:val="20"/>
                <w:szCs w:val="20"/>
                <w:color w:val="auto"/>
              </w:rPr>
            </w:pPr>
            <w:r>
              <w:rPr>
                <w:rFonts w:ascii="Arial" w:cs="Arial" w:eastAsia="Arial" w:hAnsi="Arial"/>
                <w:sz w:val="18"/>
                <w:szCs w:val="18"/>
                <w:color w:val="auto"/>
              </w:rPr>
              <w:t>Additions for tax positions related to the current year</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DCE2EF"/>
          </w:tcPr>
          <w:p>
            <w:pPr>
              <w:spacing w:after="0"/>
              <w:rPr>
                <w:sz w:val="19"/>
                <w:szCs w:val="19"/>
                <w:color w:val="auto"/>
              </w:rPr>
            </w:pPr>
          </w:p>
        </w:tc>
        <w:tc>
          <w:tcPr>
            <w:tcW w:w="6340" w:type="dxa"/>
            <w:vAlign w:val="bottom"/>
            <w:gridSpan w:val="2"/>
            <w:shd w:val="clear" w:color="auto" w:fill="DCE2EF"/>
          </w:tcPr>
          <w:p>
            <w:pPr>
              <w:ind w:left="120"/>
              <w:spacing w:after="0"/>
              <w:rPr>
                <w:sz w:val="20"/>
                <w:szCs w:val="20"/>
                <w:color w:val="auto"/>
              </w:rPr>
            </w:pPr>
            <w:r>
              <w:rPr>
                <w:rFonts w:ascii="Arial" w:cs="Arial" w:eastAsia="Arial" w:hAnsi="Arial"/>
                <w:sz w:val="18"/>
                <w:szCs w:val="18"/>
                <w:color w:val="auto"/>
              </w:rPr>
              <w:t>Additions for tax positions related to prior years</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20" w:type="dxa"/>
            <w:vAlign w:val="bottom"/>
          </w:tcPr>
          <w:p>
            <w:pPr>
              <w:spacing w:after="0"/>
              <w:rPr>
                <w:sz w:val="19"/>
                <w:szCs w:val="19"/>
                <w:color w:val="auto"/>
              </w:rPr>
            </w:pPr>
          </w:p>
        </w:tc>
        <w:tc>
          <w:tcPr>
            <w:tcW w:w="6340" w:type="dxa"/>
            <w:vAlign w:val="bottom"/>
            <w:gridSpan w:val="2"/>
          </w:tcPr>
          <w:p>
            <w:pPr>
              <w:ind w:left="120"/>
              <w:spacing w:after="0"/>
              <w:rPr>
                <w:sz w:val="20"/>
                <w:szCs w:val="20"/>
                <w:color w:val="auto"/>
              </w:rPr>
            </w:pPr>
            <w:r>
              <w:rPr>
                <w:rFonts w:ascii="Arial" w:cs="Arial" w:eastAsia="Arial" w:hAnsi="Arial"/>
                <w:sz w:val="18"/>
                <w:szCs w:val="18"/>
                <w:color w:val="auto"/>
              </w:rPr>
              <w:t>Reductions for tax positions related to prior years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DCE2EF"/>
          </w:tcPr>
          <w:p>
            <w:pPr>
              <w:spacing w:after="0"/>
              <w:rPr>
                <w:sz w:val="19"/>
                <w:szCs w:val="19"/>
                <w:color w:val="auto"/>
              </w:rPr>
            </w:pPr>
          </w:p>
        </w:tc>
        <w:tc>
          <w:tcPr>
            <w:tcW w:w="6340" w:type="dxa"/>
            <w:vAlign w:val="bottom"/>
            <w:gridSpan w:val="2"/>
            <w:shd w:val="clear" w:color="auto" w:fill="DCE2EF"/>
          </w:tcPr>
          <w:p>
            <w:pPr>
              <w:ind w:left="120"/>
              <w:spacing w:after="0"/>
              <w:rPr>
                <w:sz w:val="20"/>
                <w:szCs w:val="20"/>
                <w:color w:val="auto"/>
              </w:rPr>
            </w:pPr>
            <w:r>
              <w:rPr>
                <w:rFonts w:ascii="Arial" w:cs="Arial" w:eastAsia="Arial" w:hAnsi="Arial"/>
                <w:sz w:val="18"/>
                <w:szCs w:val="18"/>
                <w:color w:val="auto"/>
              </w:rPr>
              <w:t>Reductions for lapse of statute of limitations</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20" w:type="dxa"/>
            <w:vAlign w:val="bottom"/>
            <w:tcBorders>
              <w:bottom w:val="single" w:sz="8" w:color="DCE2EF"/>
            </w:tcBorders>
          </w:tcPr>
          <w:p>
            <w:pPr>
              <w:spacing w:after="0"/>
              <w:rPr>
                <w:sz w:val="19"/>
                <w:szCs w:val="19"/>
                <w:color w:val="auto"/>
              </w:rPr>
            </w:pPr>
          </w:p>
        </w:tc>
        <w:tc>
          <w:tcPr>
            <w:tcW w:w="6340" w:type="dxa"/>
            <w:vAlign w:val="bottom"/>
            <w:tcBorders>
              <w:bottom w:val="single" w:sz="8" w:color="DCE2EF"/>
            </w:tcBorders>
            <w:gridSpan w:val="2"/>
          </w:tcPr>
          <w:p>
            <w:pPr>
              <w:ind w:left="120"/>
              <w:spacing w:after="0"/>
              <w:rPr>
                <w:sz w:val="20"/>
                <w:szCs w:val="20"/>
                <w:color w:val="auto"/>
              </w:rPr>
            </w:pPr>
            <w:r>
              <w:rPr>
                <w:rFonts w:ascii="Arial" w:cs="Arial" w:eastAsia="Arial" w:hAnsi="Arial"/>
                <w:sz w:val="18"/>
                <w:szCs w:val="18"/>
                <w:color w:val="auto"/>
              </w:rPr>
              <w:t>Settlements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DCE2E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8"/>
        </w:trPr>
        <w:tc>
          <w:tcPr>
            <w:tcW w:w="20" w:type="dxa"/>
            <w:vAlign w:val="bottom"/>
            <w:tcBorders>
              <w:bottom w:val="single" w:sz="8" w:color="DCE2EF"/>
            </w:tcBorders>
            <w:shd w:val="clear" w:color="auto" w:fill="DCE2EF"/>
          </w:tcPr>
          <w:p>
            <w:pPr>
              <w:spacing w:after="0"/>
              <w:rPr>
                <w:sz w:val="21"/>
                <w:szCs w:val="21"/>
                <w:color w:val="auto"/>
              </w:rPr>
            </w:pPr>
          </w:p>
        </w:tc>
        <w:tc>
          <w:tcPr>
            <w:tcW w:w="63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b w:val="1"/>
                <w:bCs w:val="1"/>
                <w:color w:val="auto"/>
              </w:rPr>
              <w:t>Balance at end of year</w:t>
            </w:r>
          </w:p>
        </w:tc>
        <w:tc>
          <w:tcPr>
            <w:tcW w:w="340" w:type="dxa"/>
            <w:vAlign w:val="bottom"/>
            <w:tcBorders>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DCE2EF"/>
            </w:tcBorders>
            <w:shd w:val="clear" w:color="auto" w:fill="DCE2EF"/>
          </w:tcPr>
          <w:p>
            <w:pPr>
              <w:spacing w:after="0"/>
              <w:rPr>
                <w:sz w:val="21"/>
                <w:szCs w:val="21"/>
                <w:color w:val="auto"/>
              </w:rPr>
            </w:pPr>
          </w:p>
        </w:tc>
        <w:tc>
          <w:tcPr>
            <w:tcW w:w="340" w:type="dxa"/>
            <w:vAlign w:val="bottom"/>
            <w:tcBorders>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DCE2EF"/>
            </w:tcBorders>
            <w:shd w:val="clear" w:color="auto" w:fill="DCE2EF"/>
          </w:tcPr>
          <w:p>
            <w:pPr>
              <w:spacing w:after="0"/>
              <w:rPr>
                <w:sz w:val="21"/>
                <w:szCs w:val="21"/>
                <w:color w:val="auto"/>
              </w:rPr>
            </w:pPr>
          </w:p>
        </w:tc>
        <w:tc>
          <w:tcPr>
            <w:tcW w:w="380" w:type="dxa"/>
            <w:vAlign w:val="bottom"/>
            <w:tcBorders>
              <w:bottom w:val="single" w:sz="8" w:color="auto"/>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35.3</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562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1160" w:type="dxa"/>
            <w:vAlign w:val="bottom"/>
            <w:tcBorders>
              <w:top w:val="single" w:sz="8" w:color="DCE2E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Jurisdictions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conduct business in all 50 states, significantly in California, Texas, and New York, as well as in various foreign jurisdictions. Our most significant income tax jurisdiction is the United States. Due to expired statutes and closed audits, our federal income tax returns for years prior to fiscal 2018 are no longer subject to examination by the U.S. Internal Revenue Service. Generally, for the majority of state and foreign jurisdictions where we do business, periods prior to fiscal 2018 are no longer subject to examination. We are currently being examined by the IRS and tax authorities of California, New York City, and Montana.</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0046AD"/>
        </w:rPr>
        <w:t>17. SEGMENT AND GEOGRAPHIC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Segment Information</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current reportable segments consist of B&amp;I, T&amp;M, Education, Aviation, and Technical Solutions, as further described below. The newly acquired Able is integrated within our B&amp;I reportable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109220</wp:posOffset>
            </wp:positionV>
            <wp:extent cx="7123430" cy="22631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23430" cy="2263140"/>
                    </a:xfrm>
                    <a:prstGeom prst="rect">
                      <a:avLst/>
                    </a:prstGeom>
                    <a:noFill/>
                  </pic:spPr>
                </pic:pic>
              </a:graphicData>
            </a:graphic>
          </wp:anchor>
        </w:drawing>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46AD"/>
        </w:rPr>
        <w:t>REPORTABLE SEGMENTS AND DESCRIPTIONS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300" w:type="dxa"/>
            <w:vAlign w:val="bottom"/>
            <w:tcBorders>
              <w:top w:val="single" w:sz="8" w:color="auto"/>
              <w:right w:val="single" w:sz="8" w:color="auto"/>
            </w:tcBorders>
          </w:tcPr>
          <w:p>
            <w:pPr>
              <w:spacing w:after="0"/>
              <w:rPr>
                <w:sz w:val="15"/>
                <w:szCs w:val="15"/>
                <w:color w:val="auto"/>
              </w:rPr>
            </w:pPr>
          </w:p>
        </w:tc>
        <w:tc>
          <w:tcPr>
            <w:tcW w:w="79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B&amp;I, our largest reportable segment, encompasses janitorial, facilities services, and parking</w:t>
            </w:r>
          </w:p>
        </w:tc>
        <w:tc>
          <w:tcPr>
            <w:tcW w:w="0" w:type="dxa"/>
            <w:vAlign w:val="bottom"/>
          </w:tcPr>
          <w:p>
            <w:pPr>
              <w:spacing w:after="0"/>
              <w:rPr>
                <w:sz w:val="1"/>
                <w:szCs w:val="1"/>
                <w:color w:val="auto"/>
              </w:rPr>
            </w:pPr>
          </w:p>
        </w:tc>
      </w:tr>
      <w:tr>
        <w:trPr>
          <w:trHeight w:val="175"/>
        </w:trPr>
        <w:tc>
          <w:tcPr>
            <w:tcW w:w="3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B&amp;I</w:t>
            </w:r>
          </w:p>
        </w:tc>
        <w:tc>
          <w:tcPr>
            <w:tcW w:w="7920" w:type="dxa"/>
            <w:vAlign w:val="bottom"/>
          </w:tcPr>
          <w:p>
            <w:pPr>
              <w:ind w:left="20"/>
              <w:spacing w:after="0" w:line="176" w:lineRule="exact"/>
              <w:rPr>
                <w:sz w:val="20"/>
                <w:szCs w:val="20"/>
                <w:color w:val="auto"/>
              </w:rPr>
            </w:pPr>
            <w:r>
              <w:rPr>
                <w:rFonts w:ascii="Arial" w:cs="Arial" w:eastAsia="Arial" w:hAnsi="Arial"/>
                <w:sz w:val="18"/>
                <w:szCs w:val="18"/>
                <w:color w:val="auto"/>
              </w:rPr>
              <w:t>services for commercial real estate properties, sports and entertainment venues, and traditional</w:t>
            </w:r>
          </w:p>
        </w:tc>
        <w:tc>
          <w:tcPr>
            <w:tcW w:w="0" w:type="dxa"/>
            <w:vAlign w:val="bottom"/>
          </w:tcPr>
          <w:p>
            <w:pPr>
              <w:spacing w:after="0"/>
              <w:rPr>
                <w:sz w:val="1"/>
                <w:szCs w:val="1"/>
                <w:color w:val="auto"/>
              </w:rPr>
            </w:pPr>
          </w:p>
        </w:tc>
      </w:tr>
      <w:tr>
        <w:trPr>
          <w:trHeight w:val="122"/>
        </w:trPr>
        <w:tc>
          <w:tcPr>
            <w:tcW w:w="3300" w:type="dxa"/>
            <w:vAlign w:val="bottom"/>
            <w:tcBorders>
              <w:right w:val="single" w:sz="8" w:color="auto"/>
            </w:tcBorders>
            <w:vMerge w:val="continue"/>
          </w:tcPr>
          <w:p>
            <w:pPr>
              <w:spacing w:after="0"/>
              <w:rPr>
                <w:sz w:val="10"/>
                <w:szCs w:val="10"/>
                <w:color w:val="auto"/>
              </w:rPr>
            </w:pPr>
          </w:p>
        </w:tc>
        <w:tc>
          <w:tcPr>
            <w:tcW w:w="792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hospitals and non-acute healthcare facilities. B&amp;I also provides vehicle maintenance and other</w:t>
            </w:r>
          </w:p>
        </w:tc>
        <w:tc>
          <w:tcPr>
            <w:tcW w:w="0" w:type="dxa"/>
            <w:vAlign w:val="bottom"/>
          </w:tcPr>
          <w:p>
            <w:pPr>
              <w:spacing w:after="0"/>
              <w:rPr>
                <w:sz w:val="1"/>
                <w:szCs w:val="1"/>
                <w:color w:val="auto"/>
              </w:rPr>
            </w:pPr>
          </w:p>
        </w:tc>
      </w:tr>
      <w:tr>
        <w:trPr>
          <w:trHeight w:val="53"/>
        </w:trPr>
        <w:tc>
          <w:tcPr>
            <w:tcW w:w="3300" w:type="dxa"/>
            <w:vAlign w:val="bottom"/>
            <w:tcBorders>
              <w:right w:val="single" w:sz="8" w:color="auto"/>
            </w:tcBorders>
          </w:tcPr>
          <w:p>
            <w:pPr>
              <w:spacing w:after="0"/>
              <w:rPr>
                <w:sz w:val="4"/>
                <w:szCs w:val="4"/>
                <w:color w:val="auto"/>
              </w:rPr>
            </w:pPr>
          </w:p>
        </w:tc>
        <w:tc>
          <w:tcPr>
            <w:tcW w:w="7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300" w:type="dxa"/>
            <w:vAlign w:val="bottom"/>
            <w:tcBorders>
              <w:bottom w:val="single" w:sz="8" w:color="auto"/>
              <w:right w:val="single" w:sz="8" w:color="auto"/>
            </w:tcBorders>
          </w:tcPr>
          <w:p>
            <w:pPr>
              <w:spacing w:after="0"/>
              <w:rPr>
                <w:sz w:val="18"/>
                <w:szCs w:val="18"/>
                <w:color w:val="auto"/>
              </w:rPr>
            </w:pPr>
          </w:p>
        </w:tc>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services to rental car providers.</w:t>
            </w:r>
          </w:p>
        </w:tc>
        <w:tc>
          <w:tcPr>
            <w:tcW w:w="0" w:type="dxa"/>
            <w:vAlign w:val="bottom"/>
          </w:tcPr>
          <w:p>
            <w:pPr>
              <w:spacing w:after="0"/>
              <w:rPr>
                <w:sz w:val="1"/>
                <w:szCs w:val="1"/>
                <w:color w:val="auto"/>
              </w:rPr>
            </w:pPr>
          </w:p>
        </w:tc>
      </w:tr>
      <w:tr>
        <w:trPr>
          <w:trHeight w:val="290"/>
        </w:trPr>
        <w:tc>
          <w:tcPr>
            <w:tcW w:w="3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T&amp;M</w:t>
            </w:r>
          </w:p>
        </w:tc>
        <w:tc>
          <w:tcPr>
            <w:tcW w:w="7920" w:type="dxa"/>
            <w:vAlign w:val="bottom"/>
          </w:tcPr>
          <w:p>
            <w:pPr>
              <w:ind w:left="20"/>
              <w:spacing w:after="0"/>
              <w:rPr>
                <w:sz w:val="20"/>
                <w:szCs w:val="20"/>
                <w:color w:val="auto"/>
              </w:rPr>
            </w:pPr>
            <w:r>
              <w:rPr>
                <w:rFonts w:ascii="Arial" w:cs="Arial" w:eastAsia="Arial" w:hAnsi="Arial"/>
                <w:sz w:val="18"/>
                <w:szCs w:val="18"/>
                <w:color w:val="auto"/>
              </w:rPr>
              <w:t>T&amp;M provides janitorial, facilities services, and parking services to industrial and high-tech</w:t>
            </w:r>
          </w:p>
        </w:tc>
        <w:tc>
          <w:tcPr>
            <w:tcW w:w="0" w:type="dxa"/>
            <w:vAlign w:val="bottom"/>
          </w:tcPr>
          <w:p>
            <w:pPr>
              <w:spacing w:after="0"/>
              <w:rPr>
                <w:sz w:val="1"/>
                <w:szCs w:val="1"/>
                <w:color w:val="auto"/>
              </w:rPr>
            </w:pPr>
          </w:p>
        </w:tc>
      </w:tr>
      <w:tr>
        <w:trPr>
          <w:trHeight w:val="122"/>
        </w:trPr>
        <w:tc>
          <w:tcPr>
            <w:tcW w:w="3300" w:type="dxa"/>
            <w:vAlign w:val="bottom"/>
            <w:tcBorders>
              <w:right w:val="single" w:sz="8" w:color="auto"/>
            </w:tcBorders>
            <w:vMerge w:val="continue"/>
          </w:tcPr>
          <w:p>
            <w:pPr>
              <w:spacing w:after="0"/>
              <w:rPr>
                <w:sz w:val="10"/>
                <w:szCs w:val="10"/>
                <w:color w:val="auto"/>
              </w:rPr>
            </w:pPr>
          </w:p>
        </w:tc>
        <w:tc>
          <w:tcPr>
            <w:tcW w:w="7920" w:type="dxa"/>
            <w:vAlign w:val="bottom"/>
            <w:vMerge w:val="restart"/>
          </w:tcPr>
          <w:p>
            <w:pPr>
              <w:ind w:left="20"/>
              <w:spacing w:after="0"/>
              <w:rPr>
                <w:sz w:val="20"/>
                <w:szCs w:val="20"/>
                <w:color w:val="auto"/>
              </w:rPr>
            </w:pPr>
            <w:r>
              <w:rPr>
                <w:rFonts w:ascii="Arial" w:cs="Arial" w:eastAsia="Arial" w:hAnsi="Arial"/>
                <w:sz w:val="18"/>
                <w:szCs w:val="18"/>
                <w:color w:val="auto"/>
              </w:rPr>
              <w:t>manufacturing facilities.</w:t>
            </w:r>
          </w:p>
        </w:tc>
        <w:tc>
          <w:tcPr>
            <w:tcW w:w="0" w:type="dxa"/>
            <w:vAlign w:val="bottom"/>
          </w:tcPr>
          <w:p>
            <w:pPr>
              <w:spacing w:after="0"/>
              <w:rPr>
                <w:sz w:val="1"/>
                <w:szCs w:val="1"/>
                <w:color w:val="auto"/>
              </w:rPr>
            </w:pPr>
          </w:p>
        </w:tc>
      </w:tr>
      <w:tr>
        <w:trPr>
          <w:trHeight w:val="95"/>
        </w:trPr>
        <w:tc>
          <w:tcPr>
            <w:tcW w:w="3300" w:type="dxa"/>
            <w:vAlign w:val="bottom"/>
            <w:tcBorders>
              <w:right w:val="single" w:sz="8" w:color="auto"/>
            </w:tcBorders>
          </w:tcPr>
          <w:p>
            <w:pPr>
              <w:spacing w:after="0"/>
              <w:rPr>
                <w:sz w:val="8"/>
                <w:szCs w:val="8"/>
                <w:color w:val="auto"/>
              </w:rPr>
            </w:pPr>
          </w:p>
        </w:tc>
        <w:tc>
          <w:tcPr>
            <w:tcW w:w="7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00" w:type="dxa"/>
            <w:vAlign w:val="bottom"/>
            <w:tcBorders>
              <w:bottom w:val="single" w:sz="8" w:color="auto"/>
              <w:right w:val="single" w:sz="8" w:color="auto"/>
            </w:tcBorders>
          </w:tcPr>
          <w:p>
            <w:pPr>
              <w:spacing w:after="0"/>
              <w:rPr>
                <w:sz w:val="9"/>
                <w:szCs w:val="9"/>
                <w:color w:val="auto"/>
              </w:rPr>
            </w:pPr>
          </w:p>
        </w:tc>
        <w:tc>
          <w:tcPr>
            <w:tcW w:w="7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3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Education</w:t>
            </w:r>
          </w:p>
        </w:tc>
        <w:tc>
          <w:tcPr>
            <w:tcW w:w="7920" w:type="dxa"/>
            <w:vAlign w:val="bottom"/>
          </w:tcPr>
          <w:p>
            <w:pPr>
              <w:ind w:left="20"/>
              <w:spacing w:after="0"/>
              <w:rPr>
                <w:sz w:val="20"/>
                <w:szCs w:val="20"/>
                <w:color w:val="auto"/>
              </w:rPr>
            </w:pPr>
            <w:r>
              <w:rPr>
                <w:rFonts w:ascii="Arial" w:cs="Arial" w:eastAsia="Arial" w:hAnsi="Arial"/>
                <w:sz w:val="18"/>
                <w:szCs w:val="18"/>
                <w:color w:val="auto"/>
              </w:rPr>
              <w:t>Education delivers janitorial, custodial, landscaping and grounds, facilities engineering, and</w:t>
            </w:r>
          </w:p>
        </w:tc>
        <w:tc>
          <w:tcPr>
            <w:tcW w:w="0" w:type="dxa"/>
            <w:vAlign w:val="bottom"/>
          </w:tcPr>
          <w:p>
            <w:pPr>
              <w:spacing w:after="0"/>
              <w:rPr>
                <w:sz w:val="1"/>
                <w:szCs w:val="1"/>
                <w:color w:val="auto"/>
              </w:rPr>
            </w:pPr>
          </w:p>
        </w:tc>
      </w:tr>
      <w:tr>
        <w:trPr>
          <w:trHeight w:val="122"/>
        </w:trPr>
        <w:tc>
          <w:tcPr>
            <w:tcW w:w="3300" w:type="dxa"/>
            <w:vAlign w:val="bottom"/>
            <w:tcBorders>
              <w:right w:val="single" w:sz="8" w:color="auto"/>
            </w:tcBorders>
            <w:vMerge w:val="continue"/>
          </w:tcPr>
          <w:p>
            <w:pPr>
              <w:spacing w:after="0"/>
              <w:rPr>
                <w:sz w:val="10"/>
                <w:szCs w:val="10"/>
                <w:color w:val="auto"/>
              </w:rPr>
            </w:pPr>
          </w:p>
        </w:tc>
        <w:tc>
          <w:tcPr>
            <w:tcW w:w="7920" w:type="dxa"/>
            <w:vAlign w:val="bottom"/>
            <w:vMerge w:val="restart"/>
          </w:tcPr>
          <w:p>
            <w:pPr>
              <w:ind w:left="20"/>
              <w:spacing w:after="0"/>
              <w:rPr>
                <w:sz w:val="20"/>
                <w:szCs w:val="20"/>
                <w:color w:val="auto"/>
              </w:rPr>
            </w:pPr>
            <w:r>
              <w:rPr>
                <w:rFonts w:ascii="Arial" w:cs="Arial" w:eastAsia="Arial" w:hAnsi="Arial"/>
                <w:sz w:val="18"/>
                <w:szCs w:val="18"/>
                <w:color w:val="auto"/>
              </w:rPr>
              <w:t>parking services for public school districts, private schools, colleges, and universities.</w:t>
            </w:r>
          </w:p>
        </w:tc>
        <w:tc>
          <w:tcPr>
            <w:tcW w:w="0" w:type="dxa"/>
            <w:vAlign w:val="bottom"/>
          </w:tcPr>
          <w:p>
            <w:pPr>
              <w:spacing w:after="0"/>
              <w:rPr>
                <w:sz w:val="1"/>
                <w:szCs w:val="1"/>
                <w:color w:val="auto"/>
              </w:rPr>
            </w:pPr>
          </w:p>
        </w:tc>
      </w:tr>
      <w:tr>
        <w:trPr>
          <w:trHeight w:val="94"/>
        </w:trPr>
        <w:tc>
          <w:tcPr>
            <w:tcW w:w="3300" w:type="dxa"/>
            <w:vAlign w:val="bottom"/>
            <w:tcBorders>
              <w:right w:val="single" w:sz="8" w:color="auto"/>
            </w:tcBorders>
          </w:tcPr>
          <w:p>
            <w:pPr>
              <w:spacing w:after="0"/>
              <w:rPr>
                <w:sz w:val="8"/>
                <w:szCs w:val="8"/>
                <w:color w:val="auto"/>
              </w:rPr>
            </w:pPr>
          </w:p>
        </w:tc>
        <w:tc>
          <w:tcPr>
            <w:tcW w:w="7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00" w:type="dxa"/>
            <w:vAlign w:val="bottom"/>
            <w:tcBorders>
              <w:bottom w:val="single" w:sz="8" w:color="auto"/>
              <w:right w:val="single" w:sz="8" w:color="auto"/>
            </w:tcBorders>
          </w:tcPr>
          <w:p>
            <w:pPr>
              <w:spacing w:after="0"/>
              <w:rPr>
                <w:sz w:val="9"/>
                <w:szCs w:val="9"/>
                <w:color w:val="auto"/>
              </w:rPr>
            </w:pPr>
          </w:p>
        </w:tc>
        <w:tc>
          <w:tcPr>
            <w:tcW w:w="7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3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Aviation</w:t>
            </w:r>
          </w:p>
        </w:tc>
        <w:tc>
          <w:tcPr>
            <w:tcW w:w="7920" w:type="dxa"/>
            <w:vAlign w:val="bottom"/>
          </w:tcPr>
          <w:p>
            <w:pPr>
              <w:ind w:left="20"/>
              <w:spacing w:after="0"/>
              <w:rPr>
                <w:sz w:val="20"/>
                <w:szCs w:val="20"/>
                <w:color w:val="auto"/>
              </w:rPr>
            </w:pPr>
            <w:r>
              <w:rPr>
                <w:rFonts w:ascii="Arial" w:cs="Arial" w:eastAsia="Arial" w:hAnsi="Arial"/>
                <w:sz w:val="18"/>
                <w:szCs w:val="18"/>
                <w:color w:val="auto"/>
              </w:rPr>
              <w:t>Aviation supports airlines and airports with services ranging from parking and janitorial to</w:t>
            </w:r>
          </w:p>
        </w:tc>
        <w:tc>
          <w:tcPr>
            <w:tcW w:w="0" w:type="dxa"/>
            <w:vAlign w:val="bottom"/>
          </w:tcPr>
          <w:p>
            <w:pPr>
              <w:spacing w:after="0"/>
              <w:rPr>
                <w:sz w:val="1"/>
                <w:szCs w:val="1"/>
                <w:color w:val="auto"/>
              </w:rPr>
            </w:pPr>
          </w:p>
        </w:tc>
      </w:tr>
      <w:tr>
        <w:trPr>
          <w:trHeight w:val="122"/>
        </w:trPr>
        <w:tc>
          <w:tcPr>
            <w:tcW w:w="3300" w:type="dxa"/>
            <w:vAlign w:val="bottom"/>
            <w:tcBorders>
              <w:right w:val="single" w:sz="8" w:color="auto"/>
            </w:tcBorders>
            <w:vMerge w:val="continue"/>
          </w:tcPr>
          <w:p>
            <w:pPr>
              <w:spacing w:after="0"/>
              <w:rPr>
                <w:sz w:val="10"/>
                <w:szCs w:val="10"/>
                <w:color w:val="auto"/>
              </w:rPr>
            </w:pPr>
          </w:p>
        </w:tc>
        <w:tc>
          <w:tcPr>
            <w:tcW w:w="7920" w:type="dxa"/>
            <w:vAlign w:val="bottom"/>
            <w:vMerge w:val="restart"/>
          </w:tcPr>
          <w:p>
            <w:pPr>
              <w:ind w:left="20"/>
              <w:spacing w:after="0"/>
              <w:rPr>
                <w:sz w:val="20"/>
                <w:szCs w:val="20"/>
                <w:color w:val="auto"/>
              </w:rPr>
            </w:pPr>
            <w:r>
              <w:rPr>
                <w:rFonts w:ascii="Arial" w:cs="Arial" w:eastAsia="Arial" w:hAnsi="Arial"/>
                <w:sz w:val="18"/>
                <w:szCs w:val="18"/>
                <w:color w:val="auto"/>
              </w:rPr>
              <w:t>passenger assistance, catering logistics, air cabin maintenance, and transportation.</w:t>
            </w:r>
          </w:p>
        </w:tc>
        <w:tc>
          <w:tcPr>
            <w:tcW w:w="0" w:type="dxa"/>
            <w:vAlign w:val="bottom"/>
          </w:tcPr>
          <w:p>
            <w:pPr>
              <w:spacing w:after="0"/>
              <w:rPr>
                <w:sz w:val="1"/>
                <w:szCs w:val="1"/>
                <w:color w:val="auto"/>
              </w:rPr>
            </w:pPr>
          </w:p>
        </w:tc>
      </w:tr>
      <w:tr>
        <w:trPr>
          <w:trHeight w:val="94"/>
        </w:trPr>
        <w:tc>
          <w:tcPr>
            <w:tcW w:w="3300" w:type="dxa"/>
            <w:vAlign w:val="bottom"/>
            <w:tcBorders>
              <w:right w:val="single" w:sz="8" w:color="auto"/>
            </w:tcBorders>
          </w:tcPr>
          <w:p>
            <w:pPr>
              <w:spacing w:after="0"/>
              <w:rPr>
                <w:sz w:val="8"/>
                <w:szCs w:val="8"/>
                <w:color w:val="auto"/>
              </w:rPr>
            </w:pPr>
          </w:p>
        </w:tc>
        <w:tc>
          <w:tcPr>
            <w:tcW w:w="7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00" w:type="dxa"/>
            <w:vAlign w:val="bottom"/>
            <w:tcBorders>
              <w:bottom w:val="single" w:sz="8" w:color="auto"/>
              <w:right w:val="single" w:sz="8" w:color="auto"/>
            </w:tcBorders>
          </w:tcPr>
          <w:p>
            <w:pPr>
              <w:spacing w:after="0"/>
              <w:rPr>
                <w:sz w:val="9"/>
                <w:szCs w:val="9"/>
                <w:color w:val="auto"/>
              </w:rPr>
            </w:pPr>
          </w:p>
        </w:tc>
        <w:tc>
          <w:tcPr>
            <w:tcW w:w="7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3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Technical Solutions</w:t>
            </w:r>
          </w:p>
        </w:tc>
        <w:tc>
          <w:tcPr>
            <w:tcW w:w="7920" w:type="dxa"/>
            <w:vAlign w:val="bottom"/>
          </w:tcPr>
          <w:p>
            <w:pPr>
              <w:ind w:left="20"/>
              <w:spacing w:after="0"/>
              <w:rPr>
                <w:sz w:val="20"/>
                <w:szCs w:val="20"/>
                <w:color w:val="auto"/>
              </w:rPr>
            </w:pPr>
            <w:r>
              <w:rPr>
                <w:rFonts w:ascii="Arial" w:cs="Arial" w:eastAsia="Arial" w:hAnsi="Arial"/>
                <w:sz w:val="18"/>
                <w:szCs w:val="18"/>
                <w:color w:val="auto"/>
              </w:rPr>
              <w:t>Technical Solutions specializes in mechanical and electrical services. These services can also be</w:t>
            </w:r>
          </w:p>
        </w:tc>
        <w:tc>
          <w:tcPr>
            <w:tcW w:w="0" w:type="dxa"/>
            <w:vAlign w:val="bottom"/>
          </w:tcPr>
          <w:p>
            <w:pPr>
              <w:spacing w:after="0"/>
              <w:rPr>
                <w:sz w:val="1"/>
                <w:szCs w:val="1"/>
                <w:color w:val="auto"/>
              </w:rPr>
            </w:pPr>
          </w:p>
        </w:tc>
      </w:tr>
      <w:tr>
        <w:trPr>
          <w:trHeight w:val="122"/>
        </w:trPr>
        <w:tc>
          <w:tcPr>
            <w:tcW w:w="3300" w:type="dxa"/>
            <w:vAlign w:val="bottom"/>
            <w:tcBorders>
              <w:right w:val="single" w:sz="8" w:color="auto"/>
            </w:tcBorders>
            <w:vMerge w:val="continue"/>
          </w:tcPr>
          <w:p>
            <w:pPr>
              <w:spacing w:after="0"/>
              <w:rPr>
                <w:sz w:val="10"/>
                <w:szCs w:val="10"/>
                <w:color w:val="auto"/>
              </w:rPr>
            </w:pPr>
          </w:p>
        </w:tc>
        <w:tc>
          <w:tcPr>
            <w:tcW w:w="7920" w:type="dxa"/>
            <w:vAlign w:val="bottom"/>
            <w:vMerge w:val="restart"/>
          </w:tcPr>
          <w:p>
            <w:pPr>
              <w:ind w:left="20"/>
              <w:spacing w:after="0"/>
              <w:rPr>
                <w:sz w:val="20"/>
                <w:szCs w:val="20"/>
                <w:color w:val="auto"/>
              </w:rPr>
            </w:pPr>
            <w:r>
              <w:rPr>
                <w:rFonts w:ascii="Arial" w:cs="Arial" w:eastAsia="Arial" w:hAnsi="Arial"/>
                <w:sz w:val="18"/>
                <w:szCs w:val="18"/>
                <w:color w:val="auto"/>
              </w:rPr>
              <w:t>leveraged for cross-selling across all of our industry groups, both domestically and internationally.</w:t>
            </w:r>
          </w:p>
        </w:tc>
        <w:tc>
          <w:tcPr>
            <w:tcW w:w="0" w:type="dxa"/>
            <w:vAlign w:val="bottom"/>
          </w:tcPr>
          <w:p>
            <w:pPr>
              <w:spacing w:after="0"/>
              <w:rPr>
                <w:sz w:val="1"/>
                <w:szCs w:val="1"/>
                <w:color w:val="auto"/>
              </w:rPr>
            </w:pPr>
          </w:p>
        </w:tc>
      </w:tr>
      <w:tr>
        <w:trPr>
          <w:trHeight w:val="95"/>
        </w:trPr>
        <w:tc>
          <w:tcPr>
            <w:tcW w:w="3300" w:type="dxa"/>
            <w:vAlign w:val="bottom"/>
            <w:tcBorders>
              <w:right w:val="single" w:sz="8" w:color="auto"/>
            </w:tcBorders>
          </w:tcPr>
          <w:p>
            <w:pPr>
              <w:spacing w:after="0"/>
              <w:rPr>
                <w:sz w:val="8"/>
                <w:szCs w:val="8"/>
                <w:color w:val="auto"/>
              </w:rPr>
            </w:pPr>
          </w:p>
        </w:tc>
        <w:tc>
          <w:tcPr>
            <w:tcW w:w="7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00" w:type="dxa"/>
            <w:vAlign w:val="bottom"/>
            <w:tcBorders>
              <w:bottom w:val="single" w:sz="8" w:color="auto"/>
              <w:right w:val="single" w:sz="8" w:color="auto"/>
            </w:tcBorders>
          </w:tcPr>
          <w:p>
            <w:pPr>
              <w:spacing w:after="0"/>
              <w:rPr>
                <w:sz w:val="9"/>
                <w:szCs w:val="9"/>
                <w:color w:val="auto"/>
              </w:rPr>
            </w:pPr>
          </w:p>
        </w:tc>
        <w:tc>
          <w:tcPr>
            <w:tcW w:w="7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include certain CEO and other finance and human resource departmental expenses, certain information technology costs, share-based compensation, certain legal costs and settlements, restructuring and related costs, certain actuarial adjustments to self-insurance reserves, and direct acquisition costs. Management does not review asset information by segment, therefore we do not present assets in this note.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0046AD"/>
        </w:rPr>
        <w:t>Financial Information by Reportable Segment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Years Ended October 31,</w:t>
            </w:r>
          </w:p>
        </w:tc>
        <w:tc>
          <w:tcPr>
            <w:tcW w:w="11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3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120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ind w:right="47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2019</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566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DCE2EF"/>
          </w:tcPr>
          <w:p>
            <w:pPr>
              <w:spacing w:after="0"/>
              <w:rPr>
                <w:sz w:val="18"/>
                <w:szCs w:val="18"/>
                <w:color w:val="auto"/>
              </w:rPr>
            </w:pPr>
          </w:p>
        </w:tc>
        <w:tc>
          <w:tcPr>
            <w:tcW w:w="12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2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1160" w:type="dxa"/>
            <w:vAlign w:val="bottom"/>
            <w:shd w:val="clear" w:color="auto" w:fill="DCE2E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Business &amp; Industry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3,346.5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3,157.8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3,251.4</w:t>
            </w:r>
          </w:p>
        </w:tc>
      </w:tr>
      <w:tr>
        <w:trPr>
          <w:trHeight w:val="229"/>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Technology &amp; Manufacturing</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987.1</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956.0</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917.0</w:t>
            </w:r>
          </w:p>
        </w:tc>
      </w:tr>
      <w:tr>
        <w:trPr>
          <w:trHeight w:val="229"/>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847.4</w:t>
            </w:r>
          </w:p>
        </w:tc>
      </w:tr>
      <w:tr>
        <w:trPr>
          <w:trHeight w:val="230"/>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Aviation</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668.8</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680.9</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1,017.3</w:t>
            </w:r>
          </w:p>
        </w:tc>
      </w:tr>
      <w:tr>
        <w:trPr>
          <w:trHeight w:val="229"/>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Technical Solutions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593.2</w:t>
            </w:r>
          </w:p>
        </w:tc>
      </w:tr>
      <w:tr>
        <w:trPr>
          <w:trHeight w:val="229"/>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Elimination of inter-segment revenues</w:t>
            </w: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(144.2)</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DCE2EF"/>
          </w:tcPr>
          <w:p>
            <w:pPr>
              <w:spacing w:after="0"/>
              <w:rPr>
                <w:sz w:val="19"/>
                <w:szCs w:val="19"/>
                <w:color w:val="auto"/>
              </w:rPr>
            </w:pPr>
          </w:p>
        </w:tc>
        <w:tc>
          <w:tcPr>
            <w:tcW w:w="400" w:type="dxa"/>
            <w:vAlign w:val="bottom"/>
            <w:tcBorders>
              <w:bottom w:val="single" w:sz="8" w:color="auto"/>
            </w:tcBorders>
            <w:shd w:val="clear" w:color="auto" w:fill="DCE2EF"/>
          </w:tcPr>
          <w:p>
            <w:pPr>
              <w:spacing w:after="0"/>
              <w:rPr>
                <w:sz w:val="19"/>
                <w:szCs w:val="19"/>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(127.7)</w:t>
            </w: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6,228.6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5,987.6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6,498.6</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bottom w:val="single" w:sz="8" w:color="DCE2EF"/>
            </w:tcBorders>
          </w:tcPr>
          <w:p>
            <w:pPr>
              <w:spacing w:after="0" w:line="20" w:lineRule="exact"/>
              <w:rPr>
                <w:sz w:val="1"/>
                <w:szCs w:val="1"/>
                <w:color w:val="auto"/>
              </w:rPr>
            </w:pPr>
          </w:p>
        </w:tc>
        <w:tc>
          <w:tcPr>
            <w:tcW w:w="566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DCE2EF"/>
          </w:tcPr>
          <w:p>
            <w:pPr>
              <w:spacing w:after="0"/>
              <w:rPr>
                <w:sz w:val="17"/>
                <w:szCs w:val="17"/>
                <w:color w:val="auto"/>
              </w:rPr>
            </w:pPr>
          </w:p>
        </w:tc>
        <w:tc>
          <w:tcPr>
            <w:tcW w:w="6380" w:type="dxa"/>
            <w:vAlign w:val="bottom"/>
            <w:gridSpan w:val="2"/>
            <w:shd w:val="clear" w:color="auto" w:fill="DCE2EF"/>
          </w:tcPr>
          <w:p>
            <w:pPr>
              <w:spacing w:after="0" w:line="196" w:lineRule="exact"/>
              <w:rPr>
                <w:sz w:val="20"/>
                <w:szCs w:val="20"/>
                <w:color w:val="auto"/>
              </w:rPr>
            </w:pPr>
            <w:r>
              <w:rPr>
                <w:rFonts w:ascii="Arial" w:cs="Arial" w:eastAsia="Arial" w:hAnsi="Arial"/>
                <w:sz w:val="18"/>
                <w:szCs w:val="18"/>
                <w:b w:val="1"/>
                <w:bCs w:val="1"/>
                <w:color w:val="auto"/>
              </w:rPr>
              <w:t>Operating profit</w:t>
            </w:r>
          </w:p>
        </w:tc>
        <w:tc>
          <w:tcPr>
            <w:tcW w:w="34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400" w:type="dxa"/>
            <w:vAlign w:val="bottom"/>
            <w:shd w:val="clear" w:color="auto" w:fill="DCE2EF"/>
          </w:tcPr>
          <w:p>
            <w:pPr>
              <w:spacing w:after="0"/>
              <w:rPr>
                <w:sz w:val="17"/>
                <w:szCs w:val="17"/>
                <w:color w:val="auto"/>
              </w:rPr>
            </w:pPr>
          </w:p>
        </w:tc>
        <w:tc>
          <w:tcPr>
            <w:tcW w:w="1160" w:type="dxa"/>
            <w:vAlign w:val="bottom"/>
            <w:shd w:val="clear" w:color="auto" w:fill="DCE2E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Business &amp; Industry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337.8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182.3</w:t>
            </w:r>
          </w:p>
        </w:tc>
      </w:tr>
      <w:tr>
        <w:trPr>
          <w:trHeight w:val="230"/>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Technology &amp; Manufacturing</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72.5</w:t>
            </w:r>
          </w:p>
        </w:tc>
      </w:tr>
      <w:tr>
        <w:trPr>
          <w:trHeight w:val="229"/>
        </w:trPr>
        <w:tc>
          <w:tcPr>
            <w:tcW w:w="20" w:type="dxa"/>
            <w:vAlign w:val="bottom"/>
          </w:tcPr>
          <w:p>
            <w:pPr>
              <w:spacing w:after="0"/>
              <w:rPr>
                <w:sz w:val="19"/>
                <w:szCs w:val="19"/>
                <w:color w:val="auto"/>
              </w:rPr>
            </w:pPr>
          </w:p>
        </w:tc>
        <w:tc>
          <w:tcPr>
            <w:tcW w:w="6380" w:type="dxa"/>
            <w:vAlign w:val="bottom"/>
            <w:gridSpan w:val="2"/>
          </w:tcPr>
          <w:p>
            <w:pPr>
              <w:spacing w:after="0" w:line="230" w:lineRule="exact"/>
              <w:rPr>
                <w:sz w:val="20"/>
                <w:szCs w:val="20"/>
                <w:color w:val="auto"/>
              </w:rPr>
            </w:pPr>
            <w:r>
              <w:rPr>
                <w:rFonts w:ascii="Arial" w:cs="Arial" w:eastAsia="Arial" w:hAnsi="Arial"/>
                <w:sz w:val="18"/>
                <w:szCs w:val="18"/>
                <w:color w:val="auto"/>
              </w:rPr>
              <w:t>Education</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29"/>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line="230" w:lineRule="exact"/>
              <w:rPr>
                <w:sz w:val="20"/>
                <w:szCs w:val="20"/>
                <w:color w:val="auto"/>
              </w:rPr>
            </w:pPr>
            <w:r>
              <w:rPr>
                <w:rFonts w:ascii="Arial" w:cs="Arial" w:eastAsia="Arial" w:hAnsi="Arial"/>
                <w:sz w:val="18"/>
                <w:szCs w:val="18"/>
                <w:color w:val="auto"/>
              </w:rPr>
              <w:t>Aviation</w:t>
            </w:r>
            <w:r>
              <w:rPr>
                <w:rFonts w:ascii="Arial" w:cs="Arial" w:eastAsia="Arial" w:hAnsi="Arial"/>
                <w:sz w:val="23"/>
                <w:szCs w:val="23"/>
                <w:color w:val="auto"/>
                <w:vertAlign w:val="superscript"/>
              </w:rPr>
              <w:t>(2)</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21.1</w:t>
            </w:r>
          </w:p>
        </w:tc>
      </w:tr>
      <w:tr>
        <w:trPr>
          <w:trHeight w:val="230"/>
        </w:trPr>
        <w:tc>
          <w:tcPr>
            <w:tcW w:w="20" w:type="dxa"/>
            <w:vAlign w:val="bottom"/>
          </w:tcPr>
          <w:p>
            <w:pPr>
              <w:spacing w:after="0"/>
              <w:rPr>
                <w:sz w:val="19"/>
                <w:szCs w:val="19"/>
                <w:color w:val="auto"/>
              </w:rPr>
            </w:pPr>
          </w:p>
        </w:tc>
        <w:tc>
          <w:tcPr>
            <w:tcW w:w="6380" w:type="dxa"/>
            <w:vAlign w:val="bottom"/>
            <w:gridSpan w:val="2"/>
          </w:tcPr>
          <w:p>
            <w:pPr>
              <w:spacing w:after="0" w:line="230" w:lineRule="exact"/>
              <w:rPr>
                <w:sz w:val="20"/>
                <w:szCs w:val="20"/>
                <w:color w:val="auto"/>
              </w:rPr>
            </w:pPr>
            <w:r>
              <w:rPr>
                <w:rFonts w:ascii="Arial" w:cs="Arial" w:eastAsia="Arial" w:hAnsi="Arial"/>
                <w:sz w:val="18"/>
                <w:szCs w:val="18"/>
                <w:color w:val="auto"/>
              </w:rPr>
              <w:t>Technical Solutions</w:t>
            </w:r>
            <w:r>
              <w:rPr>
                <w:rFonts w:ascii="Arial" w:cs="Arial" w:eastAsia="Arial" w:hAnsi="Arial"/>
                <w:sz w:val="23"/>
                <w:szCs w:val="23"/>
                <w:color w:val="auto"/>
                <w:vertAlign w:val="superscript"/>
              </w:rPr>
              <w:t>(3)</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29"/>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Government Services</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20" w:type="dxa"/>
            <w:vAlign w:val="bottom"/>
          </w:tcPr>
          <w:p>
            <w:pPr>
              <w:spacing w:after="0"/>
              <w:rPr>
                <w:sz w:val="19"/>
                <w:szCs w:val="19"/>
                <w:color w:val="auto"/>
              </w:rPr>
            </w:pPr>
          </w:p>
        </w:tc>
        <w:tc>
          <w:tcPr>
            <w:tcW w:w="6380" w:type="dxa"/>
            <w:vAlign w:val="bottom"/>
            <w:gridSpan w:val="2"/>
          </w:tcPr>
          <w:p>
            <w:pPr>
              <w:spacing w:after="0" w:line="230" w:lineRule="exact"/>
              <w:rPr>
                <w:sz w:val="20"/>
                <w:szCs w:val="20"/>
                <w:color w:val="auto"/>
              </w:rPr>
            </w:pPr>
            <w:r>
              <w:rPr>
                <w:rFonts w:ascii="Arial" w:cs="Arial" w:eastAsia="Arial" w:hAnsi="Arial"/>
                <w:sz w:val="18"/>
                <w:szCs w:val="18"/>
                <w:color w:val="auto"/>
              </w:rPr>
              <w:t>Corporate</w:t>
            </w:r>
            <w:r>
              <w:rPr>
                <w:rFonts w:ascii="Arial" w:cs="Arial" w:eastAsia="Arial" w:hAnsi="Arial"/>
                <w:sz w:val="23"/>
                <w:szCs w:val="23"/>
                <w:color w:val="auto"/>
                <w:vertAlign w:val="superscript"/>
              </w:rPr>
              <w:t>(4)</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(159.0)</w:t>
            </w:r>
          </w:p>
        </w:tc>
      </w:tr>
      <w:tr>
        <w:trPr>
          <w:trHeight w:val="230"/>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Adjustment for income from unconsolidated affiliates, included in Aviation</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(3.0)</w:t>
            </w:r>
          </w:p>
        </w:tc>
      </w:tr>
      <w:tr>
        <w:trPr>
          <w:trHeight w:val="188"/>
        </w:trPr>
        <w:tc>
          <w:tcPr>
            <w:tcW w:w="20" w:type="dxa"/>
            <w:vAlign w:val="bottom"/>
          </w:tcPr>
          <w:p>
            <w:pPr>
              <w:spacing w:after="0"/>
              <w:rPr>
                <w:sz w:val="16"/>
                <w:szCs w:val="16"/>
                <w:color w:val="auto"/>
              </w:rPr>
            </w:pPr>
          </w:p>
        </w:tc>
        <w:tc>
          <w:tcPr>
            <w:tcW w:w="6380" w:type="dxa"/>
            <w:vAlign w:val="bottom"/>
            <w:gridSpan w:val="2"/>
          </w:tcPr>
          <w:p>
            <w:pPr>
              <w:spacing w:after="0" w:line="189" w:lineRule="exact"/>
              <w:rPr>
                <w:sz w:val="20"/>
                <w:szCs w:val="20"/>
                <w:color w:val="auto"/>
              </w:rPr>
            </w:pPr>
            <w:r>
              <w:rPr>
                <w:rFonts w:ascii="Arial" w:cs="Arial" w:eastAsia="Arial" w:hAnsi="Arial"/>
                <w:sz w:val="18"/>
                <w:szCs w:val="18"/>
                <w:color w:val="auto"/>
              </w:rPr>
              <w:t>Adjustment for tax deductions for energy efficient government</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7"/>
        </w:trPr>
        <w:tc>
          <w:tcPr>
            <w:tcW w:w="20" w:type="dxa"/>
            <w:vAlign w:val="bottom"/>
            <w:tcBorders>
              <w:bottom w:val="single" w:sz="8" w:color="DCE2EF"/>
            </w:tcBorders>
          </w:tcPr>
          <w:p>
            <w:pPr>
              <w:spacing w:after="0"/>
              <w:rPr>
                <w:sz w:val="18"/>
                <w:szCs w:val="18"/>
                <w:color w:val="auto"/>
              </w:rPr>
            </w:pPr>
          </w:p>
        </w:tc>
        <w:tc>
          <w:tcPr>
            <w:tcW w:w="6380" w:type="dxa"/>
            <w:vAlign w:val="bottom"/>
            <w:tcBorders>
              <w:bottom w:val="single" w:sz="8" w:color="DCE2EF"/>
            </w:tcBorders>
            <w:gridSpan w:val="2"/>
          </w:tcPr>
          <w:p>
            <w:pPr>
              <w:ind w:left="160"/>
              <w:spacing w:after="0"/>
              <w:rPr>
                <w:sz w:val="20"/>
                <w:szCs w:val="20"/>
                <w:color w:val="auto"/>
              </w:rPr>
            </w:pPr>
            <w:r>
              <w:rPr>
                <w:rFonts w:ascii="Arial" w:cs="Arial" w:eastAsia="Arial" w:hAnsi="Arial"/>
                <w:sz w:val="18"/>
                <w:szCs w:val="18"/>
                <w:color w:val="auto"/>
              </w:rPr>
              <w:t>buildings, included in Technical Solutions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DCE2E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DCE2E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20" w:type="dxa"/>
            <w:vAlign w:val="bottom"/>
            <w:shd w:val="clear" w:color="auto" w:fill="DCE2EF"/>
          </w:tcPr>
          <w:p>
            <w:pPr>
              <w:spacing w:after="0"/>
              <w:rPr>
                <w:sz w:val="19"/>
                <w:szCs w:val="19"/>
                <w:color w:val="auto"/>
              </w:rPr>
            </w:pPr>
          </w:p>
        </w:tc>
        <w:tc>
          <w:tcPr>
            <w:tcW w:w="720" w:type="dxa"/>
            <w:vAlign w:val="bottom"/>
            <w:shd w:val="clear" w:color="auto" w:fill="DCE2EF"/>
          </w:tcPr>
          <w:p>
            <w:pPr>
              <w:spacing w:after="0"/>
              <w:rPr>
                <w:sz w:val="19"/>
                <w:szCs w:val="19"/>
                <w:color w:val="auto"/>
              </w:rPr>
            </w:pPr>
          </w:p>
        </w:tc>
        <w:tc>
          <w:tcPr>
            <w:tcW w:w="566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206.3</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DCE2EF"/>
          </w:tcPr>
          <w:p>
            <w:pPr>
              <w:spacing w:after="0"/>
              <w:rPr>
                <w:sz w:val="19"/>
                <w:szCs w:val="19"/>
                <w:color w:val="auto"/>
              </w:rPr>
            </w:pPr>
          </w:p>
        </w:tc>
        <w:tc>
          <w:tcPr>
            <w:tcW w:w="400" w:type="dxa"/>
            <w:vAlign w:val="bottom"/>
            <w:tcBorders>
              <w:bottom w:val="single" w:sz="8" w:color="auto"/>
            </w:tcBorders>
            <w:shd w:val="clear" w:color="auto" w:fill="DCE2EF"/>
          </w:tcPr>
          <w:p>
            <w:pPr>
              <w:spacing w:after="0"/>
              <w:rPr>
                <w:sz w:val="19"/>
                <w:szCs w:val="19"/>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208.3</w:t>
            </w:r>
          </w:p>
        </w:tc>
      </w:tr>
      <w:tr>
        <w:trPr>
          <w:trHeight w:val="223"/>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Income from unconsolidated affiliates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DCE2EF"/>
          </w:tcPr>
          <w:p>
            <w:pPr>
              <w:spacing w:after="0"/>
              <w:rPr>
                <w:sz w:val="19"/>
                <w:szCs w:val="19"/>
                <w:color w:val="auto"/>
              </w:rPr>
            </w:pPr>
          </w:p>
        </w:tc>
        <w:tc>
          <w:tcPr>
            <w:tcW w:w="400" w:type="dxa"/>
            <w:vAlign w:val="bottom"/>
            <w:tcBorders>
              <w:bottom w:val="single" w:sz="8" w:color="auto"/>
            </w:tcBorders>
            <w:shd w:val="clear" w:color="auto" w:fill="DCE2EF"/>
          </w:tcPr>
          <w:p>
            <w:pPr>
              <w:spacing w:after="0"/>
              <w:rPr>
                <w:sz w:val="19"/>
                <w:szCs w:val="19"/>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(51.1)</w:t>
            </w:r>
          </w:p>
        </w:tc>
      </w:tr>
      <w:tr>
        <w:trPr>
          <w:trHeight w:val="223"/>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0"/>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Depreciation and amortization</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160" w:type="dxa"/>
            <w:vAlign w:val="bottom"/>
            <w:shd w:val="clear" w:color="auto" w:fill="DCE2E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Business &amp; Industry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Technology &amp; Manufacturing</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30"/>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Aviation</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Technical Solutions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DCE2EF"/>
          </w:tcPr>
          <w:p>
            <w:pPr>
              <w:spacing w:after="0"/>
              <w:rPr>
                <w:sz w:val="19"/>
                <w:szCs w:val="19"/>
                <w:color w:val="auto"/>
              </w:rPr>
            </w:pPr>
          </w:p>
        </w:tc>
        <w:tc>
          <w:tcPr>
            <w:tcW w:w="400" w:type="dxa"/>
            <w:vAlign w:val="bottom"/>
            <w:tcBorders>
              <w:bottom w:val="single" w:sz="8" w:color="auto"/>
            </w:tcBorders>
            <w:shd w:val="clear" w:color="auto" w:fill="DCE2EF"/>
          </w:tcPr>
          <w:p>
            <w:pPr>
              <w:spacing w:after="0"/>
              <w:rPr>
                <w:sz w:val="19"/>
                <w:szCs w:val="19"/>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13.9</w:t>
            </w: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21"/>
          <w:szCs w:val="21"/>
          <w:color w:val="auto"/>
          <w:vertAlign w:val="superscript"/>
        </w:rPr>
      </w:pPr>
      <w:r>
        <w:rPr>
          <w:rFonts w:ascii="Arial" w:cs="Arial" w:eastAsia="Arial" w:hAnsi="Arial"/>
          <w:sz w:val="16"/>
          <w:szCs w:val="16"/>
          <w:color w:val="auto"/>
        </w:rPr>
        <w:t>Reflects impairment charges totaling $99.3 million on goodwill during the year ended October 31, 2020.</w:t>
      </w:r>
    </w:p>
    <w:p>
      <w:pPr>
        <w:spacing w:after="0" w:line="70" w:lineRule="exact"/>
        <w:rPr>
          <w:rFonts w:ascii="Arial" w:cs="Arial" w:eastAsia="Arial" w:hAnsi="Arial"/>
          <w:sz w:val="21"/>
          <w:szCs w:val="21"/>
          <w:color w:val="auto"/>
          <w:vertAlign w:val="superscript"/>
        </w:rPr>
      </w:pPr>
    </w:p>
    <w:p>
      <w:pPr>
        <w:ind w:left="180" w:hanging="172"/>
        <w:spacing w:after="0" w:line="224" w:lineRule="auto"/>
        <w:tabs>
          <w:tab w:leader="none" w:pos="180" w:val="left"/>
        </w:tabs>
        <w:numPr>
          <w:ilvl w:val="0"/>
          <w:numId w:val="41"/>
        </w:numPr>
        <w:rPr>
          <w:rFonts w:ascii="Arial" w:cs="Arial" w:eastAsia="Arial" w:hAnsi="Arial"/>
          <w:sz w:val="21"/>
          <w:szCs w:val="21"/>
          <w:color w:val="auto"/>
          <w:vertAlign w:val="superscript"/>
        </w:rPr>
      </w:pPr>
      <w:r>
        <w:rPr>
          <w:rFonts w:ascii="Arial" w:cs="Arial" w:eastAsia="Arial" w:hAnsi="Arial"/>
          <w:sz w:val="16"/>
          <w:szCs w:val="16"/>
          <w:color w:val="auto"/>
        </w:rPr>
        <w:t>Reflects impairment charges totaling $61.1 million on goodwill and intangible assets during the year ended October 31, 2020.</w:t>
      </w:r>
    </w:p>
    <w:p>
      <w:pPr>
        <w:spacing w:after="0" w:line="71" w:lineRule="exact"/>
        <w:rPr>
          <w:rFonts w:ascii="Arial" w:cs="Arial" w:eastAsia="Arial" w:hAnsi="Arial"/>
          <w:sz w:val="21"/>
          <w:szCs w:val="21"/>
          <w:color w:val="auto"/>
          <w:vertAlign w:val="superscript"/>
        </w:rPr>
      </w:pPr>
    </w:p>
    <w:p>
      <w:pPr>
        <w:ind w:left="180" w:hanging="172"/>
        <w:spacing w:after="0" w:line="224" w:lineRule="auto"/>
        <w:tabs>
          <w:tab w:leader="none" w:pos="180" w:val="left"/>
        </w:tabs>
        <w:numPr>
          <w:ilvl w:val="0"/>
          <w:numId w:val="41"/>
        </w:numPr>
        <w:rPr>
          <w:rFonts w:ascii="Arial" w:cs="Arial" w:eastAsia="Arial" w:hAnsi="Arial"/>
          <w:sz w:val="21"/>
          <w:szCs w:val="21"/>
          <w:color w:val="auto"/>
          <w:vertAlign w:val="superscript"/>
        </w:rPr>
      </w:pPr>
      <w:r>
        <w:rPr>
          <w:rFonts w:ascii="Arial" w:cs="Arial" w:eastAsia="Arial" w:hAnsi="Arial"/>
          <w:sz w:val="16"/>
          <w:szCs w:val="16"/>
          <w:color w:val="auto"/>
        </w:rPr>
        <w:t>Reflects impairment charges totaling $12.4 million on goodwill and intangible assets during the year ended October 31, 2020.</w:t>
      </w:r>
    </w:p>
    <w:p>
      <w:pPr>
        <w:spacing w:after="0" w:line="87" w:lineRule="exact"/>
        <w:rPr>
          <w:rFonts w:ascii="Arial" w:cs="Arial" w:eastAsia="Arial" w:hAnsi="Arial"/>
          <w:sz w:val="21"/>
          <w:szCs w:val="21"/>
          <w:color w:val="auto"/>
          <w:vertAlign w:val="superscript"/>
        </w:rPr>
      </w:pPr>
    </w:p>
    <w:p>
      <w:pPr>
        <w:ind w:left="160" w:hanging="152"/>
        <w:spacing w:after="0"/>
        <w:tabs>
          <w:tab w:leader="none" w:pos="16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 xml:space="preserve">Reflects accrued litigation settlement reserve totaling $142.9 million for the </w:t>
      </w:r>
      <w:r>
        <w:rPr>
          <w:rFonts w:ascii="Arial" w:cs="Arial" w:eastAsia="Arial" w:hAnsi="Arial"/>
          <w:sz w:val="14"/>
          <w:szCs w:val="14"/>
          <w:i w:val="1"/>
          <w:iCs w:val="1"/>
          <w:color w:val="auto"/>
        </w:rPr>
        <w:t>Bucio</w:t>
      </w:r>
      <w:r>
        <w:rPr>
          <w:rFonts w:ascii="Arial" w:cs="Arial" w:eastAsia="Arial" w:hAnsi="Arial"/>
          <w:sz w:val="14"/>
          <w:szCs w:val="14"/>
          <w:color w:val="auto"/>
        </w:rPr>
        <w:t xml:space="preserve"> case during the year ended October 31,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Geographic Information Based on the Country in Which the Sale Originated</w:t>
      </w:r>
      <w:r>
        <w:rPr>
          <w:rFonts w:ascii="Arial" w:cs="Arial" w:eastAsia="Arial" w:hAnsi="Arial"/>
          <w:sz w:val="10"/>
          <w:szCs w:val="10"/>
          <w:color w:val="0046AD"/>
        </w:rPr>
        <w:t>(1)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Years Ended October 31,</w:t>
            </w:r>
          </w:p>
        </w:tc>
        <w:tc>
          <w:tcPr>
            <w:tcW w:w="11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3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120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ind w:right="47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2019</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566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DCE2EF"/>
          </w:tcPr>
          <w:p>
            <w:pPr>
              <w:spacing w:after="0"/>
              <w:rPr>
                <w:sz w:val="18"/>
                <w:szCs w:val="18"/>
                <w:color w:val="auto"/>
              </w:rPr>
            </w:pPr>
          </w:p>
        </w:tc>
        <w:tc>
          <w:tcPr>
            <w:tcW w:w="12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2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1160" w:type="dxa"/>
            <w:vAlign w:val="bottom"/>
            <w:shd w:val="clear" w:color="auto" w:fill="DCE2E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5,847.8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5,625.1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6,025.2</w:t>
            </w:r>
          </w:p>
        </w:tc>
      </w:tr>
      <w:tr>
        <w:trPr>
          <w:trHeight w:val="230"/>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All other countries</w:t>
            </w: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380.8</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362.5</w:t>
            </w:r>
          </w:p>
        </w:tc>
        <w:tc>
          <w:tcPr>
            <w:tcW w:w="100" w:type="dxa"/>
            <w:vAlign w:val="bottom"/>
            <w:shd w:val="clear" w:color="auto" w:fill="DCE2EF"/>
          </w:tcPr>
          <w:p>
            <w:pPr>
              <w:spacing w:after="0"/>
              <w:rPr>
                <w:sz w:val="19"/>
                <w:szCs w:val="19"/>
                <w:color w:val="auto"/>
              </w:rPr>
            </w:pPr>
          </w:p>
        </w:tc>
        <w:tc>
          <w:tcPr>
            <w:tcW w:w="400" w:type="dxa"/>
            <w:vAlign w:val="bottom"/>
            <w:tcBorders>
              <w:bottom w:val="single" w:sz="8" w:color="auto"/>
            </w:tcBorders>
            <w:shd w:val="clear" w:color="auto" w:fill="DCE2EF"/>
          </w:tcPr>
          <w:p>
            <w:pPr>
              <w:spacing w:after="0"/>
              <w:rPr>
                <w:sz w:val="19"/>
                <w:szCs w:val="19"/>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473.3</w:t>
            </w: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6,228.6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5,987.6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6,498.6</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160" w:hanging="152"/>
        <w:spacing w:after="0"/>
        <w:tabs>
          <w:tab w:leader="none" w:pos="16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Substantially all of our long-lived assets are related to United States operations.</w:t>
      </w:r>
    </w:p>
    <w:p>
      <w:pPr>
        <w:sectPr>
          <w:pgSz w:w="11900" w:h="16838" w:orient="portrait"/>
          <w:cols w:equalWidth="0" w:num="1">
            <w:col w:w="11240"/>
          </w:cols>
          <w:pgMar w:left="320" w:top="1210"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b w:val="1"/>
          <w:bCs w:val="1"/>
          <w:color w:val="0046AD"/>
        </w:rPr>
        <w:t>18.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0637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3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Our strategic transformation under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will result in changes to our reportable segments in fiscal year 2022. To align the Company’s operations with the new strategic initiative, the Manufacturing &amp; Distribution (“M&amp;D”) industry group will be created, replacing T&amp;M. As part of our focus to better serve our manufacturing and distribution clients, M&amp;D will maintain our large manufacturing clients and add clients in the distribution sector from B&amp;I. In addition, technology clients served by T&amp;M will shift into B&amp;I. This organizational structure change was effective as of November 1, 2021. We will begin reporting our results under the new reportable segment of M&amp;D beginning in the first quarter of fiscal year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0046AD"/>
        </w:rPr>
        <w:t>ITEM 9. CHANGES IN AND DISAGREEMENTS WITH ACCOUNTANTS ON ACCOUNTING AND FINANCIAL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 Disclosure Controls and Procedures.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 Management’s Report on Internal Control Over Financial Reporting.</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of the Exchange Act. Under the supervision and with the participation of our management, including our Principal Executive Officer and Principal Financial Officer, we conducted an evaluation of the effectiveness of our internal control over financial reporting based upon the framework in Internal Control – Integrated Framework (2013), issued by the Committee of Sponsoring Organizations of the Treadway Commission. Based on that evaluation, our management concluded that our internal control over financial reporting was effective as of October 31, 2021.</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acquired Able on September 30, 2021. Management excluded Able from its assessment of the effectiveness of the Company’s internal control over financial reporting as of October 31, 2021. Able represented approximately 4.4% of the Company’s total consolidated assets (excluding goodwill and intangibles, which are included within the scope of the assessment) and 1.6% of total consolidated revenues, as of and for the year ended October 31,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Audit Report on Internal Controls over Financial Reporting of the Registered Public Accounting Firm</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KPMG LLP, an independent registered public accounting firm, has audited the consolidated financial statements included in this Annual Report on Form 10-K and, as part of their audit, has issued their report, included herein, on the effectiveness of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 Changes in Internal Control Over Financial Reporting.</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To support the growth of our financial shared service capabilities and standardize our financial systems, we continue to update several key platforms, including our HR information systems, enterprise resource planning system, and labor management system. The implementation of several key platforms involves changes in the systems that include internal controls. Although some of the transitions have proceeded to date without material adverse effects, the possibility exists that they could adversely affect our internal controls over financial reporting and procedures.</w:t>
      </w:r>
    </w:p>
    <w:p>
      <w:pPr>
        <w:spacing w:after="0" w:line="15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There were no other changes in our internal control over financial reporting during the fiscal year 2021 identified in connection with the evaluation required by Rules 13a-15(d) and 15d-15(d) of the Exchange Act that has materially affected, or is reasonably likely to materially affect, our internal control over financial reporting. As a result of the Pandemic, many of our office-based employees began working remotely in March 2020. This change to the working environment did not have a material effect on our internal controls over financial reporting during the fiscal year 2021. We are continually monitoring and assessing the impact of the Pandemic and the resulting changes to our working environment on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0046AD"/>
        </w:rPr>
        <w:t>ITEM 9B.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Disclosure Pursuant to Section 219 of the Iran Threat Reduction and Syria Human Rights Act</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Section 219 of the Iran Threat Reduction and Syria Human Rights Act of 2012 (“ITRA”), effective August 10, 2012, added a new subsection (r) to Section 13 of the Exchange Act, which requires issuers that file periodic reports with the SEC to disclose in their annual and quarterly reports whether, during the reporting period, they or any of their “affiliates” (as defined in Rule 12b-2 under the Exchange Act) have knowingly engaged in specified activities or transactions relating to Iran, including activities not prohibited by U.S. law and conducted outside the United States by non-U.S. affiliates in compliance with applicable laws. Issuers must also file a notice with the SEC if any disclosable activity under ITRA has been included in an annual or quarterly report.</w:t>
      </w:r>
    </w:p>
    <w:p>
      <w:pPr>
        <w:spacing w:after="0" w:line="1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recently discovered that one of its U.K. subsidiaries had been providing aircraft cleaning services to Iran Air since April 2020. The U.K. subsidiary terminated its relationship with Iran Air on August 30, 2021. The aggregate amount of payments received by the U.K. subsidiary in return for its services was approximately GBP 64,000, and the aggregated profits were GBP 6,400.</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submitted a preliminary self-disclosure and investigation report of the U.K. subsidiary’s transactions with the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Treasury Department Office of Foreign Assets Control (“OFAC”).</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intends to fully cooperate with OFAC in its review of this matter and does not currently expect that OFAC’s review will have a material adverse effect on the Company. The Company is also in the process of reviewing and developing enhanced controls, procedures, and other measures to ensure compliance with applicable law.</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98" w:name="page99"/>
    <w:bookmarkEnd w:id="98"/>
    <w:p>
      <w:pPr>
        <w:ind w:left="5280"/>
        <w:spacing w:after="0"/>
        <w:rPr>
          <w:sz w:val="20"/>
          <w:szCs w:val="20"/>
          <w:color w:val="auto"/>
        </w:rPr>
      </w:pPr>
      <w:r>
        <w:rPr>
          <w:rFonts w:ascii="Arial" w:cs="Arial" w:eastAsia="Arial" w:hAnsi="Arial"/>
          <w:sz w:val="18"/>
          <w:szCs w:val="18"/>
          <w:b w:val="1"/>
          <w:bCs w:val="1"/>
          <w:color w:val="0046AD"/>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10. DIRECTORS, EXECUTIVE OFFICERS AND CORPORATE GOVERNANCE.</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Information about our executive officers is found in Part I, Item 1, of this Annual Report on Form 10-K under “Executive Officers of Registrant.” Additional information required by this Item will be set forth under the captions “Proposal No. 1—Election of Directors,” “Corporate Governance and Board Matters,” and “Audit-Related Matters” in our Definitive Proxy Statement for our 2022 Annual Meeting of Stockholders (the “2022 Proxy Statement”). Such information is incorporated herein by reference. Our 2022 Proxy Statement will be filed with the Securities and Exchange Commission within 120 days after the conclusion of our fiscal year ended October 31, 2021.</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19, 2021, we filed our Annual CEO Certification as required by Section 303A.12 of the NYSE Listed Company Manual.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Code of Business Conduct</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adopted and posted on our website (www.abm.com) the ABM Code of Business Conduct. Our Code of Business Conduct qualifies as a “code of ethics” within the meaning of Item 406 of Regulation S-K. Our Code of Business Conduct applies to all of our directors, officers, and employees, including our Principal Executive Officer, Principal Financial Officer, and Principal Accounting Officer. If any amendments are made to the Code of Business Conduct or if any waiver, including any implicit waiver, from a provision of the Code of Business Conduct is granted to our Principal Executive Officer, Principal Financial Officer, or Principal Accounting Officer, we will disclose the nature of such amendment or waiver on our website at the address specified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11. EXECUTIVE COMPENSATION.</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Information with respect to executive compensation required by this Item will be set forth under the captions “Director Compensation for Fiscal Year 2021,” “Executive Compensation,” and “Corporate Governance and Board Matters—Compensation Committee Interlocks and Insider Participation” in our 2022 Proxy Statement and is incorporated herein by reference.</w:t>
      </w:r>
    </w:p>
    <w:p>
      <w:pPr>
        <w:spacing w:after="0" w:line="126"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color w:val="0046AD"/>
        </w:rPr>
        <w:t>ITEM 12. SECURITY OWNERSHIP OF CERTAIN BENEFICIAL OWNERS AND MANAGEMENT AND RELATED STOCKHOLDER MATTERS.</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Information with respect to security ownership of certain beneficial owners and management and equity compensation plan information and related stockholder matters required by this Item will be set forth under the captions “General Information—Security Ownership of Certain Beneficial Owners,” “General Information—Security Ownership of Directors and Executive Officers,” and “General Information—Equity Compensation Plan Information” in our 2022 Proxy Statement and is incorporated herein by reference.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13. CERTAIN RELATIONSHIPS AND RELATED TRANSACTIONS, AND DIRECTOR INDEPENDENCE.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with respect to certain relationships and related transactions and with respect to director independence required by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 will be set forth under the captions “General Information—Certain Relationships and Transactions with Related Persons” and “Corporate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Governance and Board Matters” in our 2022 Proxy Statement and is incorporated herein by reference.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14. PRINCIPAL ACCOUNTING FEES AND SERVICES.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Information with respect to our Audit Committee’s pre-approval policy for audit services and our principal accounting fees and services required by this Item will be set forth under the caption “Audit-Related Matters” in our 2022 Proxy Statement and is incorporated herein by reference.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9"/>
        </w:trPr>
        <w:tc>
          <w:tcPr>
            <w:tcW w:w="11040" w:type="dxa"/>
            <w:vAlign w:val="bottom"/>
          </w:tcPr>
          <w:p>
            <w:pPr>
              <w:ind w:left="5260"/>
              <w:spacing w:after="0"/>
              <w:rPr>
                <w:sz w:val="20"/>
                <w:szCs w:val="20"/>
                <w:color w:val="auto"/>
              </w:rPr>
            </w:pPr>
            <w:r>
              <w:rPr>
                <w:rFonts w:ascii="Arial" w:cs="Arial" w:eastAsia="Arial" w:hAnsi="Arial"/>
                <w:sz w:val="18"/>
                <w:szCs w:val="18"/>
                <w:b w:val="1"/>
                <w:bCs w:val="1"/>
                <w:color w:val="0046AD"/>
              </w:rPr>
              <w:t>PART IV</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11040" w:type="dxa"/>
            <w:vAlign w:val="bottom"/>
          </w:tcPr>
          <w:p>
            <w:pPr>
              <w:spacing w:after="0"/>
              <w:rPr>
                <w:sz w:val="20"/>
                <w:szCs w:val="20"/>
                <w:color w:val="auto"/>
              </w:rPr>
            </w:pPr>
            <w:r>
              <w:rPr>
                <w:rFonts w:ascii="Arial" w:cs="Arial" w:eastAsia="Arial" w:hAnsi="Arial"/>
                <w:sz w:val="18"/>
                <w:szCs w:val="18"/>
                <w:b w:val="1"/>
                <w:bCs w:val="1"/>
                <w:color w:val="0046AD"/>
              </w:rPr>
              <w:t>ITEM 15. EXHIBITS, FINANCIAL STATEMENT SCHEDULES.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6"/>
        </w:trPr>
        <w:tc>
          <w:tcPr>
            <w:tcW w:w="11040" w:type="dxa"/>
            <w:vAlign w:val="bottom"/>
          </w:tcPr>
          <w:p>
            <w:pPr>
              <w:ind w:left="340"/>
              <w:spacing w:after="0"/>
              <w:rPr>
                <w:sz w:val="20"/>
                <w:szCs w:val="20"/>
                <w:color w:val="auto"/>
              </w:rPr>
            </w:pPr>
            <w:r>
              <w:rPr>
                <w:rFonts w:ascii="Arial" w:cs="Arial" w:eastAsia="Arial" w:hAnsi="Arial"/>
                <w:sz w:val="17"/>
                <w:szCs w:val="17"/>
                <w:color w:val="auto"/>
              </w:rPr>
              <w:t>(a) The following documents are filed as part of this report: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8"/>
        </w:trPr>
        <w:tc>
          <w:tcPr>
            <w:tcW w:w="1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11040" w:type="dxa"/>
            <w:vAlign w:val="bottom"/>
            <w:shd w:val="clear" w:color="auto" w:fill="DCE2EF"/>
          </w:tcPr>
          <w:p>
            <w:pPr>
              <w:ind w:left="20"/>
              <w:spacing w:after="0"/>
              <w:rPr>
                <w:sz w:val="20"/>
                <w:szCs w:val="20"/>
                <w:color w:val="auto"/>
              </w:rPr>
            </w:pPr>
            <w:r>
              <w:rPr>
                <w:rFonts w:ascii="Arial" w:cs="Arial" w:eastAsia="Arial" w:hAnsi="Arial"/>
                <w:sz w:val="17"/>
                <w:szCs w:val="17"/>
                <w:color w:val="auto"/>
              </w:rPr>
              <w:t>1</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Financial Statements</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Index to Consolidated Financial Statements</w:t>
            </w:r>
          </w:p>
        </w:tc>
        <w:tc>
          <w:tcPr>
            <w:tcW w:w="18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r>
      <w:tr>
        <w:trPr>
          <w:trHeight w:val="176"/>
        </w:trPr>
        <w:tc>
          <w:tcPr>
            <w:tcW w:w="11040" w:type="dxa"/>
            <w:vAlign w:val="bottom"/>
          </w:tcPr>
          <w:p>
            <w:pPr>
              <w:ind w:left="360"/>
              <w:spacing w:after="0" w:line="176" w:lineRule="exact"/>
              <w:rPr>
                <w:rFonts w:ascii="Arial" w:cs="Arial" w:eastAsia="Arial" w:hAnsi="Arial"/>
                <w:sz w:val="17"/>
                <w:szCs w:val="17"/>
                <w:color w:val="0000FF"/>
              </w:rPr>
            </w:pPr>
            <w:hyperlink w:anchor="page47">
              <w:r>
                <w:rPr>
                  <w:rFonts w:ascii="Arial" w:cs="Arial" w:eastAsia="Arial" w:hAnsi="Arial"/>
                  <w:sz w:val="17"/>
                  <w:szCs w:val="17"/>
                  <w:color w:val="0000FF"/>
                </w:rPr>
                <w:t>Report of Independent Registered Public Accounting Firm</w:t>
              </w:r>
            </w:hyperlink>
          </w:p>
        </w:tc>
        <w:tc>
          <w:tcPr>
            <w:tcW w:w="180" w:type="dxa"/>
            <w:vAlign w:val="bottom"/>
            <w:tcBorders>
              <w:bottom w:val="single" w:sz="8" w:color="0000FF"/>
            </w:tcBorders>
          </w:tcPr>
          <w:p>
            <w:pPr>
              <w:jc w:val="right"/>
              <w:spacing w:after="0" w:line="176" w:lineRule="exact"/>
              <w:rPr>
                <w:rFonts w:ascii="Arial" w:cs="Arial" w:eastAsia="Arial" w:hAnsi="Arial"/>
                <w:sz w:val="17"/>
                <w:szCs w:val="17"/>
                <w:color w:val="0000FF"/>
                <w:w w:val="84"/>
              </w:rPr>
            </w:pPr>
            <w:hyperlink w:anchor="page47">
              <w:r>
                <w:rPr>
                  <w:rFonts w:ascii="Arial" w:cs="Arial" w:eastAsia="Arial" w:hAnsi="Arial"/>
                  <w:sz w:val="17"/>
                  <w:szCs w:val="17"/>
                  <w:color w:val="0000FF"/>
                  <w:w w:val="84"/>
                </w:rPr>
                <w:t>45</w:t>
              </w:r>
            </w:hyperlink>
          </w:p>
        </w:tc>
        <w:tc>
          <w:tcPr>
            <w:tcW w:w="20" w:type="dxa"/>
            <w:vAlign w:val="bottom"/>
          </w:tcPr>
          <w:p>
            <w:pPr>
              <w:spacing w:after="0"/>
              <w:rPr>
                <w:sz w:val="15"/>
                <w:szCs w:val="15"/>
                <w:color w:val="auto"/>
              </w:rPr>
            </w:pPr>
          </w:p>
        </w:tc>
      </w:tr>
      <w:tr>
        <w:trPr>
          <w:trHeight w:val="21"/>
        </w:trPr>
        <w:tc>
          <w:tcPr>
            <w:tcW w:w="1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1040" w:type="dxa"/>
            <w:vAlign w:val="bottom"/>
            <w:tcBorders>
              <w:bottom w:val="single" w:sz="8" w:color="DCE2EF"/>
            </w:tcBorders>
            <w:shd w:val="clear" w:color="auto" w:fill="DCE2EF"/>
          </w:tcPr>
          <w:p>
            <w:pPr>
              <w:ind w:left="360"/>
              <w:spacing w:after="0" w:line="176" w:lineRule="exact"/>
              <w:rPr>
                <w:rFonts w:ascii="Arial" w:cs="Arial" w:eastAsia="Arial" w:hAnsi="Arial"/>
                <w:sz w:val="17"/>
                <w:szCs w:val="17"/>
                <w:color w:val="0000FF"/>
              </w:rPr>
            </w:pPr>
            <w:hyperlink w:anchor="page52">
              <w:r>
                <w:rPr>
                  <w:rFonts w:ascii="Arial" w:cs="Arial" w:eastAsia="Arial" w:hAnsi="Arial"/>
                  <w:sz w:val="17"/>
                  <w:szCs w:val="17"/>
                  <w:color w:val="0000FF"/>
                </w:rPr>
                <w:t xml:space="preserve">Consolidated Balance Sheets at October 31, </w:t>
              </w:r>
            </w:hyperlink>
            <w:r>
              <w:rPr>
                <w:rFonts w:ascii="Arial" w:cs="Arial" w:eastAsia="Arial" w:hAnsi="Arial"/>
                <w:sz w:val="17"/>
                <w:szCs w:val="17"/>
                <w:color w:val="0000FF"/>
              </w:rPr>
              <w:t xml:space="preserve">2021 </w:t>
            </w:r>
            <w:hyperlink w:anchor="page52">
              <w:r>
                <w:rPr>
                  <w:rFonts w:ascii="Arial" w:cs="Arial" w:eastAsia="Arial" w:hAnsi="Arial"/>
                  <w:sz w:val="17"/>
                  <w:szCs w:val="17"/>
                  <w:color w:val="0000FF"/>
                </w:rPr>
                <w:t xml:space="preserve">and </w:t>
              </w:r>
            </w:hyperlink>
            <w:r>
              <w:rPr>
                <w:rFonts w:ascii="Arial" w:cs="Arial" w:eastAsia="Arial" w:hAnsi="Arial"/>
                <w:sz w:val="17"/>
                <w:szCs w:val="17"/>
                <w:color w:val="3051F2"/>
              </w:rPr>
              <w:t>2020</w:t>
            </w:r>
          </w:p>
        </w:tc>
        <w:tc>
          <w:tcPr>
            <w:tcW w:w="180" w:type="dxa"/>
            <w:vAlign w:val="bottom"/>
            <w:tcBorders>
              <w:bottom w:val="single" w:sz="8" w:color="0000FF"/>
            </w:tcBorders>
            <w:shd w:val="clear" w:color="auto" w:fill="DCE2EF"/>
          </w:tcPr>
          <w:p>
            <w:pPr>
              <w:jc w:val="right"/>
              <w:spacing w:after="0" w:line="176" w:lineRule="exact"/>
              <w:rPr>
                <w:rFonts w:ascii="Arial" w:cs="Arial" w:eastAsia="Arial" w:hAnsi="Arial"/>
                <w:sz w:val="17"/>
                <w:szCs w:val="17"/>
                <w:color w:val="0000FF"/>
                <w:w w:val="84"/>
              </w:rPr>
            </w:pPr>
            <w:hyperlink w:anchor="page52">
              <w:r>
                <w:rPr>
                  <w:rFonts w:ascii="Arial" w:cs="Arial" w:eastAsia="Arial" w:hAnsi="Arial"/>
                  <w:sz w:val="17"/>
                  <w:szCs w:val="17"/>
                  <w:color w:val="0000FF"/>
                  <w:w w:val="84"/>
                </w:rPr>
                <w:t>50</w:t>
              </w:r>
            </w:hyperlink>
          </w:p>
        </w:tc>
        <w:tc>
          <w:tcPr>
            <w:tcW w:w="20" w:type="dxa"/>
            <w:vAlign w:val="bottom"/>
            <w:tcBorders>
              <w:bottom w:val="single" w:sz="8" w:color="DCE2EF"/>
            </w:tcBorders>
            <w:shd w:val="clear" w:color="auto" w:fill="DCE2EF"/>
          </w:tcPr>
          <w:p>
            <w:pPr>
              <w:spacing w:after="0"/>
              <w:rPr>
                <w:sz w:val="17"/>
                <w:szCs w:val="17"/>
                <w:color w:val="auto"/>
              </w:rPr>
            </w:pPr>
          </w:p>
        </w:tc>
      </w:tr>
      <w:tr>
        <w:trPr>
          <w:trHeight w:val="175"/>
        </w:trPr>
        <w:tc>
          <w:tcPr>
            <w:tcW w:w="11040" w:type="dxa"/>
            <w:vAlign w:val="bottom"/>
            <w:tcBorders>
              <w:top w:val="single" w:sz="8" w:color="DCE2EF"/>
            </w:tcBorders>
          </w:tcPr>
          <w:p>
            <w:pPr>
              <w:ind w:left="360"/>
              <w:spacing w:after="0" w:line="176" w:lineRule="exact"/>
              <w:rPr>
                <w:rFonts w:ascii="Arial" w:cs="Arial" w:eastAsia="Arial" w:hAnsi="Arial"/>
                <w:sz w:val="17"/>
                <w:szCs w:val="17"/>
                <w:color w:val="0000FF"/>
              </w:rPr>
            </w:pPr>
            <w:hyperlink w:anchor="page53">
              <w:r>
                <w:rPr>
                  <w:rFonts w:ascii="Arial" w:cs="Arial" w:eastAsia="Arial" w:hAnsi="Arial"/>
                  <w:sz w:val="17"/>
                  <w:szCs w:val="17"/>
                  <w:color w:val="0000FF"/>
                </w:rPr>
                <w:t xml:space="preserve">Consolidated Statements of Comprehensive Income (Loss) for the Years Ended October 31, </w:t>
              </w:r>
            </w:hyperlink>
            <w:r>
              <w:rPr>
                <w:rFonts w:ascii="Arial" w:cs="Arial" w:eastAsia="Arial" w:hAnsi="Arial"/>
                <w:sz w:val="17"/>
                <w:szCs w:val="17"/>
                <w:color w:val="0000FF"/>
              </w:rPr>
              <w:t xml:space="preserve">2021, 2020, </w:t>
            </w:r>
            <w:hyperlink w:anchor="page53">
              <w:r>
                <w:rPr>
                  <w:rFonts w:ascii="Arial" w:cs="Arial" w:eastAsia="Arial" w:hAnsi="Arial"/>
                  <w:sz w:val="17"/>
                  <w:szCs w:val="17"/>
                  <w:color w:val="0000FF"/>
                </w:rPr>
                <w:t>and 2019</w:t>
              </w:r>
            </w:hyperlink>
          </w:p>
        </w:tc>
        <w:tc>
          <w:tcPr>
            <w:tcW w:w="180" w:type="dxa"/>
            <w:vAlign w:val="bottom"/>
            <w:tcBorders>
              <w:top w:val="single" w:sz="8" w:color="DCE2EF"/>
              <w:bottom w:val="single" w:sz="8" w:color="0000FF"/>
            </w:tcBorders>
          </w:tcPr>
          <w:p>
            <w:pPr>
              <w:jc w:val="right"/>
              <w:spacing w:after="0" w:line="176" w:lineRule="exact"/>
              <w:rPr>
                <w:rFonts w:ascii="Arial" w:cs="Arial" w:eastAsia="Arial" w:hAnsi="Arial"/>
                <w:sz w:val="17"/>
                <w:szCs w:val="17"/>
                <w:color w:val="0000FF"/>
                <w:w w:val="84"/>
              </w:rPr>
            </w:pPr>
            <w:hyperlink w:anchor="page53">
              <w:r>
                <w:rPr>
                  <w:rFonts w:ascii="Arial" w:cs="Arial" w:eastAsia="Arial" w:hAnsi="Arial"/>
                  <w:sz w:val="17"/>
                  <w:szCs w:val="17"/>
                  <w:color w:val="0000FF"/>
                  <w:w w:val="84"/>
                </w:rPr>
                <w:t>51</w:t>
              </w:r>
            </w:hyperlink>
          </w:p>
        </w:tc>
        <w:tc>
          <w:tcPr>
            <w:tcW w:w="20" w:type="dxa"/>
            <w:vAlign w:val="bottom"/>
            <w:tcBorders>
              <w:top w:val="single" w:sz="8" w:color="DCE2EF"/>
            </w:tcBorders>
          </w:tcPr>
          <w:p>
            <w:pPr>
              <w:spacing w:after="0"/>
              <w:rPr>
                <w:sz w:val="15"/>
                <w:szCs w:val="15"/>
                <w:color w:val="auto"/>
              </w:rPr>
            </w:pPr>
          </w:p>
        </w:tc>
      </w:tr>
      <w:tr>
        <w:trPr>
          <w:trHeight w:val="21"/>
        </w:trPr>
        <w:tc>
          <w:tcPr>
            <w:tcW w:w="1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1040" w:type="dxa"/>
            <w:vAlign w:val="bottom"/>
            <w:tcBorders>
              <w:bottom w:val="single" w:sz="8" w:color="DCE2EF"/>
            </w:tcBorders>
            <w:shd w:val="clear" w:color="auto" w:fill="DCE2EF"/>
          </w:tcPr>
          <w:p>
            <w:pPr>
              <w:ind w:left="360"/>
              <w:spacing w:after="0" w:line="176" w:lineRule="exact"/>
              <w:rPr>
                <w:rFonts w:ascii="Arial" w:cs="Arial" w:eastAsia="Arial" w:hAnsi="Arial"/>
                <w:sz w:val="17"/>
                <w:szCs w:val="17"/>
                <w:color w:val="0000FF"/>
              </w:rPr>
            </w:pPr>
            <w:hyperlink w:anchor="page54">
              <w:r>
                <w:rPr>
                  <w:rFonts w:ascii="Arial" w:cs="Arial" w:eastAsia="Arial" w:hAnsi="Arial"/>
                  <w:sz w:val="17"/>
                  <w:szCs w:val="17"/>
                  <w:color w:val="0000FF"/>
                </w:rPr>
                <w:t xml:space="preserve">Consolidated Statements of Stockholders’ Equity for the Years Ended October 31, </w:t>
              </w:r>
            </w:hyperlink>
            <w:r>
              <w:rPr>
                <w:rFonts w:ascii="Arial" w:cs="Arial" w:eastAsia="Arial" w:hAnsi="Arial"/>
                <w:sz w:val="17"/>
                <w:szCs w:val="17"/>
                <w:color w:val="0000FF"/>
              </w:rPr>
              <w:t xml:space="preserve">2021, 2020, </w:t>
            </w:r>
            <w:hyperlink w:anchor="page54">
              <w:r>
                <w:rPr>
                  <w:rFonts w:ascii="Arial" w:cs="Arial" w:eastAsia="Arial" w:hAnsi="Arial"/>
                  <w:sz w:val="17"/>
                  <w:szCs w:val="17"/>
                  <w:color w:val="0000FF"/>
                </w:rPr>
                <w:t>and 2019</w:t>
              </w:r>
            </w:hyperlink>
          </w:p>
        </w:tc>
        <w:tc>
          <w:tcPr>
            <w:tcW w:w="180" w:type="dxa"/>
            <w:vAlign w:val="bottom"/>
            <w:tcBorders>
              <w:bottom w:val="single" w:sz="8" w:color="0000FF"/>
            </w:tcBorders>
            <w:shd w:val="clear" w:color="auto" w:fill="DCE2EF"/>
          </w:tcPr>
          <w:p>
            <w:pPr>
              <w:jc w:val="right"/>
              <w:spacing w:after="0" w:line="176" w:lineRule="exact"/>
              <w:rPr>
                <w:rFonts w:ascii="Arial" w:cs="Arial" w:eastAsia="Arial" w:hAnsi="Arial"/>
                <w:sz w:val="17"/>
                <w:szCs w:val="17"/>
                <w:color w:val="0000FF"/>
                <w:w w:val="84"/>
              </w:rPr>
            </w:pPr>
            <w:hyperlink w:anchor="page54">
              <w:r>
                <w:rPr>
                  <w:rFonts w:ascii="Arial" w:cs="Arial" w:eastAsia="Arial" w:hAnsi="Arial"/>
                  <w:sz w:val="17"/>
                  <w:szCs w:val="17"/>
                  <w:color w:val="0000FF"/>
                  <w:w w:val="84"/>
                </w:rPr>
                <w:t>52</w:t>
              </w:r>
            </w:hyperlink>
          </w:p>
        </w:tc>
        <w:tc>
          <w:tcPr>
            <w:tcW w:w="20" w:type="dxa"/>
            <w:vAlign w:val="bottom"/>
            <w:tcBorders>
              <w:bottom w:val="single" w:sz="8" w:color="DCE2EF"/>
            </w:tcBorders>
            <w:shd w:val="clear" w:color="auto" w:fill="DCE2EF"/>
          </w:tcPr>
          <w:p>
            <w:pPr>
              <w:spacing w:after="0"/>
              <w:rPr>
                <w:sz w:val="17"/>
                <w:szCs w:val="17"/>
                <w:color w:val="auto"/>
              </w:rPr>
            </w:pPr>
          </w:p>
        </w:tc>
      </w:tr>
      <w:tr>
        <w:trPr>
          <w:trHeight w:val="176"/>
        </w:trPr>
        <w:tc>
          <w:tcPr>
            <w:tcW w:w="11040" w:type="dxa"/>
            <w:vAlign w:val="bottom"/>
            <w:tcBorders>
              <w:top w:val="single" w:sz="8" w:color="DCE2EF"/>
            </w:tcBorders>
          </w:tcPr>
          <w:p>
            <w:pPr>
              <w:ind w:left="360"/>
              <w:spacing w:after="0" w:line="176" w:lineRule="exact"/>
              <w:rPr>
                <w:rFonts w:ascii="Arial" w:cs="Arial" w:eastAsia="Arial" w:hAnsi="Arial"/>
                <w:sz w:val="17"/>
                <w:szCs w:val="17"/>
                <w:color w:val="0000FF"/>
              </w:rPr>
            </w:pPr>
            <w:hyperlink w:anchor="page55">
              <w:r>
                <w:rPr>
                  <w:rFonts w:ascii="Arial" w:cs="Arial" w:eastAsia="Arial" w:hAnsi="Arial"/>
                  <w:sz w:val="17"/>
                  <w:szCs w:val="17"/>
                  <w:color w:val="0000FF"/>
                </w:rPr>
                <w:t xml:space="preserve">Consolidated Statements of Cash Flows for the Years Ended October 31, 2021, </w:t>
              </w:r>
            </w:hyperlink>
            <w:r>
              <w:rPr>
                <w:rFonts w:ascii="Arial" w:cs="Arial" w:eastAsia="Arial" w:hAnsi="Arial"/>
                <w:sz w:val="17"/>
                <w:szCs w:val="17"/>
                <w:color w:val="0000FF"/>
              </w:rPr>
              <w:t xml:space="preserve">2020, </w:t>
            </w:r>
            <w:hyperlink w:anchor="page55">
              <w:r>
                <w:rPr>
                  <w:rFonts w:ascii="Arial" w:cs="Arial" w:eastAsia="Arial" w:hAnsi="Arial"/>
                  <w:sz w:val="17"/>
                  <w:szCs w:val="17"/>
                  <w:color w:val="0000FF"/>
                </w:rPr>
                <w:t>and 2019</w:t>
              </w:r>
            </w:hyperlink>
          </w:p>
        </w:tc>
        <w:tc>
          <w:tcPr>
            <w:tcW w:w="180" w:type="dxa"/>
            <w:vAlign w:val="bottom"/>
            <w:tcBorders>
              <w:top w:val="single" w:sz="8" w:color="DCE2EF"/>
              <w:bottom w:val="single" w:sz="8" w:color="0000FF"/>
            </w:tcBorders>
          </w:tcPr>
          <w:p>
            <w:pPr>
              <w:jc w:val="right"/>
              <w:spacing w:after="0" w:line="176" w:lineRule="exact"/>
              <w:rPr>
                <w:rFonts w:ascii="Arial" w:cs="Arial" w:eastAsia="Arial" w:hAnsi="Arial"/>
                <w:sz w:val="17"/>
                <w:szCs w:val="17"/>
                <w:color w:val="0000FF"/>
                <w:w w:val="84"/>
              </w:rPr>
            </w:pPr>
            <w:hyperlink w:anchor="page55">
              <w:r>
                <w:rPr>
                  <w:rFonts w:ascii="Arial" w:cs="Arial" w:eastAsia="Arial" w:hAnsi="Arial"/>
                  <w:sz w:val="17"/>
                  <w:szCs w:val="17"/>
                  <w:color w:val="0000FF"/>
                  <w:w w:val="84"/>
                </w:rPr>
                <w:t>53</w:t>
              </w:r>
            </w:hyperlink>
          </w:p>
        </w:tc>
        <w:tc>
          <w:tcPr>
            <w:tcW w:w="20" w:type="dxa"/>
            <w:vAlign w:val="bottom"/>
            <w:tcBorders>
              <w:top w:val="single" w:sz="8" w:color="DCE2EF"/>
            </w:tcBorders>
          </w:tcPr>
          <w:p>
            <w:pPr>
              <w:spacing w:after="0"/>
              <w:rPr>
                <w:sz w:val="15"/>
                <w:szCs w:val="15"/>
                <w:color w:val="auto"/>
              </w:rPr>
            </w:pPr>
          </w:p>
        </w:tc>
      </w:tr>
      <w:tr>
        <w:trPr>
          <w:trHeight w:val="20"/>
        </w:trPr>
        <w:tc>
          <w:tcPr>
            <w:tcW w:w="1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104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r>
      <w:tr>
        <w:trPr>
          <w:trHeight w:val="216"/>
        </w:trPr>
        <w:tc>
          <w:tcPr>
            <w:tcW w:w="11040" w:type="dxa"/>
            <w:vAlign w:val="bottom"/>
          </w:tcPr>
          <w:p>
            <w:pPr>
              <w:ind w:left="20"/>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b w:val="1"/>
                <w:bCs w:val="1"/>
                <w:i w:val="1"/>
                <w:iCs w:val="1"/>
                <w:color w:val="auto"/>
              </w:rPr>
              <w:t>Financial Statement Schedule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1"/>
        </w:trPr>
        <w:tc>
          <w:tcPr>
            <w:tcW w:w="11040" w:type="dxa"/>
            <w:vAlign w:val="bottom"/>
            <w:tcBorders>
              <w:bottom w:val="single" w:sz="8" w:color="DCE2EF"/>
            </w:tcBorders>
            <w:shd w:val="clear" w:color="auto" w:fill="DCE2EF"/>
          </w:tcPr>
          <w:p>
            <w:pPr>
              <w:ind w:left="360"/>
              <w:spacing w:after="0" w:line="176" w:lineRule="exact"/>
              <w:rPr>
                <w:rFonts w:ascii="Arial" w:cs="Arial" w:eastAsia="Arial" w:hAnsi="Arial"/>
                <w:sz w:val="17"/>
                <w:szCs w:val="17"/>
                <w:color w:val="0000FF"/>
              </w:rPr>
            </w:pPr>
            <w:hyperlink w:anchor="page100">
              <w:r>
                <w:rPr>
                  <w:rFonts w:ascii="Arial" w:cs="Arial" w:eastAsia="Arial" w:hAnsi="Arial"/>
                  <w:sz w:val="17"/>
                  <w:szCs w:val="17"/>
                  <w:color w:val="0000FF"/>
                </w:rPr>
                <w:t xml:space="preserve">Valuation and Qualifying Accounts for the Years Ended October 31, 2021, </w:t>
              </w:r>
            </w:hyperlink>
            <w:r>
              <w:rPr>
                <w:rFonts w:ascii="Arial" w:cs="Arial" w:eastAsia="Arial" w:hAnsi="Arial"/>
                <w:sz w:val="17"/>
                <w:szCs w:val="17"/>
                <w:color w:val="0000FF"/>
              </w:rPr>
              <w:t xml:space="preserve">2020, </w:t>
            </w:r>
            <w:hyperlink w:anchor="page100">
              <w:r>
                <w:rPr>
                  <w:rFonts w:ascii="Arial" w:cs="Arial" w:eastAsia="Arial" w:hAnsi="Arial"/>
                  <w:sz w:val="17"/>
                  <w:szCs w:val="17"/>
                  <w:color w:val="0000FF"/>
                </w:rPr>
                <w:t>and 2019</w:t>
              </w:r>
            </w:hyperlink>
          </w:p>
        </w:tc>
        <w:tc>
          <w:tcPr>
            <w:tcW w:w="180" w:type="dxa"/>
            <w:vAlign w:val="bottom"/>
            <w:tcBorders>
              <w:bottom w:val="single" w:sz="8" w:color="0000FF"/>
            </w:tcBorders>
            <w:shd w:val="clear" w:color="auto" w:fill="DCE2EF"/>
          </w:tcPr>
          <w:p>
            <w:pPr>
              <w:jc w:val="right"/>
              <w:spacing w:after="0" w:line="176" w:lineRule="exact"/>
              <w:rPr>
                <w:rFonts w:ascii="Arial" w:cs="Arial" w:eastAsia="Arial" w:hAnsi="Arial"/>
                <w:sz w:val="17"/>
                <w:szCs w:val="17"/>
                <w:color w:val="0000FF"/>
                <w:w w:val="84"/>
              </w:rPr>
            </w:pPr>
            <w:hyperlink w:anchor="page100">
              <w:r>
                <w:rPr>
                  <w:rFonts w:ascii="Arial" w:cs="Arial" w:eastAsia="Arial" w:hAnsi="Arial"/>
                  <w:sz w:val="17"/>
                  <w:szCs w:val="17"/>
                  <w:color w:val="0000FF"/>
                  <w:w w:val="84"/>
                </w:rPr>
                <w:t>98</w:t>
              </w:r>
            </w:hyperlink>
          </w:p>
        </w:tc>
        <w:tc>
          <w:tcPr>
            <w:tcW w:w="20" w:type="dxa"/>
            <w:vAlign w:val="bottom"/>
            <w:tcBorders>
              <w:bottom w:val="single" w:sz="8" w:color="DCE2EF"/>
            </w:tcBorders>
            <w:shd w:val="clear" w:color="auto" w:fill="DCE2EF"/>
          </w:tcPr>
          <w:p>
            <w:pPr>
              <w:spacing w:after="0"/>
              <w:rPr>
                <w:sz w:val="17"/>
                <w:szCs w:val="17"/>
                <w:color w:val="auto"/>
              </w:rPr>
            </w:pPr>
          </w:p>
        </w:tc>
      </w:tr>
      <w:tr>
        <w:trPr>
          <w:trHeight w:val="216"/>
        </w:trPr>
        <w:tc>
          <w:tcPr>
            <w:tcW w:w="11040" w:type="dxa"/>
            <w:vAlign w:val="bottom"/>
            <w:tcBorders>
              <w:top w:val="single" w:sz="8" w:color="DCE2EF"/>
            </w:tcBorders>
          </w:tcPr>
          <w:p>
            <w:pPr>
              <w:spacing w:after="0"/>
              <w:rPr>
                <w:sz w:val="18"/>
                <w:szCs w:val="18"/>
                <w:color w:val="auto"/>
              </w:rPr>
            </w:pPr>
          </w:p>
        </w:tc>
        <w:tc>
          <w:tcPr>
            <w:tcW w:w="180" w:type="dxa"/>
            <w:vAlign w:val="bottom"/>
            <w:tcBorders>
              <w:top w:val="single" w:sz="8" w:color="DCE2EF"/>
            </w:tcBorders>
          </w:tcPr>
          <w:p>
            <w:pPr>
              <w:spacing w:after="0"/>
              <w:rPr>
                <w:sz w:val="18"/>
                <w:szCs w:val="18"/>
                <w:color w:val="auto"/>
              </w:rPr>
            </w:pPr>
          </w:p>
        </w:tc>
        <w:tc>
          <w:tcPr>
            <w:tcW w:w="20" w:type="dxa"/>
            <w:vAlign w:val="bottom"/>
            <w:tcBorders>
              <w:top w:val="single" w:sz="8" w:color="DCE2EF"/>
            </w:tcBorders>
          </w:tcPr>
          <w:p>
            <w:pPr>
              <w:spacing w:after="0"/>
              <w:rPr>
                <w:sz w:val="18"/>
                <w:szCs w:val="18"/>
                <w:color w:val="auto"/>
              </w:rPr>
            </w:pPr>
          </w:p>
        </w:tc>
      </w:tr>
      <w:tr>
        <w:trPr>
          <w:trHeight w:val="216"/>
        </w:trPr>
        <w:tc>
          <w:tcPr>
            <w:tcW w:w="11040" w:type="dxa"/>
            <w:vAlign w:val="bottom"/>
            <w:shd w:val="clear" w:color="auto" w:fill="DCE2EF"/>
          </w:tcPr>
          <w:p>
            <w:pPr>
              <w:ind w:left="20"/>
              <w:spacing w:after="0"/>
              <w:rPr>
                <w:sz w:val="20"/>
                <w:szCs w:val="20"/>
                <w:color w:val="auto"/>
              </w:rPr>
            </w:pPr>
            <w:r>
              <w:rPr>
                <w:rFonts w:ascii="Arial" w:cs="Arial" w:eastAsia="Arial" w:hAnsi="Arial"/>
                <w:sz w:val="17"/>
                <w:szCs w:val="17"/>
                <w:color w:val="auto"/>
              </w:rPr>
              <w:t xml:space="preserve">3. </w:t>
            </w:r>
            <w:r>
              <w:rPr>
                <w:rFonts w:ascii="Arial" w:cs="Arial" w:eastAsia="Arial" w:hAnsi="Arial"/>
                <w:sz w:val="17"/>
                <w:szCs w:val="17"/>
                <w:b w:val="1"/>
                <w:bCs w:val="1"/>
                <w:i w:val="1"/>
                <w:iCs w:val="1"/>
                <w:color w:val="auto"/>
              </w:rPr>
              <w:t>Exhibits</w:t>
            </w:r>
          </w:p>
        </w:tc>
        <w:tc>
          <w:tcPr>
            <w:tcW w:w="18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r>
      <w:tr>
        <w:trPr>
          <w:trHeight w:val="176"/>
        </w:trPr>
        <w:tc>
          <w:tcPr>
            <w:tcW w:w="11040" w:type="dxa"/>
            <w:vAlign w:val="bottom"/>
          </w:tcPr>
          <w:p>
            <w:pPr>
              <w:ind w:left="360"/>
              <w:spacing w:after="0" w:line="176" w:lineRule="exact"/>
              <w:rPr>
                <w:rFonts w:ascii="Arial" w:cs="Arial" w:eastAsia="Arial" w:hAnsi="Arial"/>
                <w:sz w:val="17"/>
                <w:szCs w:val="17"/>
                <w:color w:val="0000FF"/>
              </w:rPr>
            </w:pPr>
            <w:hyperlink w:anchor="page101">
              <w:r>
                <w:rPr>
                  <w:rFonts w:ascii="Arial" w:cs="Arial" w:eastAsia="Arial" w:hAnsi="Arial"/>
                  <w:sz w:val="17"/>
                  <w:szCs w:val="17"/>
                  <w:color w:val="0000FF"/>
                </w:rPr>
                <w:t>Exhibit Index</w:t>
              </w:r>
            </w:hyperlink>
          </w:p>
        </w:tc>
        <w:tc>
          <w:tcPr>
            <w:tcW w:w="180" w:type="dxa"/>
            <w:vAlign w:val="bottom"/>
            <w:tcBorders>
              <w:bottom w:val="single" w:sz="8" w:color="0000FF"/>
            </w:tcBorders>
          </w:tcPr>
          <w:p>
            <w:pPr>
              <w:jc w:val="right"/>
              <w:spacing w:after="0" w:line="176" w:lineRule="exact"/>
              <w:rPr>
                <w:rFonts w:ascii="Arial" w:cs="Arial" w:eastAsia="Arial" w:hAnsi="Arial"/>
                <w:sz w:val="17"/>
                <w:szCs w:val="17"/>
                <w:color w:val="0000FF"/>
                <w:w w:val="84"/>
              </w:rPr>
            </w:pPr>
            <w:hyperlink w:anchor="page101">
              <w:r>
                <w:rPr>
                  <w:rFonts w:ascii="Arial" w:cs="Arial" w:eastAsia="Arial" w:hAnsi="Arial"/>
                  <w:sz w:val="17"/>
                  <w:szCs w:val="17"/>
                  <w:color w:val="0000FF"/>
                  <w:w w:val="84"/>
                </w:rPr>
                <w:t>99</w:t>
              </w:r>
            </w:hyperlink>
          </w:p>
        </w:tc>
        <w:tc>
          <w:tcPr>
            <w:tcW w:w="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SCHEDULE II—VALUATION AND QUALIFYING ACCOUNTS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Balance</w:t>
            </w:r>
          </w:p>
        </w:tc>
        <w:tc>
          <w:tcPr>
            <w:tcW w:w="182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9"/>
              </w:rPr>
              <w:t>Additions from</w:t>
            </w: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Charges to</w:t>
            </w:r>
          </w:p>
        </w:tc>
        <w:tc>
          <w:tcPr>
            <w:tcW w:w="18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4"/>
              </w:rPr>
              <w:t>Write-offs</w:t>
            </w:r>
            <w:r>
              <w:rPr>
                <w:rFonts w:ascii="Arial" w:cs="Arial" w:eastAsia="Arial" w:hAnsi="Arial"/>
                <w:sz w:val="23"/>
                <w:szCs w:val="23"/>
                <w:b w:val="1"/>
                <w:bCs w:val="1"/>
                <w:color w:val="auto"/>
                <w:w w:val="94"/>
                <w:vertAlign w:val="superscript"/>
              </w:rPr>
              <w:t>(1)</w:t>
            </w:r>
            <w:r>
              <w:rPr>
                <w:rFonts w:ascii="Arial" w:cs="Arial" w:eastAsia="Arial" w:hAnsi="Arial"/>
                <w:sz w:val="18"/>
                <w:szCs w:val="18"/>
                <w:b w:val="1"/>
                <w:bCs w:val="1"/>
                <w:color w:val="auto"/>
                <w:w w:val="94"/>
              </w:rPr>
              <w:t>/</w:t>
            </w:r>
          </w:p>
        </w:tc>
        <w:tc>
          <w:tcPr>
            <w:tcW w:w="180" w:type="dxa"/>
            <w:vAlign w:val="bottom"/>
          </w:tcPr>
          <w:p>
            <w:pPr>
              <w:spacing w:after="0"/>
              <w:rPr>
                <w:sz w:val="17"/>
                <w:szCs w:val="17"/>
                <w:color w:val="auto"/>
              </w:rPr>
            </w:pPr>
          </w:p>
        </w:tc>
        <w:tc>
          <w:tcPr>
            <w:tcW w:w="13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center"/>
              <w:ind w:right="520"/>
              <w:spacing w:after="0" w:line="176" w:lineRule="exact"/>
              <w:rPr>
                <w:sz w:val="20"/>
                <w:szCs w:val="20"/>
                <w:color w:val="auto"/>
              </w:rPr>
            </w:pPr>
            <w:r>
              <w:rPr>
                <w:rFonts w:ascii="Arial" w:cs="Arial" w:eastAsia="Arial" w:hAnsi="Arial"/>
                <w:sz w:val="18"/>
                <w:szCs w:val="18"/>
                <w:b w:val="1"/>
                <w:bCs w:val="1"/>
                <w:color w:val="auto"/>
                <w:w w:val="99"/>
              </w:rPr>
              <w:t>Beginning of</w:t>
            </w:r>
          </w:p>
        </w:tc>
        <w:tc>
          <w:tcPr>
            <w:tcW w:w="1820" w:type="dxa"/>
            <w:vAlign w:val="bottom"/>
            <w:gridSpan w:val="2"/>
            <w:vMerge w:val="continue"/>
          </w:tcPr>
          <w:p>
            <w:pPr>
              <w:spacing w:after="0"/>
              <w:rPr>
                <w:sz w:val="15"/>
                <w:szCs w:val="15"/>
                <w:color w:val="auto"/>
              </w:rPr>
            </w:pPr>
          </w:p>
        </w:tc>
        <w:tc>
          <w:tcPr>
            <w:tcW w:w="184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8"/>
              </w:rPr>
              <w:t>Costs and</w:t>
            </w:r>
          </w:p>
        </w:tc>
        <w:tc>
          <w:tcPr>
            <w:tcW w:w="1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8"/>
              </w:rPr>
              <w:t>(in millions)</w:t>
            </w: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520"/>
              <w:spacing w:after="0" w:line="189" w:lineRule="exact"/>
              <w:rPr>
                <w:sz w:val="20"/>
                <w:szCs w:val="20"/>
                <w:color w:val="auto"/>
              </w:rPr>
            </w:pPr>
            <w:r>
              <w:rPr>
                <w:rFonts w:ascii="Arial" w:cs="Arial" w:eastAsia="Arial" w:hAnsi="Arial"/>
                <w:sz w:val="18"/>
                <w:szCs w:val="18"/>
                <w:b w:val="1"/>
                <w:bCs w:val="1"/>
                <w:color w:val="auto"/>
                <w:w w:val="97"/>
              </w:rPr>
              <w:t>Year</w:t>
            </w:r>
          </w:p>
        </w:tc>
        <w:tc>
          <w:tcPr>
            <w:tcW w:w="182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99"/>
              </w:rPr>
              <w:t>Able Acquisition</w:t>
            </w:r>
          </w:p>
        </w:tc>
        <w:tc>
          <w:tcPr>
            <w:tcW w:w="184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99"/>
              </w:rPr>
              <w:t>Expenses</w:t>
            </w:r>
          </w:p>
        </w:tc>
        <w:tc>
          <w:tcPr>
            <w:tcW w:w="1840" w:type="dxa"/>
            <w:vAlign w:val="bottom"/>
            <w:gridSpan w:val="2"/>
          </w:tcPr>
          <w:p>
            <w:pPr>
              <w:jc w:val="center"/>
              <w:ind w:right="340"/>
              <w:spacing w:after="0" w:line="189" w:lineRule="exact"/>
              <w:rPr>
                <w:sz w:val="20"/>
                <w:szCs w:val="20"/>
                <w:color w:val="auto"/>
              </w:rPr>
            </w:pPr>
            <w:r>
              <w:rPr>
                <w:rFonts w:ascii="Arial" w:cs="Arial" w:eastAsia="Arial" w:hAnsi="Arial"/>
                <w:sz w:val="18"/>
                <w:szCs w:val="18"/>
                <w:b w:val="1"/>
                <w:bCs w:val="1"/>
                <w:color w:val="auto"/>
                <w:w w:val="99"/>
              </w:rPr>
              <w:t>Allowance Taken</w:t>
            </w:r>
          </w:p>
        </w:tc>
        <w:tc>
          <w:tcPr>
            <w:tcW w:w="180" w:type="dxa"/>
            <w:vAlign w:val="bottom"/>
          </w:tcPr>
          <w:p>
            <w:pPr>
              <w:spacing w:after="0"/>
              <w:rPr>
                <w:sz w:val="16"/>
                <w:szCs w:val="16"/>
                <w:color w:val="auto"/>
              </w:rPr>
            </w:pPr>
          </w:p>
        </w:tc>
        <w:tc>
          <w:tcPr>
            <w:tcW w:w="1320" w:type="dxa"/>
            <w:vAlign w:val="bottom"/>
          </w:tcPr>
          <w:p>
            <w:pPr>
              <w:jc w:val="right"/>
              <w:ind w:right="170"/>
              <w:spacing w:after="0" w:line="189" w:lineRule="exact"/>
              <w:rPr>
                <w:sz w:val="20"/>
                <w:szCs w:val="20"/>
                <w:color w:val="auto"/>
              </w:rPr>
            </w:pPr>
            <w:r>
              <w:rPr>
                <w:rFonts w:ascii="Arial" w:cs="Arial" w:eastAsia="Arial" w:hAnsi="Arial"/>
                <w:sz w:val="18"/>
                <w:szCs w:val="18"/>
                <w:b w:val="1"/>
                <w:bCs w:val="1"/>
                <w:color w:val="auto"/>
              </w:rPr>
              <w:t>End of Year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gridSpan w:val="2"/>
            <w:vMerge w:val="restart"/>
          </w:tcPr>
          <w:p>
            <w:pPr>
              <w:spacing w:after="0" w:line="196" w:lineRule="exact"/>
              <w:rPr>
                <w:sz w:val="20"/>
                <w:szCs w:val="20"/>
                <w:color w:val="auto"/>
              </w:rPr>
            </w:pPr>
            <w:r>
              <w:rPr>
                <w:rFonts w:ascii="Arial" w:cs="Arial" w:eastAsia="Arial" w:hAnsi="Arial"/>
                <w:sz w:val="18"/>
                <w:szCs w:val="18"/>
                <w:b w:val="1"/>
                <w:bCs w:val="1"/>
                <w:color w:val="auto"/>
              </w:rPr>
              <w:t>Accounts receivable and</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3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sales allowances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2021</w:t>
            </w:r>
          </w:p>
        </w:tc>
        <w:tc>
          <w:tcPr>
            <w:tcW w:w="1640" w:type="dxa"/>
            <w:vAlign w:val="bottom"/>
            <w:shd w:val="clear" w:color="auto" w:fill="DCE2EF"/>
          </w:tcPr>
          <w:p>
            <w:pPr>
              <w:spacing w:after="0"/>
              <w:rPr>
                <w:sz w:val="19"/>
                <w:szCs w:val="19"/>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35.5</w:t>
            </w:r>
          </w:p>
        </w:tc>
        <w:tc>
          <w:tcPr>
            <w:tcW w:w="360" w:type="dxa"/>
            <w:vAlign w:val="bottom"/>
            <w:shd w:val="clear" w:color="auto" w:fill="DCE2EF"/>
          </w:tcPr>
          <w:p>
            <w:pPr>
              <w:spacing w:after="0"/>
              <w:rPr>
                <w:sz w:val="19"/>
                <w:szCs w:val="19"/>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44.3</w:t>
            </w:r>
          </w:p>
        </w:tc>
        <w:tc>
          <w:tcPr>
            <w:tcW w:w="34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(48.4)</w:t>
            </w:r>
          </w:p>
        </w:tc>
        <w:tc>
          <w:tcPr>
            <w:tcW w:w="340" w:type="dxa"/>
            <w:vAlign w:val="bottom"/>
            <w:shd w:val="clear" w:color="auto" w:fill="DCE2EF"/>
          </w:tcPr>
          <w:p>
            <w:pPr>
              <w:spacing w:after="0"/>
              <w:rPr>
                <w:sz w:val="19"/>
                <w:szCs w:val="19"/>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9"/>
        </w:trPr>
        <w:tc>
          <w:tcPr>
            <w:tcW w:w="74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22.4</w:t>
            </w:r>
          </w:p>
        </w:tc>
        <w:tc>
          <w:tcPr>
            <w:tcW w:w="360" w:type="dxa"/>
            <w:vAlign w:val="bottom"/>
          </w:tcPr>
          <w:p>
            <w:pPr>
              <w:spacing w:after="0"/>
              <w:rPr>
                <w:sz w:val="19"/>
                <w:szCs w:val="19"/>
                <w:color w:val="auto"/>
              </w:rPr>
            </w:pPr>
          </w:p>
        </w:tc>
        <w:tc>
          <w:tcPr>
            <w:tcW w:w="1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96.3</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(83.2)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9"/>
        </w:trPr>
        <w:tc>
          <w:tcPr>
            <w:tcW w:w="74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2019</w:t>
            </w:r>
          </w:p>
        </w:tc>
        <w:tc>
          <w:tcPr>
            <w:tcW w:w="164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19.2</w:t>
            </w:r>
          </w:p>
        </w:tc>
        <w:tc>
          <w:tcPr>
            <w:tcW w:w="360" w:type="dxa"/>
            <w:vAlign w:val="bottom"/>
            <w:shd w:val="clear" w:color="auto" w:fill="DCE2EF"/>
          </w:tcPr>
          <w:p>
            <w:pPr>
              <w:spacing w:after="0"/>
              <w:rPr>
                <w:sz w:val="19"/>
                <w:szCs w:val="19"/>
                <w:color w:val="auto"/>
              </w:rPr>
            </w:pPr>
          </w:p>
        </w:tc>
        <w:tc>
          <w:tcPr>
            <w:tcW w:w="1820" w:type="dxa"/>
            <w:vAlign w:val="bottom"/>
            <w:gridSpan w:val="2"/>
            <w:shd w:val="clear" w:color="auto" w:fill="DCE2EF"/>
          </w:tcPr>
          <w:p>
            <w:pPr>
              <w:jc w:val="right"/>
              <w:ind w:right="4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87.7</w:t>
            </w:r>
          </w:p>
        </w:tc>
        <w:tc>
          <w:tcPr>
            <w:tcW w:w="34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(84.6)</w:t>
            </w:r>
          </w:p>
        </w:tc>
        <w:tc>
          <w:tcPr>
            <w:tcW w:w="34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21"/>
          <w:szCs w:val="21"/>
          <w:color w:val="auto"/>
          <w:vertAlign w:val="superscript"/>
        </w:rPr>
      </w:pPr>
      <w:r>
        <w:rPr>
          <w:rFonts w:ascii="Arial" w:cs="Arial" w:eastAsia="Arial" w:hAnsi="Arial"/>
          <w:sz w:val="15"/>
          <w:szCs w:val="15"/>
          <w:color w:val="auto"/>
        </w:rPr>
        <w:t>Write-offs are net of recoveries.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9"/>
        </w:trPr>
        <w:tc>
          <w:tcPr>
            <w:tcW w:w="1360" w:type="dxa"/>
            <w:vAlign w:val="bottom"/>
            <w:gridSpan w:val="2"/>
          </w:tcPr>
          <w:p>
            <w:pPr>
              <w:spacing w:after="0"/>
              <w:rPr>
                <w:sz w:val="20"/>
                <w:szCs w:val="20"/>
                <w:color w:val="auto"/>
              </w:rPr>
            </w:pPr>
            <w:r>
              <w:rPr>
                <w:rFonts w:ascii="Arial" w:cs="Arial" w:eastAsia="Arial" w:hAnsi="Arial"/>
                <w:sz w:val="18"/>
                <w:szCs w:val="18"/>
                <w:b w:val="1"/>
                <w:bCs w:val="1"/>
                <w:color w:val="0046AD"/>
              </w:rPr>
              <w:t>EXHIBIT INDEX</w:t>
            </w:r>
          </w:p>
        </w:tc>
        <w:tc>
          <w:tcPr>
            <w:tcW w:w="1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60" w:type="dxa"/>
            <w:vAlign w:val="bottom"/>
            <w:gridSpan w:val="2"/>
          </w:tcPr>
          <w:p>
            <w:pPr>
              <w:ind w:left="320"/>
              <w:spacing w:after="0"/>
              <w:rPr>
                <w:sz w:val="20"/>
                <w:szCs w:val="20"/>
                <w:color w:val="auto"/>
              </w:rPr>
            </w:pPr>
            <w:r>
              <w:rPr>
                <w:rFonts w:ascii="Arial" w:cs="Arial" w:eastAsia="Arial" w:hAnsi="Arial"/>
                <w:sz w:val="18"/>
                <w:szCs w:val="18"/>
                <w:b w:val="1"/>
                <w:bCs w:val="1"/>
                <w:color w:val="auto"/>
              </w:rPr>
              <w:t>Exhibit</w:t>
            </w:r>
          </w:p>
        </w:tc>
        <w:tc>
          <w:tcPr>
            <w:tcW w:w="4620" w:type="dxa"/>
            <w:vAlign w:val="bottom"/>
            <w:gridSpan w:val="37"/>
          </w:tcPr>
          <w:p>
            <w:pPr>
              <w:ind w:left="1420"/>
              <w:spacing w:after="0"/>
              <w:rPr>
                <w:sz w:val="20"/>
                <w:szCs w:val="20"/>
                <w:color w:val="auto"/>
              </w:rPr>
            </w:pPr>
            <w:r>
              <w:rPr>
                <w:rFonts w:ascii="Arial" w:cs="Arial" w:eastAsia="Arial" w:hAnsi="Arial"/>
                <w:sz w:val="18"/>
                <w:szCs w:val="18"/>
                <w:b w:val="1"/>
                <w:bCs w:val="1"/>
                <w:color w:val="auto"/>
              </w:rPr>
              <w:t>Exhibit Description</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5"/>
          </w:tcPr>
          <w:p>
            <w:pPr>
              <w:ind w:left="70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40"/>
        </w:trPr>
        <w:tc>
          <w:tcPr>
            <w:tcW w:w="124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No.</w:t>
            </w:r>
          </w:p>
        </w:tc>
        <w:tc>
          <w:tcPr>
            <w:tcW w:w="120" w:type="dxa"/>
            <w:vAlign w:val="bottom"/>
            <w:vMerge w:val="restart"/>
          </w:tcPr>
          <w:p>
            <w:pPr>
              <w:spacing w:after="0"/>
              <w:rPr>
                <w:sz w:val="3"/>
                <w:szCs w:val="3"/>
                <w:color w:val="auto"/>
              </w:rPr>
            </w:pPr>
          </w:p>
        </w:tc>
        <w:tc>
          <w:tcPr>
            <w:tcW w:w="1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2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DCE2EF"/>
            </w:tcBorders>
            <w:vMerge w:val="continue"/>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DCE2EF"/>
            </w:tcBorders>
          </w:tcPr>
          <w:p>
            <w:pPr>
              <w:spacing w:after="0"/>
              <w:rPr>
                <w:sz w:val="21"/>
                <w:szCs w:val="2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w:t>
            </w:r>
          </w:p>
        </w:tc>
        <w:tc>
          <w:tcPr>
            <w:tcW w:w="120" w:type="dxa"/>
            <w:vAlign w:val="bottom"/>
            <w:tcBorders>
              <w:bottom w:val="single" w:sz="8" w:color="DCE2EF"/>
            </w:tcBorders>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File No.</w:t>
            </w:r>
          </w:p>
        </w:tc>
        <w:tc>
          <w:tcPr>
            <w:tcW w:w="100" w:type="dxa"/>
            <w:vAlign w:val="bottom"/>
            <w:tcBorders>
              <w:bottom w:val="single" w:sz="8" w:color="DCE2EF"/>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Exhibit</w:t>
            </w:r>
          </w:p>
        </w:tc>
        <w:tc>
          <w:tcPr>
            <w:tcW w:w="100" w:type="dxa"/>
            <w:vAlign w:val="bottom"/>
            <w:tcBorders>
              <w:bottom w:val="single" w:sz="8" w:color="DCE2EF"/>
            </w:tcBorders>
          </w:tcPr>
          <w:p>
            <w:pPr>
              <w:spacing w:after="0"/>
              <w:rPr>
                <w:sz w:val="21"/>
                <w:szCs w:val="21"/>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Filing Date</w:t>
            </w:r>
          </w:p>
        </w:tc>
        <w:tc>
          <w:tcPr>
            <w:tcW w:w="0" w:type="dxa"/>
            <w:vAlign w:val="bottom"/>
          </w:tcPr>
          <w:p>
            <w:pPr>
              <w:spacing w:after="0"/>
              <w:rPr>
                <w:sz w:val="1"/>
                <w:szCs w:val="1"/>
                <w:color w:val="auto"/>
              </w:rPr>
            </w:pPr>
          </w:p>
        </w:tc>
      </w:tr>
      <w:tr>
        <w:trPr>
          <w:trHeight w:val="189"/>
        </w:trPr>
        <w:tc>
          <w:tcPr>
            <w:tcW w:w="1240" w:type="dxa"/>
            <w:vAlign w:val="bottom"/>
            <w:shd w:val="clear" w:color="auto" w:fill="DCE2EF"/>
          </w:tcPr>
          <w:p>
            <w:pPr>
              <w:ind w:left="20"/>
              <w:spacing w:after="0" w:line="189" w:lineRule="exact"/>
              <w:rPr>
                <w:sz w:val="20"/>
                <w:szCs w:val="20"/>
                <w:color w:val="auto"/>
              </w:rPr>
            </w:pPr>
            <w:r>
              <w:rPr>
                <w:rFonts w:ascii="Arial" w:cs="Arial" w:eastAsia="Arial" w:hAnsi="Arial"/>
                <w:sz w:val="18"/>
                <w:szCs w:val="18"/>
                <w:color w:val="auto"/>
              </w:rPr>
              <w:t>1.1</w:t>
            </w:r>
          </w:p>
        </w:tc>
        <w:tc>
          <w:tcPr>
            <w:tcW w:w="120" w:type="dxa"/>
            <w:vAlign w:val="bottom"/>
            <w:tcBorders>
              <w:right w:val="single" w:sz="8" w:color="DCE2EF"/>
            </w:tcBorders>
            <w:shd w:val="clear" w:color="auto" w:fill="DCE2EF"/>
          </w:tcPr>
          <w:p>
            <w:pPr>
              <w:spacing w:after="0"/>
              <w:rPr>
                <w:sz w:val="16"/>
                <w:szCs w:val="16"/>
                <w:color w:val="auto"/>
              </w:rPr>
            </w:pPr>
          </w:p>
        </w:tc>
        <w:tc>
          <w:tcPr>
            <w:tcW w:w="4620" w:type="dxa"/>
            <w:vAlign w:val="bottom"/>
            <w:gridSpan w:val="37"/>
            <w:shd w:val="clear" w:color="auto" w:fill="DCE2EF"/>
          </w:tcPr>
          <w:p>
            <w:pPr>
              <w:spacing w:after="0" w:line="189" w:lineRule="exact"/>
              <w:rPr>
                <w:rFonts w:ascii="Arial" w:cs="Arial" w:eastAsia="Arial" w:hAnsi="Arial"/>
                <w:sz w:val="18"/>
                <w:szCs w:val="18"/>
                <w:color w:val="0000FF"/>
              </w:rPr>
            </w:pPr>
            <w:hyperlink r:id="rId161">
              <w:r>
                <w:rPr>
                  <w:rFonts w:ascii="Arial" w:cs="Arial" w:eastAsia="Arial" w:hAnsi="Arial"/>
                  <w:sz w:val="18"/>
                  <w:szCs w:val="18"/>
                  <w:color w:val="0000FF"/>
                </w:rPr>
                <w:t>Underwriting Agreement, dated March 14, 2018, among</w:t>
              </w:r>
            </w:hyperlink>
          </w:p>
        </w:tc>
        <w:tc>
          <w:tcPr>
            <w:tcW w:w="780" w:type="dxa"/>
            <w:vAlign w:val="bottom"/>
            <w:gridSpan w:val="2"/>
            <w:shd w:val="clear" w:color="auto" w:fill="DCE2EF"/>
          </w:tcPr>
          <w:p>
            <w:pPr>
              <w:jc w:val="center"/>
              <w:ind w:right="100"/>
              <w:spacing w:after="0" w:line="189" w:lineRule="exact"/>
              <w:rPr>
                <w:sz w:val="20"/>
                <w:szCs w:val="20"/>
                <w:color w:val="auto"/>
              </w:rPr>
            </w:pPr>
            <w:r>
              <w:rPr>
                <w:rFonts w:ascii="Arial" w:cs="Arial" w:eastAsia="Arial" w:hAnsi="Arial"/>
                <w:sz w:val="18"/>
                <w:szCs w:val="18"/>
                <w:color w:val="auto"/>
                <w:w w:val="99"/>
              </w:rPr>
              <w:t>8-K</w:t>
            </w:r>
          </w:p>
        </w:tc>
        <w:tc>
          <w:tcPr>
            <w:tcW w:w="126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001-08929</w:t>
            </w:r>
          </w:p>
        </w:tc>
        <w:tc>
          <w:tcPr>
            <w:tcW w:w="100" w:type="dxa"/>
            <w:vAlign w:val="bottom"/>
            <w:shd w:val="clear" w:color="auto" w:fill="DCE2EF"/>
          </w:tcPr>
          <w:p>
            <w:pPr>
              <w:spacing w:after="0"/>
              <w:rPr>
                <w:sz w:val="16"/>
                <w:szCs w:val="16"/>
                <w:color w:val="auto"/>
              </w:rPr>
            </w:pPr>
          </w:p>
        </w:tc>
        <w:tc>
          <w:tcPr>
            <w:tcW w:w="88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5"/>
              </w:rPr>
              <w:t>1.1</w:t>
            </w:r>
          </w:p>
        </w:tc>
        <w:tc>
          <w:tcPr>
            <w:tcW w:w="100" w:type="dxa"/>
            <w:vAlign w:val="bottom"/>
            <w:shd w:val="clear" w:color="auto" w:fill="DCE2EF"/>
          </w:tcPr>
          <w:p>
            <w:pPr>
              <w:spacing w:after="0"/>
              <w:rPr>
                <w:sz w:val="16"/>
                <w:szCs w:val="16"/>
                <w:color w:val="auto"/>
              </w:rPr>
            </w:pPr>
          </w:p>
        </w:tc>
        <w:tc>
          <w:tcPr>
            <w:tcW w:w="214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rPr>
              <w:t>March 19, 2018</w:t>
            </w:r>
          </w:p>
        </w:tc>
        <w:tc>
          <w:tcPr>
            <w:tcW w:w="0" w:type="dxa"/>
            <w:vAlign w:val="bottom"/>
          </w:tcPr>
          <w:p>
            <w:pPr>
              <w:spacing w:after="0"/>
              <w:rPr>
                <w:sz w:val="1"/>
                <w:szCs w:val="1"/>
                <w:color w:val="auto"/>
              </w:rPr>
            </w:pPr>
          </w:p>
        </w:tc>
      </w:tr>
      <w:tr>
        <w:trPr>
          <w:trHeight w:val="156"/>
        </w:trPr>
        <w:tc>
          <w:tcPr>
            <w:tcW w:w="124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right w:val="single" w:sz="8" w:color="DCE2EF"/>
            </w:tcBorders>
            <w:shd w:val="clear" w:color="auto" w:fill="DCE2EF"/>
          </w:tcPr>
          <w:p>
            <w:pPr>
              <w:spacing w:after="0"/>
              <w:rPr>
                <w:sz w:val="13"/>
                <w:szCs w:val="13"/>
                <w:color w:val="auto"/>
              </w:rPr>
            </w:pPr>
          </w:p>
        </w:tc>
        <w:tc>
          <w:tcPr>
            <w:tcW w:w="4440" w:type="dxa"/>
            <w:vAlign w:val="bottom"/>
            <w:tcBorders>
              <w:top w:val="single" w:sz="8" w:color="0000FF"/>
            </w:tcBorders>
            <w:gridSpan w:val="31"/>
            <w:shd w:val="clear" w:color="auto" w:fill="DCE2EF"/>
          </w:tcPr>
          <w:p>
            <w:pPr>
              <w:spacing w:after="0" w:line="156" w:lineRule="exact"/>
              <w:rPr>
                <w:rFonts w:ascii="Arial" w:cs="Arial" w:eastAsia="Arial" w:hAnsi="Arial"/>
                <w:sz w:val="18"/>
                <w:szCs w:val="18"/>
                <w:color w:val="0000FF"/>
              </w:rPr>
            </w:pPr>
            <w:hyperlink r:id="rId161">
              <w:r>
                <w:rPr>
                  <w:rFonts w:ascii="Arial" w:cs="Arial" w:eastAsia="Arial" w:hAnsi="Arial"/>
                  <w:sz w:val="18"/>
                  <w:szCs w:val="18"/>
                  <w:color w:val="0000FF"/>
                </w:rPr>
                <w:t>ABM Industries Incorporated, Goldman Sachs &amp; Co</w:t>
              </w:r>
            </w:hyperlink>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gridSpan w:val="2"/>
            <w:shd w:val="clear" w:color="auto" w:fill="DCE2EF"/>
          </w:tcPr>
          <w:p>
            <w:pPr>
              <w:spacing w:after="0"/>
              <w:rPr>
                <w:sz w:val="13"/>
                <w:szCs w:val="13"/>
                <w:color w:val="auto"/>
              </w:rPr>
            </w:pPr>
          </w:p>
        </w:tc>
        <w:tc>
          <w:tcPr>
            <w:tcW w:w="66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tcBorders>
            <w:shd w:val="clear" w:color="auto" w:fill="DCE2EF"/>
          </w:tcPr>
          <w:p>
            <w:pPr>
              <w:spacing w:after="0"/>
              <w:rPr>
                <w:sz w:val="13"/>
                <w:szCs w:val="13"/>
                <w:color w:val="auto"/>
              </w:rPr>
            </w:pPr>
          </w:p>
        </w:tc>
        <w:tc>
          <w:tcPr>
            <w:tcW w:w="126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88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40" w:type="dxa"/>
            <w:vAlign w:val="bottom"/>
            <w:tcBorders>
              <w:top w:val="single" w:sz="8" w:color="DCE2EF"/>
              <w:bottom w:val="single" w:sz="8" w:color="DCE2EF"/>
            </w:tcBorders>
            <w:shd w:val="clear" w:color="auto" w:fill="DCE2EF"/>
          </w:tcPr>
          <w:p>
            <w:pPr>
              <w:spacing w:after="0"/>
              <w:rPr>
                <w:sz w:val="15"/>
                <w:szCs w:val="15"/>
                <w:color w:val="auto"/>
              </w:rPr>
            </w:pPr>
          </w:p>
        </w:tc>
        <w:tc>
          <w:tcPr>
            <w:tcW w:w="120" w:type="dxa"/>
            <w:vAlign w:val="bottom"/>
            <w:tcBorders>
              <w:top w:val="single" w:sz="8" w:color="DCE2EF"/>
              <w:bottom w:val="single" w:sz="8" w:color="DCE2EF"/>
              <w:right w:val="single" w:sz="8" w:color="DCE2EF"/>
            </w:tcBorders>
            <w:shd w:val="clear" w:color="auto" w:fill="DCE2EF"/>
          </w:tcPr>
          <w:p>
            <w:pPr>
              <w:spacing w:after="0"/>
              <w:rPr>
                <w:sz w:val="15"/>
                <w:szCs w:val="15"/>
                <w:color w:val="auto"/>
              </w:rPr>
            </w:pPr>
          </w:p>
        </w:tc>
        <w:tc>
          <w:tcPr>
            <w:tcW w:w="2380" w:type="dxa"/>
            <w:vAlign w:val="bottom"/>
            <w:tcBorders>
              <w:top w:val="single" w:sz="8" w:color="0000FF"/>
              <w:bottom w:val="single" w:sz="8" w:color="0000FF"/>
            </w:tcBorders>
            <w:gridSpan w:val="3"/>
            <w:shd w:val="clear" w:color="auto" w:fill="DCE2EF"/>
          </w:tcPr>
          <w:p>
            <w:pPr>
              <w:spacing w:after="0" w:line="156" w:lineRule="exact"/>
              <w:rPr>
                <w:rFonts w:ascii="Arial" w:cs="Arial" w:eastAsia="Arial" w:hAnsi="Arial"/>
                <w:sz w:val="18"/>
                <w:szCs w:val="18"/>
                <w:color w:val="0000FF"/>
                <w:w w:val="99"/>
              </w:rPr>
            </w:pPr>
            <w:hyperlink r:id="rId161">
              <w:r>
                <w:rPr>
                  <w:rFonts w:ascii="Arial" w:cs="Arial" w:eastAsia="Arial" w:hAnsi="Arial"/>
                  <w:sz w:val="18"/>
                  <w:szCs w:val="18"/>
                  <w:color w:val="0000FF"/>
                  <w:w w:val="99"/>
                </w:rPr>
                <w:t>LLC, and UBS Securities LLC</w:t>
              </w:r>
            </w:hyperlink>
          </w:p>
        </w:tc>
        <w:tc>
          <w:tcPr>
            <w:tcW w:w="1740" w:type="dxa"/>
            <w:vAlign w:val="bottom"/>
            <w:tcBorders>
              <w:top w:val="single" w:sz="8" w:color="0000FF"/>
              <w:bottom w:val="single" w:sz="8" w:color="DCE2EF"/>
            </w:tcBorders>
            <w:gridSpan w:val="14"/>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40" w:type="dxa"/>
            <w:vAlign w:val="bottom"/>
            <w:tcBorders>
              <w:top w:val="single" w:sz="8" w:color="DCE2EF"/>
              <w:bottom w:val="single" w:sz="8" w:color="DCE2EF"/>
            </w:tcBorders>
            <w:shd w:val="clear" w:color="auto" w:fill="DCE2EF"/>
          </w:tcPr>
          <w:p>
            <w:pPr>
              <w:spacing w:after="0"/>
              <w:rPr>
                <w:sz w:val="15"/>
                <w:szCs w:val="15"/>
                <w:color w:val="auto"/>
              </w:rPr>
            </w:pPr>
          </w:p>
        </w:tc>
        <w:tc>
          <w:tcPr>
            <w:tcW w:w="6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660" w:type="dxa"/>
            <w:vAlign w:val="bottom"/>
            <w:tcBorders>
              <w:top w:val="single" w:sz="8" w:color="DCE2EF"/>
              <w:bottom w:val="single" w:sz="8" w:color="DCE2EF"/>
            </w:tcBorders>
            <w:shd w:val="clear" w:color="auto" w:fill="DCE2EF"/>
          </w:tcPr>
          <w:p>
            <w:pPr>
              <w:spacing w:after="0"/>
              <w:rPr>
                <w:sz w:val="15"/>
                <w:szCs w:val="15"/>
                <w:color w:val="auto"/>
              </w:rPr>
            </w:pPr>
          </w:p>
        </w:tc>
        <w:tc>
          <w:tcPr>
            <w:tcW w:w="120" w:type="dxa"/>
            <w:vAlign w:val="bottom"/>
            <w:tcBorders>
              <w:top w:val="single" w:sz="8" w:color="DCE2EF"/>
              <w:bottom w:val="single" w:sz="8" w:color="DCE2EF"/>
            </w:tcBorders>
            <w:shd w:val="clear" w:color="auto" w:fill="DCE2EF"/>
          </w:tcPr>
          <w:p>
            <w:pPr>
              <w:spacing w:after="0"/>
              <w:rPr>
                <w:sz w:val="15"/>
                <w:szCs w:val="15"/>
                <w:color w:val="auto"/>
              </w:rPr>
            </w:pPr>
          </w:p>
        </w:tc>
        <w:tc>
          <w:tcPr>
            <w:tcW w:w="126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88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2140" w:type="dxa"/>
            <w:vAlign w:val="bottom"/>
            <w:tcBorders>
              <w:top w:val="single" w:sz="8" w:color="DCE2EF"/>
              <w:bottom w:val="single" w:sz="8" w:color="DCE2EF"/>
            </w:tcBorders>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40" w:type="dxa"/>
            <w:vAlign w:val="bottom"/>
          </w:tcPr>
          <w:p>
            <w:pPr>
              <w:ind w:left="20"/>
              <w:spacing w:after="0" w:line="189"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6"/>
                <w:szCs w:val="16"/>
                <w:color w:val="auto"/>
              </w:rPr>
            </w:pPr>
          </w:p>
        </w:tc>
        <w:tc>
          <w:tcPr>
            <w:tcW w:w="4620" w:type="dxa"/>
            <w:vAlign w:val="bottom"/>
            <w:gridSpan w:val="37"/>
          </w:tcPr>
          <w:p>
            <w:pPr>
              <w:spacing w:after="0" w:line="189" w:lineRule="exact"/>
              <w:rPr>
                <w:rFonts w:ascii="Arial" w:cs="Arial" w:eastAsia="Arial" w:hAnsi="Arial"/>
                <w:sz w:val="18"/>
                <w:szCs w:val="18"/>
                <w:color w:val="0000FF"/>
              </w:rPr>
            </w:pPr>
            <w:hyperlink r:id="rId162">
              <w:r>
                <w:rPr>
                  <w:rFonts w:ascii="Arial" w:cs="Arial" w:eastAsia="Arial" w:hAnsi="Arial"/>
                  <w:sz w:val="18"/>
                  <w:szCs w:val="18"/>
                  <w:color w:val="0000FF"/>
                </w:rPr>
                <w:t>Agreement and Plan of Merger, dated July 11, 2017,</w:t>
              </w:r>
            </w:hyperlink>
          </w:p>
        </w:tc>
        <w:tc>
          <w:tcPr>
            <w:tcW w:w="78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line="189" w:lineRule="exact"/>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16"/>
                <w:szCs w:val="16"/>
                <w:color w:val="auto"/>
              </w:rPr>
            </w:pPr>
          </w:p>
        </w:tc>
        <w:tc>
          <w:tcPr>
            <w:tcW w:w="880" w:type="dxa"/>
            <w:vAlign w:val="bottom"/>
          </w:tcPr>
          <w:p>
            <w:pPr>
              <w:jc w:val="center"/>
              <w:spacing w:after="0" w:line="189" w:lineRule="exact"/>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16"/>
                <w:szCs w:val="16"/>
                <w:color w:val="auto"/>
              </w:rPr>
            </w:pPr>
          </w:p>
        </w:tc>
        <w:tc>
          <w:tcPr>
            <w:tcW w:w="2140" w:type="dxa"/>
            <w:vAlign w:val="bottom"/>
          </w:tcPr>
          <w:p>
            <w:pPr>
              <w:jc w:val="center"/>
              <w:spacing w:after="0" w:line="189" w:lineRule="exact"/>
              <w:rPr>
                <w:sz w:val="20"/>
                <w:szCs w:val="20"/>
                <w:color w:val="auto"/>
              </w:rPr>
            </w:pPr>
            <w:r>
              <w:rPr>
                <w:rFonts w:ascii="Arial" w:cs="Arial" w:eastAsia="Arial" w:hAnsi="Arial"/>
                <w:sz w:val="18"/>
                <w:szCs w:val="18"/>
                <w:color w:val="auto"/>
                <w:w w:val="98"/>
              </w:rPr>
              <w:t>July 14, 2017</w:t>
            </w: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0" w:type="dxa"/>
            <w:vAlign w:val="bottom"/>
            <w:tcBorders>
              <w:top w:val="single" w:sz="8" w:color="0000FF"/>
            </w:tcBorders>
            <w:gridSpan w:val="21"/>
          </w:tcPr>
          <w:p>
            <w:pPr>
              <w:spacing w:after="0" w:line="154" w:lineRule="exact"/>
              <w:rPr>
                <w:rFonts w:ascii="Arial" w:cs="Arial" w:eastAsia="Arial" w:hAnsi="Arial"/>
                <w:sz w:val="17"/>
                <w:szCs w:val="17"/>
                <w:color w:val="0000FF"/>
              </w:rPr>
            </w:pPr>
            <w:hyperlink r:id="rId162">
              <w:r>
                <w:rPr>
                  <w:rFonts w:ascii="Arial" w:cs="Arial" w:eastAsia="Arial" w:hAnsi="Arial"/>
                  <w:sz w:val="17"/>
                  <w:szCs w:val="17"/>
                  <w:color w:val="0000FF"/>
                </w:rPr>
                <w:t>among GCA Holding Corp., ABM Industries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60" w:type="dxa"/>
            <w:vAlign w:val="bottom"/>
            <w:tcBorders>
              <w:top w:val="single" w:sz="8" w:color="0000FF"/>
            </w:tcBorders>
            <w:gridSpan w:val="7"/>
          </w:tcPr>
          <w:p>
            <w:pPr>
              <w:spacing w:after="0" w:line="157" w:lineRule="exact"/>
              <w:rPr>
                <w:rFonts w:ascii="Arial" w:cs="Arial" w:eastAsia="Arial" w:hAnsi="Arial"/>
                <w:sz w:val="18"/>
                <w:szCs w:val="18"/>
                <w:color w:val="0000FF"/>
              </w:rPr>
            </w:pPr>
            <w:hyperlink r:id="rId162">
              <w:r>
                <w:rPr>
                  <w:rFonts w:ascii="Arial" w:cs="Arial" w:eastAsia="Arial" w:hAnsi="Arial"/>
                  <w:sz w:val="18"/>
                  <w:szCs w:val="18"/>
                  <w:color w:val="0000FF"/>
                </w:rPr>
                <w:t>Incorporated, Grade Sub One, Inc., Grade</w:t>
              </w:r>
            </w:hyperlink>
          </w:p>
        </w:tc>
        <w:tc>
          <w:tcPr>
            <w:tcW w:w="1160" w:type="dxa"/>
            <w:vAlign w:val="bottom"/>
            <w:gridSpan w:val="30"/>
          </w:tcPr>
          <w:p>
            <w:pPr>
              <w:spacing w:after="0" w:line="157" w:lineRule="exact"/>
              <w:rPr>
                <w:rFonts w:ascii="Arial" w:cs="Arial" w:eastAsia="Arial" w:hAnsi="Arial"/>
                <w:sz w:val="18"/>
                <w:szCs w:val="18"/>
                <w:color w:val="0000FF"/>
              </w:rPr>
            </w:pPr>
            <w:hyperlink r:id="rId162">
              <w:r>
                <w:rPr>
                  <w:rFonts w:ascii="Arial" w:cs="Arial" w:eastAsia="Arial" w:hAnsi="Arial"/>
                  <w:sz w:val="18"/>
                  <w:szCs w:val="18"/>
                  <w:color w:val="0000FF"/>
                </w:rPr>
                <w:t>Sub Two,</w:t>
              </w:r>
            </w:hyperlink>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1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62">
              <w:r>
                <w:rPr>
                  <w:rFonts w:ascii="Arial" w:cs="Arial" w:eastAsia="Arial" w:hAnsi="Arial"/>
                  <w:sz w:val="18"/>
                  <w:szCs w:val="18"/>
                  <w:color w:val="0000FF"/>
                </w:rPr>
                <w:t>LLC and Thomas H. Lee Equity Fund VII, L.P. and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0" w:type="dxa"/>
            <w:vAlign w:val="bottom"/>
            <w:tcBorders>
              <w:top w:val="single" w:sz="8" w:color="0000FF"/>
            </w:tcBorders>
            <w:gridSpan w:val="13"/>
          </w:tcPr>
          <w:p>
            <w:pPr>
              <w:spacing w:after="0" w:line="156" w:lineRule="exact"/>
              <w:rPr>
                <w:rFonts w:ascii="Arial" w:cs="Arial" w:eastAsia="Arial" w:hAnsi="Arial"/>
                <w:sz w:val="18"/>
                <w:szCs w:val="18"/>
                <w:color w:val="0000FF"/>
                <w:w w:val="99"/>
              </w:rPr>
            </w:pPr>
            <w:hyperlink r:id="rId162">
              <w:r>
                <w:rPr>
                  <w:rFonts w:ascii="Arial" w:cs="Arial" w:eastAsia="Arial" w:hAnsi="Arial"/>
                  <w:sz w:val="18"/>
                  <w:szCs w:val="18"/>
                  <w:color w:val="0000FF"/>
                  <w:w w:val="99"/>
                </w:rPr>
                <w:t>Broad Street Principal Investments Holdings, L.P.,</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8"/>
              </w:rPr>
            </w:pPr>
            <w:hyperlink r:id="rId162">
              <w:r>
                <w:rPr>
                  <w:rFonts w:ascii="Arial" w:cs="Arial" w:eastAsia="Arial" w:hAnsi="Arial"/>
                  <w:sz w:val="18"/>
                  <w:szCs w:val="18"/>
                  <w:color w:val="0000FF"/>
                  <w:w w:val="98"/>
                </w:rPr>
                <w:t>acting jointly as the Securityholder Representative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240" w:type="dxa"/>
            <w:vAlign w:val="bottom"/>
            <w:tcBorders>
              <w:bottom w:val="single" w:sz="8" w:color="DCE2EF"/>
            </w:tcBorders>
            <w:shd w:val="clear" w:color="auto" w:fill="DCE2EF"/>
          </w:tcPr>
          <w:p>
            <w:pPr>
              <w:ind w:left="20"/>
              <w:spacing w:after="0" w:line="202" w:lineRule="exact"/>
              <w:rPr>
                <w:sz w:val="20"/>
                <w:szCs w:val="20"/>
                <w:color w:val="auto"/>
              </w:rPr>
            </w:pPr>
            <w:r>
              <w:rPr>
                <w:rFonts w:ascii="Arial" w:cs="Arial" w:eastAsia="Arial" w:hAnsi="Arial"/>
                <w:sz w:val="18"/>
                <w:szCs w:val="18"/>
                <w:color w:val="auto"/>
              </w:rPr>
              <w:t>2.2</w:t>
            </w:r>
          </w:p>
        </w:tc>
        <w:tc>
          <w:tcPr>
            <w:tcW w:w="120" w:type="dxa"/>
            <w:vAlign w:val="bottom"/>
            <w:tcBorders>
              <w:bottom w:val="single" w:sz="8" w:color="DCE2EF"/>
              <w:right w:val="single" w:sz="8" w:color="DCE2EF"/>
            </w:tcBorders>
            <w:shd w:val="clear" w:color="auto" w:fill="DCE2EF"/>
          </w:tcPr>
          <w:p>
            <w:pPr>
              <w:spacing w:after="0"/>
              <w:rPr>
                <w:sz w:val="17"/>
                <w:szCs w:val="17"/>
                <w:color w:val="auto"/>
              </w:rPr>
            </w:pPr>
          </w:p>
        </w:tc>
        <w:tc>
          <w:tcPr>
            <w:tcW w:w="4300" w:type="dxa"/>
            <w:vAlign w:val="bottom"/>
            <w:tcBorders>
              <w:bottom w:val="single" w:sz="8" w:color="0000FF"/>
            </w:tcBorders>
            <w:gridSpan w:val="26"/>
            <w:shd w:val="clear" w:color="auto" w:fill="DCE2EF"/>
          </w:tcPr>
          <w:p>
            <w:pPr>
              <w:spacing w:after="0" w:line="202" w:lineRule="exact"/>
              <w:rPr>
                <w:rFonts w:ascii="Arial" w:cs="Arial" w:eastAsia="Arial" w:hAnsi="Arial"/>
                <w:sz w:val="18"/>
                <w:szCs w:val="18"/>
                <w:color w:val="0000FF"/>
              </w:rPr>
            </w:pPr>
            <w:hyperlink r:id="rId163">
              <w:r>
                <w:rPr>
                  <w:rFonts w:ascii="Arial" w:cs="Arial" w:eastAsia="Arial" w:hAnsi="Arial"/>
                  <w:sz w:val="18"/>
                  <w:szCs w:val="18"/>
                  <w:color w:val="0000FF"/>
                </w:rPr>
                <w:t>Purchase Agreement, dated August 25, 2021, among</w:t>
              </w:r>
            </w:hyperlink>
          </w:p>
        </w:tc>
        <w:tc>
          <w:tcPr>
            <w:tcW w:w="320" w:type="dxa"/>
            <w:vAlign w:val="bottom"/>
            <w:tcBorders>
              <w:bottom w:val="single" w:sz="8" w:color="DCE2EF"/>
            </w:tcBorders>
            <w:gridSpan w:val="11"/>
            <w:shd w:val="clear" w:color="auto" w:fill="DCE2EF"/>
          </w:tcPr>
          <w:p>
            <w:pPr>
              <w:spacing w:after="0"/>
              <w:rPr>
                <w:sz w:val="17"/>
                <w:szCs w:val="17"/>
                <w:color w:val="auto"/>
              </w:rPr>
            </w:pPr>
          </w:p>
        </w:tc>
        <w:tc>
          <w:tcPr>
            <w:tcW w:w="780" w:type="dxa"/>
            <w:vAlign w:val="bottom"/>
            <w:tcBorders>
              <w:bottom w:val="single" w:sz="8" w:color="DCE2EF"/>
            </w:tcBorders>
            <w:gridSpan w:val="2"/>
            <w:shd w:val="clear" w:color="auto" w:fill="DCE2EF"/>
          </w:tcPr>
          <w:p>
            <w:pPr>
              <w:jc w:val="center"/>
              <w:ind w:right="100"/>
              <w:spacing w:after="0" w:line="202" w:lineRule="exact"/>
              <w:rPr>
                <w:sz w:val="20"/>
                <w:szCs w:val="20"/>
                <w:color w:val="auto"/>
              </w:rPr>
            </w:pPr>
            <w:r>
              <w:rPr>
                <w:rFonts w:ascii="Arial" w:cs="Arial" w:eastAsia="Arial" w:hAnsi="Arial"/>
                <w:sz w:val="18"/>
                <w:szCs w:val="18"/>
                <w:color w:val="auto"/>
                <w:w w:val="99"/>
              </w:rPr>
              <w:t>8-K</w:t>
            </w:r>
          </w:p>
        </w:tc>
        <w:tc>
          <w:tcPr>
            <w:tcW w:w="1260" w:type="dxa"/>
            <w:vAlign w:val="bottom"/>
            <w:tcBorders>
              <w:bottom w:val="single" w:sz="8" w:color="DCE2EF"/>
            </w:tcBorders>
            <w:shd w:val="clear" w:color="auto" w:fill="DCE2EF"/>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100" w:type="dxa"/>
            <w:vAlign w:val="bottom"/>
            <w:tcBorders>
              <w:bottom w:val="single" w:sz="8" w:color="DCE2EF"/>
            </w:tcBorders>
            <w:shd w:val="clear" w:color="auto" w:fill="DCE2EF"/>
          </w:tcPr>
          <w:p>
            <w:pPr>
              <w:spacing w:after="0"/>
              <w:rPr>
                <w:sz w:val="17"/>
                <w:szCs w:val="17"/>
                <w:color w:val="auto"/>
              </w:rPr>
            </w:pPr>
          </w:p>
        </w:tc>
        <w:tc>
          <w:tcPr>
            <w:tcW w:w="880" w:type="dxa"/>
            <w:vAlign w:val="bottom"/>
            <w:tcBorders>
              <w:bottom w:val="single" w:sz="8" w:color="DCE2EF"/>
            </w:tcBorders>
            <w:shd w:val="clear" w:color="auto" w:fill="DCE2EF"/>
          </w:tcPr>
          <w:p>
            <w:pPr>
              <w:jc w:val="center"/>
              <w:spacing w:after="0" w:line="202" w:lineRule="exact"/>
              <w:rPr>
                <w:sz w:val="20"/>
                <w:szCs w:val="20"/>
                <w:color w:val="auto"/>
              </w:rPr>
            </w:pPr>
            <w:r>
              <w:rPr>
                <w:rFonts w:ascii="Arial" w:cs="Arial" w:eastAsia="Arial" w:hAnsi="Arial"/>
                <w:sz w:val="18"/>
                <w:szCs w:val="18"/>
                <w:color w:val="auto"/>
                <w:w w:val="95"/>
              </w:rPr>
              <w:t>2.1</w:t>
            </w:r>
          </w:p>
        </w:tc>
        <w:tc>
          <w:tcPr>
            <w:tcW w:w="100" w:type="dxa"/>
            <w:vAlign w:val="bottom"/>
            <w:tcBorders>
              <w:bottom w:val="single" w:sz="8" w:color="DCE2EF"/>
            </w:tcBorders>
            <w:shd w:val="clear" w:color="auto" w:fill="DCE2EF"/>
          </w:tcPr>
          <w:p>
            <w:pPr>
              <w:spacing w:after="0"/>
              <w:rPr>
                <w:sz w:val="17"/>
                <w:szCs w:val="17"/>
                <w:color w:val="auto"/>
              </w:rPr>
            </w:pPr>
          </w:p>
        </w:tc>
        <w:tc>
          <w:tcPr>
            <w:tcW w:w="2140" w:type="dxa"/>
            <w:vAlign w:val="bottom"/>
            <w:tcBorders>
              <w:bottom w:val="single" w:sz="8" w:color="DCE2EF"/>
            </w:tcBorders>
            <w:shd w:val="clear" w:color="auto" w:fill="DCE2EF"/>
          </w:tcPr>
          <w:p>
            <w:pPr>
              <w:jc w:val="center"/>
              <w:spacing w:after="0" w:line="202" w:lineRule="exact"/>
              <w:rPr>
                <w:sz w:val="20"/>
                <w:szCs w:val="20"/>
                <w:color w:val="auto"/>
              </w:rPr>
            </w:pPr>
            <w:r>
              <w:rPr>
                <w:rFonts w:ascii="Arial" w:cs="Arial" w:eastAsia="Arial" w:hAnsi="Arial"/>
                <w:sz w:val="18"/>
                <w:szCs w:val="18"/>
                <w:color w:val="auto"/>
                <w:w w:val="99"/>
              </w:rPr>
              <w:t>August 25, 2021</w:t>
            </w:r>
          </w:p>
        </w:tc>
        <w:tc>
          <w:tcPr>
            <w:tcW w:w="0" w:type="dxa"/>
            <w:vAlign w:val="bottom"/>
          </w:tcPr>
          <w:p>
            <w:pPr>
              <w:spacing w:after="0"/>
              <w:rPr>
                <w:sz w:val="1"/>
                <w:szCs w:val="1"/>
                <w:color w:val="auto"/>
              </w:rPr>
            </w:pPr>
          </w:p>
        </w:tc>
      </w:tr>
      <w:tr>
        <w:trPr>
          <w:trHeight w:val="183"/>
        </w:trPr>
        <w:tc>
          <w:tcPr>
            <w:tcW w:w="1240" w:type="dxa"/>
            <w:vAlign w:val="bottom"/>
            <w:shd w:val="clear" w:color="auto" w:fill="DCE2EF"/>
          </w:tcPr>
          <w:p>
            <w:pPr>
              <w:spacing w:after="0"/>
              <w:rPr>
                <w:sz w:val="15"/>
                <w:szCs w:val="15"/>
                <w:color w:val="auto"/>
              </w:rPr>
            </w:pPr>
          </w:p>
        </w:tc>
        <w:tc>
          <w:tcPr>
            <w:tcW w:w="120" w:type="dxa"/>
            <w:vAlign w:val="bottom"/>
            <w:tcBorders>
              <w:right w:val="single" w:sz="8" w:color="DCE2EF"/>
            </w:tcBorders>
            <w:shd w:val="clear" w:color="auto" w:fill="DCE2EF"/>
          </w:tcPr>
          <w:p>
            <w:pPr>
              <w:spacing w:after="0"/>
              <w:rPr>
                <w:sz w:val="15"/>
                <w:szCs w:val="15"/>
                <w:color w:val="auto"/>
              </w:rPr>
            </w:pPr>
          </w:p>
        </w:tc>
        <w:tc>
          <w:tcPr>
            <w:tcW w:w="4620" w:type="dxa"/>
            <w:vAlign w:val="bottom"/>
            <w:gridSpan w:val="37"/>
            <w:shd w:val="clear" w:color="auto" w:fill="DCE2EF"/>
          </w:tcPr>
          <w:p>
            <w:pPr>
              <w:spacing w:after="0" w:line="182" w:lineRule="exact"/>
              <w:rPr>
                <w:rFonts w:ascii="Arial" w:cs="Arial" w:eastAsia="Arial" w:hAnsi="Arial"/>
                <w:sz w:val="18"/>
                <w:szCs w:val="18"/>
                <w:color w:val="0000FF"/>
              </w:rPr>
            </w:pPr>
            <w:hyperlink r:id="rId163">
              <w:r>
                <w:rPr>
                  <w:rFonts w:ascii="Arial" w:cs="Arial" w:eastAsia="Arial" w:hAnsi="Arial"/>
                  <w:sz w:val="18"/>
                  <w:szCs w:val="18"/>
                  <w:color w:val="0000FF"/>
                </w:rPr>
                <w:t>Crown Building Maintenance Co., Crown Energy</w:t>
              </w:r>
            </w:hyperlink>
          </w:p>
        </w:tc>
        <w:tc>
          <w:tcPr>
            <w:tcW w:w="66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2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8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2140" w:type="dxa"/>
            <w:vAlign w:val="bottom"/>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DCE2EF"/>
          </w:tcPr>
          <w:p>
            <w:pPr>
              <w:spacing w:after="0" w:line="20" w:lineRule="exact"/>
              <w:rPr>
                <w:sz w:val="1"/>
                <w:szCs w:val="1"/>
                <w:color w:val="auto"/>
              </w:rPr>
            </w:pPr>
          </w:p>
        </w:tc>
        <w:tc>
          <w:tcPr>
            <w:tcW w:w="120" w:type="dxa"/>
            <w:vAlign w:val="bottom"/>
            <w:tcBorders>
              <w:right w:val="single" w:sz="8" w:color="DCE2EF"/>
            </w:tcBorders>
            <w:shd w:val="clear" w:color="auto" w:fill="DCE2E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2"/>
            <w:shd w:val="clear" w:color="auto" w:fill="DCE2EF"/>
          </w:tcPr>
          <w:p>
            <w:pPr>
              <w:spacing w:after="0" w:line="20" w:lineRule="exact"/>
              <w:rPr>
                <w:sz w:val="1"/>
                <w:szCs w:val="1"/>
                <w:color w:val="auto"/>
              </w:rPr>
            </w:pPr>
          </w:p>
        </w:tc>
        <w:tc>
          <w:tcPr>
            <w:tcW w:w="40" w:type="dxa"/>
            <w:vAlign w:val="bottom"/>
            <w:gridSpan w:val="2"/>
            <w:shd w:val="clear" w:color="auto" w:fill="DCE2EF"/>
          </w:tcPr>
          <w:p>
            <w:pPr>
              <w:spacing w:after="0" w:line="20" w:lineRule="exact"/>
              <w:rPr>
                <w:sz w:val="1"/>
                <w:szCs w:val="1"/>
                <w:color w:val="auto"/>
              </w:rPr>
            </w:pPr>
          </w:p>
        </w:tc>
        <w:tc>
          <w:tcPr>
            <w:tcW w:w="4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4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40" w:type="dxa"/>
            <w:vAlign w:val="bottom"/>
            <w:gridSpan w:val="2"/>
            <w:shd w:val="clear" w:color="auto" w:fill="DCE2EF"/>
          </w:tcPr>
          <w:p>
            <w:pPr>
              <w:spacing w:after="0" w:line="20" w:lineRule="exact"/>
              <w:rPr>
                <w:sz w:val="1"/>
                <w:szCs w:val="1"/>
                <w:color w:val="auto"/>
              </w:rPr>
            </w:pPr>
          </w:p>
        </w:tc>
        <w:tc>
          <w:tcPr>
            <w:tcW w:w="40" w:type="dxa"/>
            <w:vAlign w:val="bottom"/>
            <w:gridSpan w:val="2"/>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40" w:type="dxa"/>
            <w:vAlign w:val="bottom"/>
            <w:shd w:val="clear" w:color="auto" w:fill="DCE2EF"/>
          </w:tcPr>
          <w:p>
            <w:pPr>
              <w:spacing w:after="0" w:line="20" w:lineRule="exact"/>
              <w:rPr>
                <w:sz w:val="1"/>
                <w:szCs w:val="1"/>
                <w:color w:val="auto"/>
              </w:rPr>
            </w:pPr>
          </w:p>
        </w:tc>
        <w:tc>
          <w:tcPr>
            <w:tcW w:w="60" w:type="dxa"/>
            <w:vAlign w:val="bottom"/>
            <w:gridSpan w:val="2"/>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100" w:type="dxa"/>
            <w:vAlign w:val="bottom"/>
            <w:gridSpan w:val="2"/>
            <w:shd w:val="clear" w:color="auto" w:fill="DCE2EF"/>
          </w:tcPr>
          <w:p>
            <w:pPr>
              <w:spacing w:after="0" w:line="20" w:lineRule="exact"/>
              <w:rPr>
                <w:sz w:val="1"/>
                <w:szCs w:val="1"/>
                <w:color w:val="auto"/>
              </w:rPr>
            </w:pPr>
          </w:p>
        </w:tc>
        <w:tc>
          <w:tcPr>
            <w:tcW w:w="660" w:type="dxa"/>
            <w:vAlign w:val="bottom"/>
            <w:shd w:val="clear" w:color="auto" w:fill="DCE2EF"/>
          </w:tcPr>
          <w:p>
            <w:pPr>
              <w:spacing w:after="0" w:line="20" w:lineRule="exact"/>
              <w:rPr>
                <w:sz w:val="1"/>
                <w:szCs w:val="1"/>
                <w:color w:val="auto"/>
              </w:rPr>
            </w:pPr>
          </w:p>
        </w:tc>
        <w:tc>
          <w:tcPr>
            <w:tcW w:w="120" w:type="dxa"/>
            <w:vAlign w:val="bottom"/>
            <w:shd w:val="clear" w:color="auto" w:fill="DCE2EF"/>
          </w:tcPr>
          <w:p>
            <w:pPr>
              <w:spacing w:after="0" w:line="20" w:lineRule="exact"/>
              <w:rPr>
                <w:sz w:val="1"/>
                <w:szCs w:val="1"/>
                <w:color w:val="auto"/>
              </w:rPr>
            </w:pPr>
          </w:p>
        </w:tc>
        <w:tc>
          <w:tcPr>
            <w:tcW w:w="1260" w:type="dxa"/>
            <w:vAlign w:val="bottom"/>
            <w:shd w:val="clear" w:color="auto" w:fill="DCE2EF"/>
          </w:tcPr>
          <w:p>
            <w:pPr>
              <w:spacing w:after="0" w:line="20" w:lineRule="exact"/>
              <w:rPr>
                <w:sz w:val="1"/>
                <w:szCs w:val="1"/>
                <w:color w:val="auto"/>
              </w:rPr>
            </w:pPr>
          </w:p>
        </w:tc>
        <w:tc>
          <w:tcPr>
            <w:tcW w:w="100" w:type="dxa"/>
            <w:vAlign w:val="bottom"/>
            <w:shd w:val="clear" w:color="auto" w:fill="DCE2EF"/>
          </w:tcPr>
          <w:p>
            <w:pPr>
              <w:spacing w:after="0" w:line="20" w:lineRule="exact"/>
              <w:rPr>
                <w:sz w:val="1"/>
                <w:szCs w:val="1"/>
                <w:color w:val="auto"/>
              </w:rPr>
            </w:pPr>
          </w:p>
        </w:tc>
        <w:tc>
          <w:tcPr>
            <w:tcW w:w="880" w:type="dxa"/>
            <w:vAlign w:val="bottom"/>
            <w:shd w:val="clear" w:color="auto" w:fill="DCE2EF"/>
          </w:tcPr>
          <w:p>
            <w:pPr>
              <w:spacing w:after="0" w:line="20" w:lineRule="exact"/>
              <w:rPr>
                <w:sz w:val="1"/>
                <w:szCs w:val="1"/>
                <w:color w:val="auto"/>
              </w:rPr>
            </w:pPr>
          </w:p>
        </w:tc>
        <w:tc>
          <w:tcPr>
            <w:tcW w:w="100" w:type="dxa"/>
            <w:vAlign w:val="bottom"/>
            <w:shd w:val="clear" w:color="auto" w:fill="DCE2EF"/>
          </w:tcPr>
          <w:p>
            <w:pPr>
              <w:spacing w:after="0" w:line="20" w:lineRule="exact"/>
              <w:rPr>
                <w:sz w:val="1"/>
                <w:szCs w:val="1"/>
                <w:color w:val="auto"/>
              </w:rPr>
            </w:pPr>
          </w:p>
        </w:tc>
        <w:tc>
          <w:tcPr>
            <w:tcW w:w="2140" w:type="dxa"/>
            <w:vAlign w:val="bottom"/>
            <w:shd w:val="clear" w:color="auto" w:fill="DCE2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Borders>
              <w:bottom w:val="single" w:sz="8" w:color="DCE2EF"/>
            </w:tcBorders>
            <w:shd w:val="clear" w:color="auto" w:fill="DCE2EF"/>
          </w:tcPr>
          <w:p>
            <w:pPr>
              <w:spacing w:after="0"/>
              <w:rPr>
                <w:sz w:val="15"/>
                <w:szCs w:val="15"/>
                <w:color w:val="auto"/>
              </w:rPr>
            </w:pPr>
          </w:p>
        </w:tc>
        <w:tc>
          <w:tcPr>
            <w:tcW w:w="120" w:type="dxa"/>
            <w:vAlign w:val="bottom"/>
            <w:tcBorders>
              <w:bottom w:val="single" w:sz="8" w:color="DCE2EF"/>
              <w:right w:val="single" w:sz="8" w:color="DCE2EF"/>
            </w:tcBorders>
            <w:shd w:val="clear" w:color="auto" w:fill="DCE2EF"/>
          </w:tcPr>
          <w:p>
            <w:pPr>
              <w:spacing w:after="0"/>
              <w:rPr>
                <w:sz w:val="15"/>
                <w:szCs w:val="15"/>
                <w:color w:val="auto"/>
              </w:rPr>
            </w:pPr>
          </w:p>
        </w:tc>
        <w:tc>
          <w:tcPr>
            <w:tcW w:w="4120" w:type="dxa"/>
            <w:vAlign w:val="bottom"/>
            <w:tcBorders>
              <w:bottom w:val="single" w:sz="8" w:color="0000FF"/>
            </w:tcBorders>
            <w:gridSpan w:val="17"/>
            <w:shd w:val="clear" w:color="auto" w:fill="DCE2EF"/>
          </w:tcPr>
          <w:p>
            <w:pPr>
              <w:spacing w:after="0" w:line="182" w:lineRule="exact"/>
              <w:rPr>
                <w:rFonts w:ascii="Arial" w:cs="Arial" w:eastAsia="Arial" w:hAnsi="Arial"/>
                <w:sz w:val="18"/>
                <w:szCs w:val="18"/>
                <w:color w:val="0000FF"/>
                <w:w w:val="99"/>
              </w:rPr>
            </w:pPr>
            <w:hyperlink r:id="rId163">
              <w:r>
                <w:rPr>
                  <w:rFonts w:ascii="Arial" w:cs="Arial" w:eastAsia="Arial" w:hAnsi="Arial"/>
                  <w:sz w:val="18"/>
                  <w:szCs w:val="18"/>
                  <w:color w:val="0000FF"/>
                  <w:w w:val="99"/>
                </w:rPr>
                <w:t>Services, Inc., ABM Industries Incorporated and the</w:t>
              </w:r>
            </w:hyperlink>
          </w:p>
        </w:tc>
        <w:tc>
          <w:tcPr>
            <w:tcW w:w="500" w:type="dxa"/>
            <w:vAlign w:val="bottom"/>
            <w:tcBorders>
              <w:bottom w:val="single" w:sz="8" w:color="DCE2EF"/>
            </w:tcBorders>
            <w:gridSpan w:val="20"/>
            <w:shd w:val="clear" w:color="auto" w:fill="DCE2EF"/>
          </w:tcPr>
          <w:p>
            <w:pPr>
              <w:spacing w:after="0"/>
              <w:rPr>
                <w:sz w:val="15"/>
                <w:szCs w:val="15"/>
                <w:color w:val="auto"/>
              </w:rPr>
            </w:pPr>
          </w:p>
        </w:tc>
        <w:tc>
          <w:tcPr>
            <w:tcW w:w="660" w:type="dxa"/>
            <w:vAlign w:val="bottom"/>
            <w:tcBorders>
              <w:bottom w:val="single" w:sz="8" w:color="DCE2EF"/>
            </w:tcBorders>
            <w:shd w:val="clear" w:color="auto" w:fill="DCE2EF"/>
          </w:tcPr>
          <w:p>
            <w:pPr>
              <w:spacing w:after="0"/>
              <w:rPr>
                <w:sz w:val="15"/>
                <w:szCs w:val="15"/>
                <w:color w:val="auto"/>
              </w:rPr>
            </w:pPr>
          </w:p>
        </w:tc>
        <w:tc>
          <w:tcPr>
            <w:tcW w:w="120" w:type="dxa"/>
            <w:vAlign w:val="bottom"/>
            <w:tcBorders>
              <w:bottom w:val="single" w:sz="8" w:color="DCE2EF"/>
            </w:tcBorders>
            <w:shd w:val="clear" w:color="auto" w:fill="DCE2EF"/>
          </w:tcPr>
          <w:p>
            <w:pPr>
              <w:spacing w:after="0"/>
              <w:rPr>
                <w:sz w:val="15"/>
                <w:szCs w:val="15"/>
                <w:color w:val="auto"/>
              </w:rPr>
            </w:pPr>
          </w:p>
        </w:tc>
        <w:tc>
          <w:tcPr>
            <w:tcW w:w="1260" w:type="dxa"/>
            <w:vAlign w:val="bottom"/>
            <w:tcBorders>
              <w:bottom w:val="single" w:sz="8" w:color="DCE2EF"/>
            </w:tcBorders>
            <w:shd w:val="clear" w:color="auto" w:fill="DCE2EF"/>
          </w:tcPr>
          <w:p>
            <w:pPr>
              <w:spacing w:after="0"/>
              <w:rPr>
                <w:sz w:val="15"/>
                <w:szCs w:val="15"/>
                <w:color w:val="auto"/>
              </w:rPr>
            </w:pPr>
          </w:p>
        </w:tc>
        <w:tc>
          <w:tcPr>
            <w:tcW w:w="100" w:type="dxa"/>
            <w:vAlign w:val="bottom"/>
            <w:tcBorders>
              <w:bottom w:val="single" w:sz="8" w:color="DCE2EF"/>
            </w:tcBorders>
            <w:shd w:val="clear" w:color="auto" w:fill="DCE2EF"/>
          </w:tcPr>
          <w:p>
            <w:pPr>
              <w:spacing w:after="0"/>
              <w:rPr>
                <w:sz w:val="15"/>
                <w:szCs w:val="15"/>
                <w:color w:val="auto"/>
              </w:rPr>
            </w:pPr>
          </w:p>
        </w:tc>
        <w:tc>
          <w:tcPr>
            <w:tcW w:w="880" w:type="dxa"/>
            <w:vAlign w:val="bottom"/>
            <w:tcBorders>
              <w:bottom w:val="single" w:sz="8" w:color="DCE2EF"/>
            </w:tcBorders>
            <w:shd w:val="clear" w:color="auto" w:fill="DCE2EF"/>
          </w:tcPr>
          <w:p>
            <w:pPr>
              <w:spacing w:after="0"/>
              <w:rPr>
                <w:sz w:val="15"/>
                <w:szCs w:val="15"/>
                <w:color w:val="auto"/>
              </w:rPr>
            </w:pPr>
          </w:p>
        </w:tc>
        <w:tc>
          <w:tcPr>
            <w:tcW w:w="100" w:type="dxa"/>
            <w:vAlign w:val="bottom"/>
            <w:tcBorders>
              <w:bottom w:val="single" w:sz="8" w:color="DCE2EF"/>
            </w:tcBorders>
            <w:shd w:val="clear" w:color="auto" w:fill="DCE2EF"/>
          </w:tcPr>
          <w:p>
            <w:pPr>
              <w:spacing w:after="0"/>
              <w:rPr>
                <w:sz w:val="15"/>
                <w:szCs w:val="15"/>
                <w:color w:val="auto"/>
              </w:rPr>
            </w:pPr>
          </w:p>
        </w:tc>
        <w:tc>
          <w:tcPr>
            <w:tcW w:w="2140" w:type="dxa"/>
            <w:vAlign w:val="bottom"/>
            <w:tcBorders>
              <w:bottom w:val="single" w:sz="8" w:color="DCE2EF"/>
            </w:tcBorders>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240" w:type="dxa"/>
            <w:vAlign w:val="bottom"/>
            <w:tcBorders>
              <w:bottom w:val="single" w:sz="8" w:color="DCE2EF"/>
            </w:tcBorders>
            <w:shd w:val="clear" w:color="auto" w:fill="DCE2EF"/>
          </w:tcPr>
          <w:p>
            <w:pPr>
              <w:spacing w:after="0"/>
              <w:rPr>
                <w:sz w:val="18"/>
                <w:szCs w:val="18"/>
                <w:color w:val="auto"/>
              </w:rPr>
            </w:pPr>
          </w:p>
        </w:tc>
        <w:tc>
          <w:tcPr>
            <w:tcW w:w="120" w:type="dxa"/>
            <w:vAlign w:val="bottom"/>
            <w:tcBorders>
              <w:bottom w:val="single" w:sz="8" w:color="DCE2EF"/>
              <w:right w:val="single" w:sz="8" w:color="DCE2EF"/>
            </w:tcBorders>
            <w:shd w:val="clear" w:color="auto" w:fill="DCE2EF"/>
          </w:tcPr>
          <w:p>
            <w:pPr>
              <w:spacing w:after="0"/>
              <w:rPr>
                <w:sz w:val="18"/>
                <w:szCs w:val="18"/>
                <w:color w:val="auto"/>
              </w:rPr>
            </w:pPr>
          </w:p>
        </w:tc>
        <w:tc>
          <w:tcPr>
            <w:tcW w:w="3740" w:type="dxa"/>
            <w:vAlign w:val="bottom"/>
            <w:tcBorders>
              <w:bottom w:val="single" w:sz="8" w:color="0000FF"/>
            </w:tcBorders>
            <w:gridSpan w:val="9"/>
            <w:shd w:val="clear" w:color="auto" w:fill="DCE2EF"/>
          </w:tcPr>
          <w:p>
            <w:pPr>
              <w:spacing w:after="0" w:line="182" w:lineRule="exact"/>
              <w:rPr>
                <w:rFonts w:ascii="Arial" w:cs="Arial" w:eastAsia="Arial" w:hAnsi="Arial"/>
                <w:sz w:val="18"/>
                <w:szCs w:val="18"/>
                <w:color w:val="0000FF"/>
                <w:w w:val="99"/>
              </w:rPr>
            </w:pPr>
            <w:hyperlink r:id="rId163">
              <w:r>
                <w:rPr>
                  <w:rFonts w:ascii="Arial" w:cs="Arial" w:eastAsia="Arial" w:hAnsi="Arial"/>
                  <w:sz w:val="18"/>
                  <w:szCs w:val="18"/>
                  <w:color w:val="0000FF"/>
                  <w:w w:val="99"/>
                </w:rPr>
                <w:t>sellers and sellers’ representative party thereto</w:t>
              </w:r>
            </w:hyperlink>
          </w:p>
        </w:tc>
        <w:tc>
          <w:tcPr>
            <w:tcW w:w="880" w:type="dxa"/>
            <w:vAlign w:val="bottom"/>
            <w:tcBorders>
              <w:bottom w:val="single" w:sz="8" w:color="DCE2EF"/>
            </w:tcBorders>
            <w:gridSpan w:val="28"/>
            <w:shd w:val="clear" w:color="auto" w:fill="DCE2EF"/>
          </w:tcPr>
          <w:p>
            <w:pPr>
              <w:spacing w:after="0"/>
              <w:rPr>
                <w:sz w:val="18"/>
                <w:szCs w:val="18"/>
                <w:color w:val="auto"/>
              </w:rPr>
            </w:pPr>
          </w:p>
        </w:tc>
        <w:tc>
          <w:tcPr>
            <w:tcW w:w="660" w:type="dxa"/>
            <w:vAlign w:val="bottom"/>
            <w:tcBorders>
              <w:bottom w:val="single" w:sz="8" w:color="DCE2EF"/>
            </w:tcBorders>
            <w:shd w:val="clear" w:color="auto" w:fill="DCE2EF"/>
          </w:tcPr>
          <w:p>
            <w:pPr>
              <w:spacing w:after="0"/>
              <w:rPr>
                <w:sz w:val="18"/>
                <w:szCs w:val="18"/>
                <w:color w:val="auto"/>
              </w:rPr>
            </w:pPr>
          </w:p>
        </w:tc>
        <w:tc>
          <w:tcPr>
            <w:tcW w:w="120" w:type="dxa"/>
            <w:vAlign w:val="bottom"/>
            <w:tcBorders>
              <w:bottom w:val="single" w:sz="8" w:color="DCE2EF"/>
            </w:tcBorders>
            <w:shd w:val="clear" w:color="auto" w:fill="DCE2EF"/>
          </w:tcPr>
          <w:p>
            <w:pPr>
              <w:spacing w:after="0"/>
              <w:rPr>
                <w:sz w:val="18"/>
                <w:szCs w:val="18"/>
                <w:color w:val="auto"/>
              </w:rPr>
            </w:pPr>
          </w:p>
        </w:tc>
        <w:tc>
          <w:tcPr>
            <w:tcW w:w="1260" w:type="dxa"/>
            <w:vAlign w:val="bottom"/>
            <w:tcBorders>
              <w:bottom w:val="single" w:sz="8" w:color="DCE2EF"/>
            </w:tcBorders>
            <w:shd w:val="clear" w:color="auto" w:fill="DCE2EF"/>
          </w:tcPr>
          <w:p>
            <w:pPr>
              <w:spacing w:after="0"/>
              <w:rPr>
                <w:sz w:val="18"/>
                <w:szCs w:val="18"/>
                <w:color w:val="auto"/>
              </w:rPr>
            </w:pPr>
          </w:p>
        </w:tc>
        <w:tc>
          <w:tcPr>
            <w:tcW w:w="100" w:type="dxa"/>
            <w:vAlign w:val="bottom"/>
            <w:tcBorders>
              <w:bottom w:val="single" w:sz="8" w:color="DCE2EF"/>
            </w:tcBorders>
            <w:shd w:val="clear" w:color="auto" w:fill="DCE2EF"/>
          </w:tcPr>
          <w:p>
            <w:pPr>
              <w:spacing w:after="0"/>
              <w:rPr>
                <w:sz w:val="18"/>
                <w:szCs w:val="18"/>
                <w:color w:val="auto"/>
              </w:rPr>
            </w:pPr>
          </w:p>
        </w:tc>
        <w:tc>
          <w:tcPr>
            <w:tcW w:w="880" w:type="dxa"/>
            <w:vAlign w:val="bottom"/>
            <w:tcBorders>
              <w:bottom w:val="single" w:sz="8" w:color="DCE2EF"/>
            </w:tcBorders>
            <w:shd w:val="clear" w:color="auto" w:fill="DCE2EF"/>
          </w:tcPr>
          <w:p>
            <w:pPr>
              <w:spacing w:after="0"/>
              <w:rPr>
                <w:sz w:val="18"/>
                <w:szCs w:val="18"/>
                <w:color w:val="auto"/>
              </w:rPr>
            </w:pPr>
          </w:p>
        </w:tc>
        <w:tc>
          <w:tcPr>
            <w:tcW w:w="100" w:type="dxa"/>
            <w:vAlign w:val="bottom"/>
            <w:tcBorders>
              <w:bottom w:val="single" w:sz="8" w:color="DCE2EF"/>
            </w:tcBorders>
            <w:shd w:val="clear" w:color="auto" w:fill="DCE2EF"/>
          </w:tcPr>
          <w:p>
            <w:pPr>
              <w:spacing w:after="0"/>
              <w:rPr>
                <w:sz w:val="18"/>
                <w:szCs w:val="18"/>
                <w:color w:val="auto"/>
              </w:rPr>
            </w:pPr>
          </w:p>
        </w:tc>
        <w:tc>
          <w:tcPr>
            <w:tcW w:w="2140" w:type="dxa"/>
            <w:vAlign w:val="bottom"/>
            <w:tcBorders>
              <w:bottom w:val="single" w:sz="8" w:color="DCE2EF"/>
            </w:tcBorders>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20"/>
              <w:spacing w:after="0" w:line="20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4360" w:type="dxa"/>
            <w:vAlign w:val="bottom"/>
            <w:tcBorders>
              <w:bottom w:val="single" w:sz="8" w:color="0000FF"/>
            </w:tcBorders>
            <w:gridSpan w:val="29"/>
          </w:tcPr>
          <w:p>
            <w:pPr>
              <w:spacing w:after="0" w:line="202" w:lineRule="exact"/>
              <w:rPr>
                <w:rFonts w:ascii="Arial" w:cs="Arial" w:eastAsia="Arial" w:hAnsi="Arial"/>
                <w:sz w:val="18"/>
                <w:szCs w:val="18"/>
                <w:color w:val="0000FF"/>
                <w:w w:val="99"/>
              </w:rPr>
            </w:pPr>
            <w:hyperlink r:id="rId164">
              <w:r>
                <w:rPr>
                  <w:rFonts w:ascii="Arial" w:cs="Arial" w:eastAsia="Arial" w:hAnsi="Arial"/>
                  <w:sz w:val="18"/>
                  <w:szCs w:val="18"/>
                  <w:color w:val="0000FF"/>
                  <w:w w:val="99"/>
                </w:rPr>
                <w:t>Restated Certificate of Incorporation of ABM Industries</w:t>
              </w:r>
            </w:hyperlink>
          </w:p>
        </w:tc>
        <w:tc>
          <w:tcPr>
            <w:tcW w:w="260" w:type="dxa"/>
            <w:vAlign w:val="bottom"/>
            <w:gridSpan w:val="8"/>
          </w:tcPr>
          <w:p>
            <w:pPr>
              <w:spacing w:after="0"/>
              <w:rPr>
                <w:sz w:val="17"/>
                <w:szCs w:val="17"/>
                <w:color w:val="auto"/>
              </w:rPr>
            </w:pPr>
          </w:p>
        </w:tc>
        <w:tc>
          <w:tcPr>
            <w:tcW w:w="78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17"/>
                <w:szCs w:val="17"/>
                <w:color w:val="auto"/>
              </w:rPr>
            </w:pP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7"/>
                <w:szCs w:val="17"/>
                <w:color w:val="auto"/>
              </w:rPr>
            </w:pPr>
          </w:p>
        </w:tc>
        <w:tc>
          <w:tcPr>
            <w:tcW w:w="2140" w:type="dxa"/>
            <w:vAlign w:val="bottom"/>
          </w:tcPr>
          <w:p>
            <w:pPr>
              <w:jc w:val="center"/>
              <w:spacing w:after="0" w:line="202" w:lineRule="exact"/>
              <w:rPr>
                <w:sz w:val="20"/>
                <w:szCs w:val="20"/>
                <w:color w:val="auto"/>
              </w:rPr>
            </w:pPr>
            <w:r>
              <w:rPr>
                <w:rFonts w:ascii="Arial" w:cs="Arial" w:eastAsia="Arial" w:hAnsi="Arial"/>
                <w:sz w:val="18"/>
                <w:szCs w:val="18"/>
                <w:color w:val="auto"/>
              </w:rPr>
              <w:t>March 27, 2020</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20" w:type="dxa"/>
            <w:vAlign w:val="bottom"/>
            <w:gridSpan w:val="37"/>
          </w:tcPr>
          <w:p>
            <w:pPr>
              <w:spacing w:after="0" w:line="182" w:lineRule="exact"/>
              <w:rPr>
                <w:rFonts w:ascii="Arial" w:cs="Arial" w:eastAsia="Arial" w:hAnsi="Arial"/>
                <w:sz w:val="18"/>
                <w:szCs w:val="18"/>
                <w:color w:val="0000FF"/>
              </w:rPr>
            </w:pPr>
            <w:hyperlink r:id="rId164">
              <w:r>
                <w:rPr>
                  <w:rFonts w:ascii="Arial" w:cs="Arial" w:eastAsia="Arial" w:hAnsi="Arial"/>
                  <w:sz w:val="18"/>
                  <w:szCs w:val="18"/>
                  <w:color w:val="0000FF"/>
                </w:rPr>
                <w:t>Incorporated, dated March 26, 2020</w:t>
              </w:r>
            </w:hyperlink>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240" w:type="dxa"/>
            <w:vAlign w:val="bottom"/>
            <w:shd w:val="clear" w:color="auto" w:fill="DCE2EF"/>
          </w:tcPr>
          <w:p>
            <w:pPr>
              <w:ind w:left="20"/>
              <w:spacing w:after="0" w:line="202" w:lineRule="exact"/>
              <w:rPr>
                <w:sz w:val="20"/>
                <w:szCs w:val="20"/>
                <w:color w:val="auto"/>
              </w:rPr>
            </w:pPr>
            <w:r>
              <w:rPr>
                <w:rFonts w:ascii="Arial" w:cs="Arial" w:eastAsia="Arial" w:hAnsi="Arial"/>
                <w:sz w:val="18"/>
                <w:szCs w:val="18"/>
                <w:color w:val="auto"/>
              </w:rPr>
              <w:t>3.2</w:t>
            </w:r>
          </w:p>
        </w:tc>
        <w:tc>
          <w:tcPr>
            <w:tcW w:w="120" w:type="dxa"/>
            <w:vAlign w:val="bottom"/>
            <w:tcBorders>
              <w:right w:val="single" w:sz="8" w:color="DCE2EF"/>
            </w:tcBorders>
            <w:shd w:val="clear" w:color="auto" w:fill="DCE2EF"/>
          </w:tcPr>
          <w:p>
            <w:pPr>
              <w:spacing w:after="0"/>
              <w:rPr>
                <w:sz w:val="17"/>
                <w:szCs w:val="17"/>
                <w:color w:val="auto"/>
              </w:rPr>
            </w:pPr>
          </w:p>
        </w:tc>
        <w:tc>
          <w:tcPr>
            <w:tcW w:w="4620" w:type="dxa"/>
            <w:vAlign w:val="bottom"/>
            <w:gridSpan w:val="37"/>
            <w:shd w:val="clear" w:color="auto" w:fill="DCE2EF"/>
          </w:tcPr>
          <w:p>
            <w:pPr>
              <w:spacing w:after="0" w:line="202" w:lineRule="exact"/>
              <w:rPr>
                <w:rFonts w:ascii="Arial" w:cs="Arial" w:eastAsia="Arial" w:hAnsi="Arial"/>
                <w:sz w:val="18"/>
                <w:szCs w:val="18"/>
                <w:color w:val="0000FF"/>
              </w:rPr>
            </w:pPr>
            <w:hyperlink r:id="rId165">
              <w:r>
                <w:rPr>
                  <w:rFonts w:ascii="Arial" w:cs="Arial" w:eastAsia="Arial" w:hAnsi="Arial"/>
                  <w:sz w:val="18"/>
                  <w:szCs w:val="18"/>
                  <w:color w:val="0000FF"/>
                </w:rPr>
                <w:t>Amended and Restated Bylaws of ABM Industries</w:t>
              </w:r>
            </w:hyperlink>
          </w:p>
        </w:tc>
        <w:tc>
          <w:tcPr>
            <w:tcW w:w="780" w:type="dxa"/>
            <w:vAlign w:val="bottom"/>
            <w:gridSpan w:val="2"/>
            <w:shd w:val="clear" w:color="auto" w:fill="DCE2EF"/>
          </w:tcPr>
          <w:p>
            <w:pPr>
              <w:jc w:val="center"/>
              <w:ind w:right="100"/>
              <w:spacing w:after="0" w:line="202" w:lineRule="exact"/>
              <w:rPr>
                <w:sz w:val="20"/>
                <w:szCs w:val="20"/>
                <w:color w:val="auto"/>
              </w:rPr>
            </w:pPr>
            <w:r>
              <w:rPr>
                <w:rFonts w:ascii="Arial" w:cs="Arial" w:eastAsia="Arial" w:hAnsi="Arial"/>
                <w:sz w:val="18"/>
                <w:szCs w:val="18"/>
                <w:color w:val="auto"/>
                <w:w w:val="99"/>
              </w:rPr>
              <w:t>8-K</w:t>
            </w:r>
          </w:p>
        </w:tc>
        <w:tc>
          <w:tcPr>
            <w:tcW w:w="126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100" w:type="dxa"/>
            <w:vAlign w:val="bottom"/>
            <w:shd w:val="clear" w:color="auto" w:fill="DCE2EF"/>
          </w:tcPr>
          <w:p>
            <w:pPr>
              <w:spacing w:after="0"/>
              <w:rPr>
                <w:sz w:val="17"/>
                <w:szCs w:val="17"/>
                <w:color w:val="auto"/>
              </w:rPr>
            </w:pPr>
          </w:p>
        </w:tc>
        <w:tc>
          <w:tcPr>
            <w:tcW w:w="88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w w:val="95"/>
              </w:rPr>
              <w:t>3.2</w:t>
            </w:r>
          </w:p>
        </w:tc>
        <w:tc>
          <w:tcPr>
            <w:tcW w:w="100" w:type="dxa"/>
            <w:vAlign w:val="bottom"/>
            <w:shd w:val="clear" w:color="auto" w:fill="DCE2EF"/>
          </w:tcPr>
          <w:p>
            <w:pPr>
              <w:spacing w:after="0"/>
              <w:rPr>
                <w:sz w:val="17"/>
                <w:szCs w:val="17"/>
                <w:color w:val="auto"/>
              </w:rPr>
            </w:pPr>
          </w:p>
        </w:tc>
        <w:tc>
          <w:tcPr>
            <w:tcW w:w="214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rPr>
              <w:t>March 27, 2020</w:t>
            </w:r>
          </w:p>
        </w:tc>
        <w:tc>
          <w:tcPr>
            <w:tcW w:w="0" w:type="dxa"/>
            <w:vAlign w:val="bottom"/>
          </w:tcPr>
          <w:p>
            <w:pPr>
              <w:spacing w:after="0"/>
              <w:rPr>
                <w:sz w:val="1"/>
                <w:szCs w:val="1"/>
                <w:color w:val="auto"/>
              </w:rPr>
            </w:pPr>
          </w:p>
        </w:tc>
      </w:tr>
      <w:tr>
        <w:trPr>
          <w:trHeight w:val="183"/>
        </w:trPr>
        <w:tc>
          <w:tcPr>
            <w:tcW w:w="1240" w:type="dxa"/>
            <w:vAlign w:val="bottom"/>
            <w:tcBorders>
              <w:top w:val="single" w:sz="8" w:color="DCE2EF"/>
            </w:tcBorders>
            <w:shd w:val="clear" w:color="auto" w:fill="DCE2EF"/>
          </w:tcPr>
          <w:p>
            <w:pPr>
              <w:spacing w:after="0"/>
              <w:rPr>
                <w:sz w:val="15"/>
                <w:szCs w:val="15"/>
                <w:color w:val="auto"/>
              </w:rPr>
            </w:pPr>
          </w:p>
        </w:tc>
        <w:tc>
          <w:tcPr>
            <w:tcW w:w="120" w:type="dxa"/>
            <w:vAlign w:val="bottom"/>
            <w:tcBorders>
              <w:top w:val="single" w:sz="8" w:color="DCE2EF"/>
              <w:right w:val="single" w:sz="8" w:color="DCE2EF"/>
            </w:tcBorders>
            <w:shd w:val="clear" w:color="auto" w:fill="DCE2EF"/>
          </w:tcPr>
          <w:p>
            <w:pPr>
              <w:spacing w:after="0"/>
              <w:rPr>
                <w:sz w:val="15"/>
                <w:szCs w:val="15"/>
                <w:color w:val="auto"/>
              </w:rPr>
            </w:pPr>
          </w:p>
        </w:tc>
        <w:tc>
          <w:tcPr>
            <w:tcW w:w="3980" w:type="dxa"/>
            <w:vAlign w:val="bottom"/>
            <w:tcBorders>
              <w:top w:val="single" w:sz="8" w:color="0000FF"/>
            </w:tcBorders>
            <w:gridSpan w:val="12"/>
            <w:shd w:val="clear" w:color="auto" w:fill="DCE2EF"/>
          </w:tcPr>
          <w:p>
            <w:pPr>
              <w:spacing w:after="0" w:line="182" w:lineRule="exact"/>
              <w:rPr>
                <w:rFonts w:ascii="Arial" w:cs="Arial" w:eastAsia="Arial" w:hAnsi="Arial"/>
                <w:sz w:val="18"/>
                <w:szCs w:val="18"/>
                <w:color w:val="0000FF"/>
              </w:rPr>
            </w:pPr>
            <w:hyperlink r:id="rId165">
              <w:r>
                <w:rPr>
                  <w:rFonts w:ascii="Arial" w:cs="Arial" w:eastAsia="Arial" w:hAnsi="Arial"/>
                  <w:sz w:val="18"/>
                  <w:szCs w:val="18"/>
                  <w:color w:val="0000FF"/>
                </w:rPr>
                <w:t>Incorporated, dated March 26, 2020</w:t>
              </w:r>
            </w:hyperlink>
          </w:p>
        </w:tc>
        <w:tc>
          <w:tcPr>
            <w:tcW w:w="640" w:type="dxa"/>
            <w:vAlign w:val="bottom"/>
            <w:tcBorders>
              <w:top w:val="single" w:sz="8" w:color="DCE2EF"/>
            </w:tcBorders>
            <w:gridSpan w:val="25"/>
            <w:shd w:val="clear" w:color="auto" w:fill="DCE2EF"/>
          </w:tcPr>
          <w:p>
            <w:pPr>
              <w:spacing w:after="0"/>
              <w:rPr>
                <w:sz w:val="15"/>
                <w:szCs w:val="15"/>
                <w:color w:val="auto"/>
              </w:rPr>
            </w:pPr>
          </w:p>
        </w:tc>
        <w:tc>
          <w:tcPr>
            <w:tcW w:w="660" w:type="dxa"/>
            <w:vAlign w:val="bottom"/>
            <w:tcBorders>
              <w:top w:val="single" w:sz="8" w:color="DCE2EF"/>
            </w:tcBorders>
            <w:shd w:val="clear" w:color="auto" w:fill="DCE2EF"/>
          </w:tcPr>
          <w:p>
            <w:pPr>
              <w:spacing w:after="0"/>
              <w:rPr>
                <w:sz w:val="15"/>
                <w:szCs w:val="15"/>
                <w:color w:val="auto"/>
              </w:rPr>
            </w:pPr>
          </w:p>
        </w:tc>
        <w:tc>
          <w:tcPr>
            <w:tcW w:w="120" w:type="dxa"/>
            <w:vAlign w:val="bottom"/>
            <w:tcBorders>
              <w:top w:val="single" w:sz="8" w:color="DCE2EF"/>
            </w:tcBorders>
            <w:shd w:val="clear" w:color="auto" w:fill="DCE2EF"/>
          </w:tcPr>
          <w:p>
            <w:pPr>
              <w:spacing w:after="0"/>
              <w:rPr>
                <w:sz w:val="15"/>
                <w:szCs w:val="15"/>
                <w:color w:val="auto"/>
              </w:rPr>
            </w:pPr>
          </w:p>
        </w:tc>
        <w:tc>
          <w:tcPr>
            <w:tcW w:w="1260" w:type="dxa"/>
            <w:vAlign w:val="bottom"/>
            <w:tcBorders>
              <w:top w:val="single" w:sz="8" w:color="DCE2EF"/>
            </w:tcBorders>
            <w:shd w:val="clear" w:color="auto" w:fill="DCE2EF"/>
          </w:tcPr>
          <w:p>
            <w:pPr>
              <w:spacing w:after="0"/>
              <w:rPr>
                <w:sz w:val="15"/>
                <w:szCs w:val="15"/>
                <w:color w:val="auto"/>
              </w:rPr>
            </w:pPr>
          </w:p>
        </w:tc>
        <w:tc>
          <w:tcPr>
            <w:tcW w:w="100" w:type="dxa"/>
            <w:vAlign w:val="bottom"/>
            <w:tcBorders>
              <w:top w:val="single" w:sz="8" w:color="DCE2EF"/>
            </w:tcBorders>
            <w:shd w:val="clear" w:color="auto" w:fill="DCE2EF"/>
          </w:tcPr>
          <w:p>
            <w:pPr>
              <w:spacing w:after="0"/>
              <w:rPr>
                <w:sz w:val="15"/>
                <w:szCs w:val="15"/>
                <w:color w:val="auto"/>
              </w:rPr>
            </w:pPr>
          </w:p>
        </w:tc>
        <w:tc>
          <w:tcPr>
            <w:tcW w:w="880" w:type="dxa"/>
            <w:vAlign w:val="bottom"/>
            <w:tcBorders>
              <w:top w:val="single" w:sz="8" w:color="DCE2EF"/>
            </w:tcBorders>
            <w:shd w:val="clear" w:color="auto" w:fill="DCE2EF"/>
          </w:tcPr>
          <w:p>
            <w:pPr>
              <w:spacing w:after="0"/>
              <w:rPr>
                <w:sz w:val="15"/>
                <w:szCs w:val="15"/>
                <w:color w:val="auto"/>
              </w:rPr>
            </w:pPr>
          </w:p>
        </w:tc>
        <w:tc>
          <w:tcPr>
            <w:tcW w:w="100" w:type="dxa"/>
            <w:vAlign w:val="bottom"/>
            <w:tcBorders>
              <w:top w:val="single" w:sz="8" w:color="DCE2EF"/>
            </w:tcBorders>
            <w:shd w:val="clear" w:color="auto" w:fill="DCE2EF"/>
          </w:tcPr>
          <w:p>
            <w:pPr>
              <w:spacing w:after="0"/>
              <w:rPr>
                <w:sz w:val="15"/>
                <w:szCs w:val="15"/>
                <w:color w:val="auto"/>
              </w:rPr>
            </w:pPr>
          </w:p>
        </w:tc>
        <w:tc>
          <w:tcPr>
            <w:tcW w:w="2140" w:type="dxa"/>
            <w:vAlign w:val="bottom"/>
            <w:tcBorders>
              <w:top w:val="single" w:sz="8" w:color="DCE2EF"/>
            </w:tcBorders>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24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right w:val="single" w:sz="8" w:color="DCE2EF"/>
            </w:tcBorders>
            <w:shd w:val="clear" w:color="auto" w:fill="DCE2EF"/>
          </w:tcPr>
          <w:p>
            <w:pPr>
              <w:spacing w:after="0"/>
              <w:rPr>
                <w:sz w:val="2"/>
                <w:szCs w:val="2"/>
                <w:color w:val="auto"/>
              </w:rPr>
            </w:pPr>
          </w:p>
        </w:tc>
        <w:tc>
          <w:tcPr>
            <w:tcW w:w="1620" w:type="dxa"/>
            <w:vAlign w:val="bottom"/>
            <w:tcBorders>
              <w:top w:val="single" w:sz="8" w:color="0000FF"/>
            </w:tcBorders>
            <w:shd w:val="clear" w:color="auto" w:fill="DCE2EF"/>
          </w:tcPr>
          <w:p>
            <w:pPr>
              <w:spacing w:after="0"/>
              <w:rPr>
                <w:sz w:val="2"/>
                <w:szCs w:val="2"/>
                <w:color w:val="auto"/>
              </w:rPr>
            </w:pPr>
          </w:p>
        </w:tc>
        <w:tc>
          <w:tcPr>
            <w:tcW w:w="680" w:type="dxa"/>
            <w:vAlign w:val="bottom"/>
            <w:tcBorders>
              <w:top w:val="single" w:sz="8" w:color="0000FF"/>
            </w:tcBorders>
            <w:shd w:val="clear" w:color="auto" w:fill="DCE2EF"/>
          </w:tcPr>
          <w:p>
            <w:pPr>
              <w:spacing w:after="0"/>
              <w:rPr>
                <w:sz w:val="2"/>
                <w:szCs w:val="2"/>
                <w:color w:val="auto"/>
              </w:rPr>
            </w:pPr>
          </w:p>
        </w:tc>
        <w:tc>
          <w:tcPr>
            <w:tcW w:w="80" w:type="dxa"/>
            <w:vAlign w:val="bottom"/>
            <w:tcBorders>
              <w:top w:val="single" w:sz="8" w:color="0000FF"/>
            </w:tcBorders>
            <w:shd w:val="clear" w:color="auto" w:fill="DCE2EF"/>
          </w:tcPr>
          <w:p>
            <w:pPr>
              <w:spacing w:after="0"/>
              <w:rPr>
                <w:sz w:val="2"/>
                <w:szCs w:val="2"/>
                <w:color w:val="auto"/>
              </w:rPr>
            </w:pPr>
          </w:p>
        </w:tc>
        <w:tc>
          <w:tcPr>
            <w:tcW w:w="480" w:type="dxa"/>
            <w:vAlign w:val="bottom"/>
            <w:tcBorders>
              <w:top w:val="single" w:sz="8" w:color="0000FF"/>
            </w:tcBorders>
            <w:shd w:val="clear" w:color="auto" w:fill="DCE2EF"/>
          </w:tcPr>
          <w:p>
            <w:pPr>
              <w:spacing w:after="0"/>
              <w:rPr>
                <w:sz w:val="2"/>
                <w:szCs w:val="2"/>
                <w:color w:val="auto"/>
              </w:rPr>
            </w:pPr>
          </w:p>
        </w:tc>
        <w:tc>
          <w:tcPr>
            <w:tcW w:w="8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tcBorders>
            <w:shd w:val="clear" w:color="auto" w:fill="DCE2EF"/>
          </w:tcPr>
          <w:p>
            <w:pPr>
              <w:spacing w:after="0"/>
              <w:rPr>
                <w:sz w:val="2"/>
                <w:szCs w:val="2"/>
                <w:color w:val="auto"/>
              </w:rPr>
            </w:pPr>
          </w:p>
        </w:tc>
        <w:tc>
          <w:tcPr>
            <w:tcW w:w="400" w:type="dxa"/>
            <w:vAlign w:val="bottom"/>
            <w:tcBorders>
              <w:top w:val="single" w:sz="8" w:color="DCE2EF"/>
            </w:tcBorders>
            <w:shd w:val="clear" w:color="auto" w:fill="DCE2EF"/>
          </w:tcPr>
          <w:p>
            <w:pPr>
              <w:spacing w:after="0"/>
              <w:rPr>
                <w:sz w:val="2"/>
                <w:szCs w:val="2"/>
                <w:color w:val="auto"/>
              </w:rPr>
            </w:pPr>
          </w:p>
        </w:tc>
        <w:tc>
          <w:tcPr>
            <w:tcW w:w="26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80" w:type="dxa"/>
            <w:vAlign w:val="bottom"/>
            <w:tcBorders>
              <w:top w:val="single" w:sz="8" w:color="DCE2EF"/>
            </w:tcBorders>
            <w:shd w:val="clear" w:color="auto" w:fill="DCE2EF"/>
          </w:tcPr>
          <w:p>
            <w:pPr>
              <w:spacing w:after="0"/>
              <w:rPr>
                <w:sz w:val="2"/>
                <w:szCs w:val="2"/>
                <w:color w:val="auto"/>
              </w:rPr>
            </w:pPr>
          </w:p>
        </w:tc>
        <w:tc>
          <w:tcPr>
            <w:tcW w:w="66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tcBorders>
            <w:shd w:val="clear" w:color="auto" w:fill="DCE2EF"/>
          </w:tcPr>
          <w:p>
            <w:pPr>
              <w:spacing w:after="0"/>
              <w:rPr>
                <w:sz w:val="2"/>
                <w:szCs w:val="2"/>
                <w:color w:val="auto"/>
              </w:rPr>
            </w:pPr>
          </w:p>
        </w:tc>
        <w:tc>
          <w:tcPr>
            <w:tcW w:w="126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88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2140" w:type="dxa"/>
            <w:vAlign w:val="bottom"/>
            <w:tcBorders>
              <w:top w:val="single" w:sz="8" w:color="DCE2EF"/>
            </w:tcBorders>
            <w:shd w:val="clear" w:color="auto" w:fill="DCE2E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tcPr>
          <w:p>
            <w:pPr>
              <w:ind w:left="20"/>
              <w:spacing w:after="0" w:line="189"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6"/>
                <w:szCs w:val="16"/>
                <w:color w:val="auto"/>
              </w:rPr>
            </w:pPr>
          </w:p>
        </w:tc>
        <w:tc>
          <w:tcPr>
            <w:tcW w:w="4620" w:type="dxa"/>
            <w:vAlign w:val="bottom"/>
            <w:gridSpan w:val="37"/>
          </w:tcPr>
          <w:p>
            <w:pPr>
              <w:spacing w:after="0" w:line="189" w:lineRule="exact"/>
              <w:rPr>
                <w:rFonts w:ascii="Arial" w:cs="Arial" w:eastAsia="Arial" w:hAnsi="Arial"/>
                <w:sz w:val="18"/>
                <w:szCs w:val="18"/>
                <w:color w:val="0000FF"/>
              </w:rPr>
            </w:pPr>
            <w:hyperlink r:id="rId166">
              <w:r>
                <w:rPr>
                  <w:rFonts w:ascii="Arial" w:cs="Arial" w:eastAsia="Arial" w:hAnsi="Arial"/>
                  <w:sz w:val="18"/>
                  <w:szCs w:val="18"/>
                  <w:color w:val="0000FF"/>
                </w:rPr>
                <w:t>Description of Registrant’s Securities</w:t>
              </w:r>
            </w:hyperlink>
          </w:p>
        </w:tc>
        <w:tc>
          <w:tcPr>
            <w:tcW w:w="78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9"/>
              </w:rPr>
              <w:t>10-K</w:t>
            </w:r>
          </w:p>
        </w:tc>
        <w:tc>
          <w:tcPr>
            <w:tcW w:w="1260" w:type="dxa"/>
            <w:vAlign w:val="bottom"/>
          </w:tcPr>
          <w:p>
            <w:pPr>
              <w:jc w:val="center"/>
              <w:spacing w:after="0" w:line="189" w:lineRule="exact"/>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16"/>
                <w:szCs w:val="16"/>
                <w:color w:val="auto"/>
              </w:rPr>
            </w:pPr>
          </w:p>
        </w:tc>
        <w:tc>
          <w:tcPr>
            <w:tcW w:w="880" w:type="dxa"/>
            <w:vAlign w:val="bottom"/>
          </w:tcPr>
          <w:p>
            <w:pPr>
              <w:jc w:val="center"/>
              <w:spacing w:after="0" w:line="189" w:lineRule="exact"/>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16"/>
                <w:szCs w:val="16"/>
                <w:color w:val="auto"/>
              </w:rPr>
            </w:pPr>
          </w:p>
        </w:tc>
        <w:tc>
          <w:tcPr>
            <w:tcW w:w="2140" w:type="dxa"/>
            <w:vAlign w:val="bottom"/>
          </w:tcPr>
          <w:p>
            <w:pPr>
              <w:jc w:val="center"/>
              <w:spacing w:after="0" w:line="189" w:lineRule="exact"/>
              <w:rPr>
                <w:sz w:val="20"/>
                <w:szCs w:val="20"/>
                <w:color w:val="auto"/>
              </w:rPr>
            </w:pPr>
            <w:r>
              <w:rPr>
                <w:rFonts w:ascii="Arial" w:cs="Arial" w:eastAsia="Arial" w:hAnsi="Arial"/>
                <w:sz w:val="18"/>
                <w:szCs w:val="18"/>
                <w:color w:val="auto"/>
                <w:w w:val="99"/>
              </w:rPr>
              <w:t>December 17, 2020</w:t>
            </w: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shd w:val="clear" w:color="auto" w:fill="DCE2EF"/>
          </w:tcPr>
          <w:p>
            <w:pPr>
              <w:ind w:left="20"/>
              <w:spacing w:after="0" w:line="189" w:lineRule="exact"/>
              <w:rPr>
                <w:sz w:val="20"/>
                <w:szCs w:val="20"/>
                <w:color w:val="auto"/>
              </w:rPr>
            </w:pPr>
            <w:r>
              <w:rPr>
                <w:rFonts w:ascii="Arial" w:cs="Arial" w:eastAsia="Arial" w:hAnsi="Arial"/>
                <w:sz w:val="18"/>
                <w:szCs w:val="18"/>
                <w:color w:val="auto"/>
              </w:rPr>
              <w:t>10.1</w:t>
            </w:r>
          </w:p>
        </w:tc>
        <w:tc>
          <w:tcPr>
            <w:tcW w:w="120" w:type="dxa"/>
            <w:vAlign w:val="bottom"/>
            <w:tcBorders>
              <w:right w:val="single" w:sz="8" w:color="DCE2EF"/>
            </w:tcBorders>
            <w:shd w:val="clear" w:color="auto" w:fill="DCE2EF"/>
          </w:tcPr>
          <w:p>
            <w:pPr>
              <w:spacing w:after="0"/>
              <w:rPr>
                <w:sz w:val="16"/>
                <w:szCs w:val="16"/>
                <w:color w:val="auto"/>
              </w:rPr>
            </w:pPr>
          </w:p>
        </w:tc>
        <w:tc>
          <w:tcPr>
            <w:tcW w:w="4620" w:type="dxa"/>
            <w:vAlign w:val="bottom"/>
            <w:gridSpan w:val="37"/>
            <w:shd w:val="clear" w:color="auto" w:fill="DCE2EF"/>
          </w:tcPr>
          <w:p>
            <w:pPr>
              <w:spacing w:after="0" w:line="189" w:lineRule="exact"/>
              <w:rPr>
                <w:rFonts w:ascii="Arial" w:cs="Arial" w:eastAsia="Arial" w:hAnsi="Arial"/>
                <w:sz w:val="18"/>
                <w:szCs w:val="18"/>
                <w:color w:val="0000FF"/>
              </w:rPr>
            </w:pPr>
            <w:hyperlink r:id="rId167">
              <w:r>
                <w:rPr>
                  <w:rFonts w:ascii="Arial" w:cs="Arial" w:eastAsia="Arial" w:hAnsi="Arial"/>
                  <w:sz w:val="18"/>
                  <w:szCs w:val="18"/>
                  <w:color w:val="0000FF"/>
                </w:rPr>
                <w:t>Credit Agreement, dated as of September 1, 2017, by</w:t>
              </w:r>
            </w:hyperlink>
          </w:p>
        </w:tc>
        <w:tc>
          <w:tcPr>
            <w:tcW w:w="780" w:type="dxa"/>
            <w:vAlign w:val="bottom"/>
            <w:gridSpan w:val="2"/>
            <w:shd w:val="clear" w:color="auto" w:fill="DCE2EF"/>
          </w:tcPr>
          <w:p>
            <w:pPr>
              <w:jc w:val="center"/>
              <w:ind w:right="100"/>
              <w:spacing w:after="0" w:line="189" w:lineRule="exact"/>
              <w:rPr>
                <w:sz w:val="20"/>
                <w:szCs w:val="20"/>
                <w:color w:val="auto"/>
              </w:rPr>
            </w:pPr>
            <w:r>
              <w:rPr>
                <w:rFonts w:ascii="Arial" w:cs="Arial" w:eastAsia="Arial" w:hAnsi="Arial"/>
                <w:sz w:val="18"/>
                <w:szCs w:val="18"/>
                <w:color w:val="auto"/>
                <w:w w:val="99"/>
              </w:rPr>
              <w:t>8-K</w:t>
            </w:r>
          </w:p>
        </w:tc>
        <w:tc>
          <w:tcPr>
            <w:tcW w:w="126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001-08929</w:t>
            </w:r>
          </w:p>
        </w:tc>
        <w:tc>
          <w:tcPr>
            <w:tcW w:w="100" w:type="dxa"/>
            <w:vAlign w:val="bottom"/>
            <w:shd w:val="clear" w:color="auto" w:fill="DCE2EF"/>
          </w:tcPr>
          <w:p>
            <w:pPr>
              <w:spacing w:after="0"/>
              <w:rPr>
                <w:sz w:val="16"/>
                <w:szCs w:val="16"/>
                <w:color w:val="auto"/>
              </w:rPr>
            </w:pPr>
          </w:p>
        </w:tc>
        <w:tc>
          <w:tcPr>
            <w:tcW w:w="88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rPr>
              <w:t>10.2</w:t>
            </w:r>
          </w:p>
        </w:tc>
        <w:tc>
          <w:tcPr>
            <w:tcW w:w="100" w:type="dxa"/>
            <w:vAlign w:val="bottom"/>
            <w:shd w:val="clear" w:color="auto" w:fill="DCE2EF"/>
          </w:tcPr>
          <w:p>
            <w:pPr>
              <w:spacing w:after="0"/>
              <w:rPr>
                <w:sz w:val="16"/>
                <w:szCs w:val="16"/>
                <w:color w:val="auto"/>
              </w:rPr>
            </w:pPr>
          </w:p>
        </w:tc>
        <w:tc>
          <w:tcPr>
            <w:tcW w:w="214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rPr>
              <w:t>September 8, 2017</w:t>
            </w:r>
          </w:p>
        </w:tc>
        <w:tc>
          <w:tcPr>
            <w:tcW w:w="0" w:type="dxa"/>
            <w:vAlign w:val="bottom"/>
          </w:tcPr>
          <w:p>
            <w:pPr>
              <w:spacing w:after="0"/>
              <w:rPr>
                <w:sz w:val="1"/>
                <w:szCs w:val="1"/>
                <w:color w:val="auto"/>
              </w:rPr>
            </w:pPr>
          </w:p>
        </w:tc>
      </w:tr>
      <w:tr>
        <w:trPr>
          <w:trHeight w:val="156"/>
        </w:trPr>
        <w:tc>
          <w:tcPr>
            <w:tcW w:w="124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right w:val="single" w:sz="8" w:color="DCE2EF"/>
            </w:tcBorders>
            <w:shd w:val="clear" w:color="auto" w:fill="DCE2EF"/>
          </w:tcPr>
          <w:p>
            <w:pPr>
              <w:spacing w:after="0"/>
              <w:rPr>
                <w:sz w:val="13"/>
                <w:szCs w:val="13"/>
                <w:color w:val="auto"/>
              </w:rPr>
            </w:pPr>
          </w:p>
        </w:tc>
        <w:tc>
          <w:tcPr>
            <w:tcW w:w="4320" w:type="dxa"/>
            <w:vAlign w:val="bottom"/>
            <w:tcBorders>
              <w:top w:val="single" w:sz="8" w:color="0000FF"/>
            </w:tcBorders>
            <w:gridSpan w:val="27"/>
            <w:shd w:val="clear" w:color="auto" w:fill="DCE2EF"/>
          </w:tcPr>
          <w:p>
            <w:pPr>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and among ABM Industries Incorporated, a Delaware</w:t>
              </w:r>
            </w:hyperlink>
          </w:p>
        </w:tc>
        <w:tc>
          <w:tcPr>
            <w:tcW w:w="20" w:type="dxa"/>
            <w:vAlign w:val="bottom"/>
            <w:tcBorders>
              <w:top w:val="single" w:sz="8" w:color="DCE2EF"/>
            </w:tcBorders>
            <w:shd w:val="clear" w:color="auto" w:fill="DCE2EF"/>
          </w:tcPr>
          <w:p>
            <w:pPr>
              <w:spacing w:after="0"/>
              <w:rPr>
                <w:sz w:val="13"/>
                <w:szCs w:val="13"/>
                <w:color w:val="auto"/>
              </w:rPr>
            </w:pPr>
          </w:p>
        </w:tc>
        <w:tc>
          <w:tcPr>
            <w:tcW w:w="60" w:type="dxa"/>
            <w:vAlign w:val="bottom"/>
            <w:tcBorders>
              <w:top w:val="single" w:sz="8" w:color="DCE2EF"/>
            </w:tcBorders>
            <w:gridSpan w:val="2"/>
            <w:shd w:val="clear" w:color="auto" w:fill="DCE2EF"/>
          </w:tcPr>
          <w:p>
            <w:pPr>
              <w:spacing w:after="0"/>
              <w:rPr>
                <w:sz w:val="13"/>
                <w:szCs w:val="13"/>
                <w:color w:val="auto"/>
              </w:rPr>
            </w:pPr>
          </w:p>
        </w:tc>
        <w:tc>
          <w:tcPr>
            <w:tcW w:w="60" w:type="dxa"/>
            <w:vAlign w:val="bottom"/>
            <w:tcBorders>
              <w:top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gridSpan w:val="2"/>
            <w:shd w:val="clear" w:color="auto" w:fill="DCE2EF"/>
          </w:tcPr>
          <w:p>
            <w:pPr>
              <w:spacing w:after="0"/>
              <w:rPr>
                <w:sz w:val="13"/>
                <w:szCs w:val="13"/>
                <w:color w:val="auto"/>
              </w:rPr>
            </w:pPr>
          </w:p>
        </w:tc>
        <w:tc>
          <w:tcPr>
            <w:tcW w:w="66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tcBorders>
            <w:shd w:val="clear" w:color="auto" w:fill="DCE2EF"/>
          </w:tcPr>
          <w:p>
            <w:pPr>
              <w:spacing w:after="0"/>
              <w:rPr>
                <w:sz w:val="13"/>
                <w:szCs w:val="13"/>
                <w:color w:val="auto"/>
              </w:rPr>
            </w:pPr>
          </w:p>
        </w:tc>
        <w:tc>
          <w:tcPr>
            <w:tcW w:w="126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88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Borders>
              <w:top w:val="single" w:sz="8" w:color="DCE2EF"/>
              <w:bottom w:val="single" w:sz="8" w:color="DCE2EF"/>
            </w:tcBorders>
            <w:shd w:val="clear" w:color="auto" w:fill="DCE2EF"/>
          </w:tcPr>
          <w:p>
            <w:pPr>
              <w:spacing w:after="0"/>
              <w:rPr>
                <w:sz w:val="13"/>
                <w:szCs w:val="13"/>
                <w:color w:val="auto"/>
              </w:rPr>
            </w:pPr>
          </w:p>
        </w:tc>
        <w:tc>
          <w:tcPr>
            <w:tcW w:w="120" w:type="dxa"/>
            <w:vAlign w:val="bottom"/>
            <w:tcBorders>
              <w:top w:val="single" w:sz="8" w:color="DCE2EF"/>
              <w:bottom w:val="single" w:sz="8" w:color="DCE2EF"/>
              <w:right w:val="single" w:sz="8" w:color="DCE2EF"/>
            </w:tcBorders>
            <w:shd w:val="clear" w:color="auto" w:fill="DCE2EF"/>
          </w:tcPr>
          <w:p>
            <w:pPr>
              <w:spacing w:after="0"/>
              <w:rPr>
                <w:sz w:val="13"/>
                <w:szCs w:val="13"/>
                <w:color w:val="auto"/>
              </w:rPr>
            </w:pPr>
          </w:p>
        </w:tc>
        <w:tc>
          <w:tcPr>
            <w:tcW w:w="4020" w:type="dxa"/>
            <w:vAlign w:val="bottom"/>
            <w:tcBorders>
              <w:top w:val="single" w:sz="8" w:color="0000FF"/>
              <w:bottom w:val="single" w:sz="8" w:color="0000FF"/>
            </w:tcBorders>
            <w:gridSpan w:val="14"/>
            <w:shd w:val="clear" w:color="auto" w:fill="DCE2EF"/>
          </w:tcPr>
          <w:p>
            <w:pPr>
              <w:spacing w:after="0" w:line="156" w:lineRule="exact"/>
              <w:rPr>
                <w:rFonts w:ascii="Arial" w:cs="Arial" w:eastAsia="Arial" w:hAnsi="Arial"/>
                <w:sz w:val="18"/>
                <w:szCs w:val="18"/>
                <w:color w:val="0000FF"/>
                <w:w w:val="99"/>
              </w:rPr>
            </w:pPr>
            <w:hyperlink r:id="rId167">
              <w:r>
                <w:rPr>
                  <w:rFonts w:ascii="Arial" w:cs="Arial" w:eastAsia="Arial" w:hAnsi="Arial"/>
                  <w:sz w:val="18"/>
                  <w:szCs w:val="18"/>
                  <w:color w:val="0000FF"/>
                  <w:w w:val="99"/>
                </w:rPr>
                <w:t>corporation, certain subsidiaries of ABM Industries</w:t>
              </w:r>
            </w:hyperlink>
          </w:p>
        </w:tc>
        <w:tc>
          <w:tcPr>
            <w:tcW w:w="240" w:type="dxa"/>
            <w:vAlign w:val="bottom"/>
            <w:tcBorders>
              <w:top w:val="single" w:sz="8" w:color="0000FF"/>
              <w:bottom w:val="single" w:sz="8" w:color="DCE2EF"/>
            </w:tcBorders>
            <w:gridSpan w:val="10"/>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4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6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6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10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660" w:type="dxa"/>
            <w:vAlign w:val="bottom"/>
            <w:tcBorders>
              <w:top w:val="single" w:sz="8" w:color="DCE2EF"/>
              <w:bottom w:val="single" w:sz="8" w:color="DCE2EF"/>
            </w:tcBorders>
            <w:shd w:val="clear" w:color="auto" w:fill="DCE2EF"/>
          </w:tcPr>
          <w:p>
            <w:pPr>
              <w:spacing w:after="0"/>
              <w:rPr>
                <w:sz w:val="13"/>
                <w:szCs w:val="13"/>
                <w:color w:val="auto"/>
              </w:rPr>
            </w:pPr>
          </w:p>
        </w:tc>
        <w:tc>
          <w:tcPr>
            <w:tcW w:w="120" w:type="dxa"/>
            <w:vAlign w:val="bottom"/>
            <w:tcBorders>
              <w:top w:val="single" w:sz="8" w:color="DCE2EF"/>
              <w:bottom w:val="single" w:sz="8" w:color="DCE2EF"/>
            </w:tcBorders>
            <w:shd w:val="clear" w:color="auto" w:fill="DCE2EF"/>
          </w:tcPr>
          <w:p>
            <w:pPr>
              <w:spacing w:after="0"/>
              <w:rPr>
                <w:sz w:val="13"/>
                <w:szCs w:val="13"/>
                <w:color w:val="auto"/>
              </w:rPr>
            </w:pPr>
          </w:p>
        </w:tc>
        <w:tc>
          <w:tcPr>
            <w:tcW w:w="1260" w:type="dxa"/>
            <w:vAlign w:val="bottom"/>
            <w:tcBorders>
              <w:top w:val="single" w:sz="8" w:color="DCE2EF"/>
              <w:bottom w:val="single" w:sz="8" w:color="DCE2EF"/>
            </w:tcBorders>
            <w:shd w:val="clear" w:color="auto" w:fill="DCE2EF"/>
          </w:tcPr>
          <w:p>
            <w:pPr>
              <w:spacing w:after="0"/>
              <w:rPr>
                <w:sz w:val="13"/>
                <w:szCs w:val="13"/>
                <w:color w:val="auto"/>
              </w:rPr>
            </w:pPr>
          </w:p>
        </w:tc>
        <w:tc>
          <w:tcPr>
            <w:tcW w:w="100" w:type="dxa"/>
            <w:vAlign w:val="bottom"/>
            <w:tcBorders>
              <w:top w:val="single" w:sz="8" w:color="DCE2EF"/>
              <w:bottom w:val="single" w:sz="8" w:color="DCE2EF"/>
            </w:tcBorders>
            <w:shd w:val="clear" w:color="auto" w:fill="DCE2EF"/>
          </w:tcPr>
          <w:p>
            <w:pPr>
              <w:spacing w:after="0"/>
              <w:rPr>
                <w:sz w:val="13"/>
                <w:szCs w:val="13"/>
                <w:color w:val="auto"/>
              </w:rPr>
            </w:pPr>
          </w:p>
        </w:tc>
        <w:tc>
          <w:tcPr>
            <w:tcW w:w="880" w:type="dxa"/>
            <w:vAlign w:val="bottom"/>
            <w:tcBorders>
              <w:top w:val="single" w:sz="8" w:color="DCE2EF"/>
              <w:bottom w:val="single" w:sz="8" w:color="DCE2EF"/>
            </w:tcBorders>
            <w:shd w:val="clear" w:color="auto" w:fill="DCE2EF"/>
          </w:tcPr>
          <w:p>
            <w:pPr>
              <w:spacing w:after="0"/>
              <w:rPr>
                <w:sz w:val="13"/>
                <w:szCs w:val="13"/>
                <w:color w:val="auto"/>
              </w:rPr>
            </w:pPr>
          </w:p>
        </w:tc>
        <w:tc>
          <w:tcPr>
            <w:tcW w:w="100" w:type="dxa"/>
            <w:vAlign w:val="bottom"/>
            <w:tcBorders>
              <w:top w:val="single" w:sz="8" w:color="DCE2EF"/>
              <w:bottom w:val="single" w:sz="8" w:color="DCE2EF"/>
            </w:tcBorders>
            <w:shd w:val="clear" w:color="auto" w:fill="DCE2EF"/>
          </w:tcPr>
          <w:p>
            <w:pPr>
              <w:spacing w:after="0"/>
              <w:rPr>
                <w:sz w:val="13"/>
                <w:szCs w:val="13"/>
                <w:color w:val="auto"/>
              </w:rPr>
            </w:pPr>
          </w:p>
        </w:tc>
        <w:tc>
          <w:tcPr>
            <w:tcW w:w="2140" w:type="dxa"/>
            <w:vAlign w:val="bottom"/>
            <w:tcBorders>
              <w:top w:val="single" w:sz="8" w:color="DCE2EF"/>
              <w:bottom w:val="single" w:sz="8" w:color="DCE2EF"/>
            </w:tcBorders>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shd w:val="clear" w:color="auto" w:fill="DCE2EF"/>
          </w:tcPr>
          <w:p>
            <w:pPr>
              <w:spacing w:after="0"/>
              <w:rPr>
                <w:sz w:val="13"/>
                <w:szCs w:val="13"/>
                <w:color w:val="auto"/>
              </w:rPr>
            </w:pPr>
          </w:p>
        </w:tc>
        <w:tc>
          <w:tcPr>
            <w:tcW w:w="120" w:type="dxa"/>
            <w:vAlign w:val="bottom"/>
            <w:tcBorders>
              <w:right w:val="single" w:sz="8" w:color="DCE2EF"/>
            </w:tcBorders>
            <w:shd w:val="clear" w:color="auto" w:fill="DCE2EF"/>
          </w:tcPr>
          <w:p>
            <w:pPr>
              <w:spacing w:after="0"/>
              <w:rPr>
                <w:sz w:val="13"/>
                <w:szCs w:val="13"/>
                <w:color w:val="auto"/>
              </w:rPr>
            </w:pPr>
          </w:p>
        </w:tc>
        <w:tc>
          <w:tcPr>
            <w:tcW w:w="4620" w:type="dxa"/>
            <w:vAlign w:val="bottom"/>
            <w:gridSpan w:val="37"/>
            <w:shd w:val="clear" w:color="auto" w:fill="DCE2EF"/>
          </w:tcPr>
          <w:p>
            <w:pPr>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Incorporated from time to time party thereto, the lenders</w:t>
              </w:r>
            </w:hyperlink>
          </w:p>
        </w:tc>
        <w:tc>
          <w:tcPr>
            <w:tcW w:w="66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126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88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2140" w:type="dxa"/>
            <w:vAlign w:val="bottom"/>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right w:val="single" w:sz="8" w:color="DCE2EF"/>
            </w:tcBorders>
            <w:shd w:val="clear" w:color="auto" w:fill="DCE2EF"/>
          </w:tcPr>
          <w:p>
            <w:pPr>
              <w:spacing w:after="0"/>
              <w:rPr>
                <w:sz w:val="13"/>
                <w:szCs w:val="13"/>
                <w:color w:val="auto"/>
              </w:rPr>
            </w:pPr>
          </w:p>
        </w:tc>
        <w:tc>
          <w:tcPr>
            <w:tcW w:w="4460" w:type="dxa"/>
            <w:vAlign w:val="bottom"/>
            <w:tcBorders>
              <w:top w:val="single" w:sz="8" w:color="0000FF"/>
            </w:tcBorders>
            <w:gridSpan w:val="32"/>
            <w:shd w:val="clear" w:color="auto" w:fill="DCE2EF"/>
          </w:tcPr>
          <w:p>
            <w:pPr>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from time to time party thereto and Bank of America,</w:t>
              </w:r>
            </w:hyperlink>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gridSpan w:val="2"/>
            <w:shd w:val="clear" w:color="auto" w:fill="DCE2EF"/>
          </w:tcPr>
          <w:p>
            <w:pPr>
              <w:spacing w:after="0"/>
              <w:rPr>
                <w:sz w:val="13"/>
                <w:szCs w:val="13"/>
                <w:color w:val="auto"/>
              </w:rPr>
            </w:pPr>
          </w:p>
        </w:tc>
        <w:tc>
          <w:tcPr>
            <w:tcW w:w="66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tcBorders>
            <w:shd w:val="clear" w:color="auto" w:fill="DCE2EF"/>
          </w:tcPr>
          <w:p>
            <w:pPr>
              <w:spacing w:after="0"/>
              <w:rPr>
                <w:sz w:val="13"/>
                <w:szCs w:val="13"/>
                <w:color w:val="auto"/>
              </w:rPr>
            </w:pPr>
          </w:p>
        </w:tc>
        <w:tc>
          <w:tcPr>
            <w:tcW w:w="126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88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right w:val="single" w:sz="8" w:color="DCE2EF"/>
            </w:tcBorders>
            <w:shd w:val="clear" w:color="auto" w:fill="DCE2EF"/>
          </w:tcPr>
          <w:p>
            <w:pPr>
              <w:spacing w:after="0"/>
              <w:rPr>
                <w:sz w:val="13"/>
                <w:szCs w:val="13"/>
                <w:color w:val="auto"/>
              </w:rPr>
            </w:pPr>
          </w:p>
        </w:tc>
        <w:tc>
          <w:tcPr>
            <w:tcW w:w="4180" w:type="dxa"/>
            <w:vAlign w:val="bottom"/>
            <w:tcBorders>
              <w:top w:val="single" w:sz="8" w:color="0000FF"/>
            </w:tcBorders>
            <w:gridSpan w:val="20"/>
            <w:shd w:val="clear" w:color="auto" w:fill="DCE2EF"/>
          </w:tcPr>
          <w:p>
            <w:pPr>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N.A., as administrative agent</w:t>
              </w:r>
            </w:hyperlink>
          </w:p>
        </w:tc>
        <w:tc>
          <w:tcPr>
            <w:tcW w:w="40" w:type="dxa"/>
            <w:vAlign w:val="bottom"/>
            <w:tcBorders>
              <w:top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40" w:type="dxa"/>
            <w:vAlign w:val="bottom"/>
            <w:tcBorders>
              <w:top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40" w:type="dxa"/>
            <w:vAlign w:val="bottom"/>
            <w:tcBorders>
              <w:top w:val="single" w:sz="8" w:color="DCE2EF"/>
            </w:tcBorders>
            <w:gridSpan w:val="2"/>
            <w:shd w:val="clear" w:color="auto" w:fill="DCE2EF"/>
          </w:tcPr>
          <w:p>
            <w:pPr>
              <w:spacing w:after="0"/>
              <w:rPr>
                <w:sz w:val="13"/>
                <w:szCs w:val="13"/>
                <w:color w:val="auto"/>
              </w:rPr>
            </w:pPr>
          </w:p>
        </w:tc>
        <w:tc>
          <w:tcPr>
            <w:tcW w:w="60" w:type="dxa"/>
            <w:vAlign w:val="bottom"/>
            <w:tcBorders>
              <w:top w:val="single" w:sz="8" w:color="DCE2EF"/>
            </w:tcBorders>
            <w:gridSpan w:val="2"/>
            <w:shd w:val="clear" w:color="auto" w:fill="DCE2EF"/>
          </w:tcPr>
          <w:p>
            <w:pPr>
              <w:spacing w:after="0"/>
              <w:rPr>
                <w:sz w:val="13"/>
                <w:szCs w:val="13"/>
                <w:color w:val="auto"/>
              </w:rPr>
            </w:pPr>
          </w:p>
        </w:tc>
        <w:tc>
          <w:tcPr>
            <w:tcW w:w="80" w:type="dxa"/>
            <w:vAlign w:val="bottom"/>
            <w:tcBorders>
              <w:top w:val="single" w:sz="8" w:color="DCE2EF"/>
            </w:tcBorders>
            <w:gridSpan w:val="3"/>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gridSpan w:val="2"/>
            <w:shd w:val="clear" w:color="auto" w:fill="DCE2EF"/>
          </w:tcPr>
          <w:p>
            <w:pPr>
              <w:spacing w:after="0"/>
              <w:rPr>
                <w:sz w:val="13"/>
                <w:szCs w:val="13"/>
                <w:color w:val="auto"/>
              </w:rPr>
            </w:pPr>
          </w:p>
        </w:tc>
        <w:tc>
          <w:tcPr>
            <w:tcW w:w="66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tcBorders>
            <w:shd w:val="clear" w:color="auto" w:fill="DCE2EF"/>
          </w:tcPr>
          <w:p>
            <w:pPr>
              <w:spacing w:after="0"/>
              <w:rPr>
                <w:sz w:val="13"/>
                <w:szCs w:val="13"/>
                <w:color w:val="auto"/>
              </w:rPr>
            </w:pPr>
          </w:p>
        </w:tc>
        <w:tc>
          <w:tcPr>
            <w:tcW w:w="126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88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40" w:type="dxa"/>
            <w:vAlign w:val="bottom"/>
            <w:tcBorders>
              <w:top w:val="single" w:sz="8" w:color="DCE2EF"/>
            </w:tcBorders>
            <w:shd w:val="clear" w:color="auto" w:fill="DCE2EF"/>
          </w:tcPr>
          <w:p>
            <w:pPr>
              <w:spacing w:after="0" w:line="20" w:lineRule="exact"/>
              <w:rPr>
                <w:sz w:val="1"/>
                <w:szCs w:val="1"/>
                <w:color w:val="auto"/>
              </w:rPr>
            </w:pPr>
          </w:p>
        </w:tc>
        <w:tc>
          <w:tcPr>
            <w:tcW w:w="120" w:type="dxa"/>
            <w:vAlign w:val="bottom"/>
            <w:tcBorders>
              <w:top w:val="single" w:sz="8" w:color="DCE2EF"/>
              <w:right w:val="single" w:sz="8" w:color="DCE2EF"/>
            </w:tcBorders>
            <w:shd w:val="clear" w:color="auto" w:fill="DCE2EF"/>
          </w:tcPr>
          <w:p>
            <w:pPr>
              <w:spacing w:after="0" w:line="20" w:lineRule="exact"/>
              <w:rPr>
                <w:sz w:val="1"/>
                <w:szCs w:val="1"/>
                <w:color w:val="auto"/>
              </w:rPr>
            </w:pPr>
          </w:p>
        </w:tc>
        <w:tc>
          <w:tcPr>
            <w:tcW w:w="1620" w:type="dxa"/>
            <w:vAlign w:val="bottom"/>
            <w:tcBorders>
              <w:top w:val="single" w:sz="8" w:color="0000FF"/>
            </w:tcBorders>
            <w:shd w:val="clear" w:color="auto" w:fill="DCE2EF"/>
          </w:tcPr>
          <w:p>
            <w:pPr>
              <w:spacing w:after="0" w:line="20" w:lineRule="exact"/>
              <w:rPr>
                <w:sz w:val="1"/>
                <w:szCs w:val="1"/>
                <w:color w:val="auto"/>
              </w:rPr>
            </w:pPr>
          </w:p>
        </w:tc>
        <w:tc>
          <w:tcPr>
            <w:tcW w:w="680" w:type="dxa"/>
            <w:vAlign w:val="bottom"/>
            <w:tcBorders>
              <w:top w:val="single" w:sz="8" w:color="0000F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48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120" w:type="dxa"/>
            <w:vAlign w:val="bottom"/>
            <w:tcBorders>
              <w:top w:val="single" w:sz="8" w:color="DCE2EF"/>
            </w:tcBorders>
            <w:shd w:val="clear" w:color="auto" w:fill="DCE2EF"/>
          </w:tcPr>
          <w:p>
            <w:pPr>
              <w:spacing w:after="0" w:line="20" w:lineRule="exact"/>
              <w:rPr>
                <w:sz w:val="1"/>
                <w:szCs w:val="1"/>
                <w:color w:val="auto"/>
              </w:rPr>
            </w:pPr>
          </w:p>
        </w:tc>
        <w:tc>
          <w:tcPr>
            <w:tcW w:w="400" w:type="dxa"/>
            <w:vAlign w:val="bottom"/>
            <w:tcBorders>
              <w:top w:val="single" w:sz="8" w:color="DCE2EF"/>
            </w:tcBorders>
            <w:shd w:val="clear" w:color="auto" w:fill="DCE2EF"/>
          </w:tcPr>
          <w:p>
            <w:pPr>
              <w:spacing w:after="0" w:line="20" w:lineRule="exact"/>
              <w:rPr>
                <w:sz w:val="1"/>
                <w:szCs w:val="1"/>
                <w:color w:val="auto"/>
              </w:rPr>
            </w:pPr>
          </w:p>
        </w:tc>
        <w:tc>
          <w:tcPr>
            <w:tcW w:w="26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120" w:type="dxa"/>
            <w:vAlign w:val="bottom"/>
            <w:tcBorders>
              <w:top w:val="single" w:sz="8" w:color="DCE2EF"/>
            </w:tcBorders>
            <w:shd w:val="clear" w:color="auto" w:fill="DCE2EF"/>
          </w:tcPr>
          <w:p>
            <w:pPr>
              <w:spacing w:after="0" w:line="20" w:lineRule="exact"/>
              <w:rPr>
                <w:sz w:val="1"/>
                <w:szCs w:val="1"/>
                <w:color w:val="auto"/>
              </w:rPr>
            </w:pPr>
          </w:p>
        </w:tc>
        <w:tc>
          <w:tcPr>
            <w:tcW w:w="10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660" w:type="dxa"/>
            <w:vAlign w:val="bottom"/>
            <w:tcBorders>
              <w:top w:val="single" w:sz="8" w:color="DCE2EF"/>
            </w:tcBorders>
            <w:shd w:val="clear" w:color="auto" w:fill="DCE2EF"/>
          </w:tcPr>
          <w:p>
            <w:pPr>
              <w:spacing w:after="0" w:line="20" w:lineRule="exact"/>
              <w:rPr>
                <w:sz w:val="1"/>
                <w:szCs w:val="1"/>
                <w:color w:val="auto"/>
              </w:rPr>
            </w:pPr>
          </w:p>
        </w:tc>
        <w:tc>
          <w:tcPr>
            <w:tcW w:w="120" w:type="dxa"/>
            <w:vAlign w:val="bottom"/>
            <w:tcBorders>
              <w:top w:val="single" w:sz="8" w:color="DCE2EF"/>
            </w:tcBorders>
            <w:shd w:val="clear" w:color="auto" w:fill="DCE2EF"/>
          </w:tcPr>
          <w:p>
            <w:pPr>
              <w:spacing w:after="0" w:line="20" w:lineRule="exact"/>
              <w:rPr>
                <w:sz w:val="1"/>
                <w:szCs w:val="1"/>
                <w:color w:val="auto"/>
              </w:rPr>
            </w:pPr>
          </w:p>
        </w:tc>
        <w:tc>
          <w:tcPr>
            <w:tcW w:w="1260" w:type="dxa"/>
            <w:vAlign w:val="bottom"/>
            <w:tcBorders>
              <w:top w:val="single" w:sz="8" w:color="DCE2EF"/>
            </w:tcBorders>
            <w:shd w:val="clear" w:color="auto" w:fill="DCE2EF"/>
          </w:tcPr>
          <w:p>
            <w:pPr>
              <w:spacing w:after="0" w:line="20" w:lineRule="exact"/>
              <w:rPr>
                <w:sz w:val="1"/>
                <w:szCs w:val="1"/>
                <w:color w:val="auto"/>
              </w:rPr>
            </w:pPr>
          </w:p>
        </w:tc>
        <w:tc>
          <w:tcPr>
            <w:tcW w:w="100" w:type="dxa"/>
            <w:vAlign w:val="bottom"/>
            <w:tcBorders>
              <w:top w:val="single" w:sz="8" w:color="DCE2EF"/>
            </w:tcBorders>
            <w:shd w:val="clear" w:color="auto" w:fill="DCE2EF"/>
          </w:tcPr>
          <w:p>
            <w:pPr>
              <w:spacing w:after="0" w:line="20" w:lineRule="exact"/>
              <w:rPr>
                <w:sz w:val="1"/>
                <w:szCs w:val="1"/>
                <w:color w:val="auto"/>
              </w:rPr>
            </w:pPr>
          </w:p>
        </w:tc>
        <w:tc>
          <w:tcPr>
            <w:tcW w:w="880" w:type="dxa"/>
            <w:vAlign w:val="bottom"/>
            <w:tcBorders>
              <w:top w:val="single" w:sz="8" w:color="DCE2EF"/>
            </w:tcBorders>
            <w:shd w:val="clear" w:color="auto" w:fill="DCE2EF"/>
          </w:tcPr>
          <w:p>
            <w:pPr>
              <w:spacing w:after="0" w:line="20" w:lineRule="exact"/>
              <w:rPr>
                <w:sz w:val="1"/>
                <w:szCs w:val="1"/>
                <w:color w:val="auto"/>
              </w:rPr>
            </w:pPr>
          </w:p>
        </w:tc>
        <w:tc>
          <w:tcPr>
            <w:tcW w:w="100" w:type="dxa"/>
            <w:vAlign w:val="bottom"/>
            <w:tcBorders>
              <w:top w:val="single" w:sz="8" w:color="DCE2EF"/>
            </w:tcBorders>
            <w:shd w:val="clear" w:color="auto" w:fill="DCE2EF"/>
          </w:tcPr>
          <w:p>
            <w:pPr>
              <w:spacing w:after="0" w:line="20" w:lineRule="exact"/>
              <w:rPr>
                <w:sz w:val="1"/>
                <w:szCs w:val="1"/>
                <w:color w:val="auto"/>
              </w:rPr>
            </w:pPr>
          </w:p>
        </w:tc>
        <w:tc>
          <w:tcPr>
            <w:tcW w:w="2140" w:type="dxa"/>
            <w:vAlign w:val="bottom"/>
            <w:tcBorders>
              <w:top w:val="single" w:sz="8" w:color="DCE2EF"/>
            </w:tcBorders>
            <w:shd w:val="clear" w:color="auto" w:fill="DCE2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tcPr>
          <w:p>
            <w:pPr>
              <w:ind w:left="20"/>
              <w:spacing w:after="0" w:line="189"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6"/>
                <w:szCs w:val="16"/>
                <w:color w:val="auto"/>
              </w:rPr>
            </w:pPr>
          </w:p>
        </w:tc>
        <w:tc>
          <w:tcPr>
            <w:tcW w:w="4620" w:type="dxa"/>
            <w:vAlign w:val="bottom"/>
            <w:gridSpan w:val="37"/>
          </w:tcPr>
          <w:p>
            <w:pPr>
              <w:spacing w:after="0" w:line="189" w:lineRule="exact"/>
              <w:rPr>
                <w:rFonts w:ascii="Arial" w:cs="Arial" w:eastAsia="Arial" w:hAnsi="Arial"/>
                <w:sz w:val="18"/>
                <w:szCs w:val="18"/>
                <w:color w:val="0000FF"/>
              </w:rPr>
            </w:pPr>
            <w:hyperlink r:id="rId168">
              <w:r>
                <w:rPr>
                  <w:rFonts w:ascii="Arial" w:cs="Arial" w:eastAsia="Arial" w:hAnsi="Arial"/>
                  <w:sz w:val="18"/>
                  <w:szCs w:val="18"/>
                  <w:color w:val="0000FF"/>
                </w:rPr>
                <w:t>Letter Agreement, dated November 6, 2017, between</w:t>
              </w:r>
            </w:hyperlink>
          </w:p>
        </w:tc>
        <w:tc>
          <w:tcPr>
            <w:tcW w:w="78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9"/>
              </w:rPr>
              <w:t>10-K</w:t>
            </w:r>
          </w:p>
        </w:tc>
        <w:tc>
          <w:tcPr>
            <w:tcW w:w="1260" w:type="dxa"/>
            <w:vAlign w:val="bottom"/>
          </w:tcPr>
          <w:p>
            <w:pPr>
              <w:jc w:val="center"/>
              <w:spacing w:after="0" w:line="189" w:lineRule="exact"/>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16"/>
                <w:szCs w:val="16"/>
                <w:color w:val="auto"/>
              </w:rPr>
            </w:pPr>
          </w:p>
        </w:tc>
        <w:tc>
          <w:tcPr>
            <w:tcW w:w="880" w:type="dxa"/>
            <w:vAlign w:val="bottom"/>
          </w:tcPr>
          <w:p>
            <w:pPr>
              <w:jc w:val="center"/>
              <w:spacing w:after="0" w:line="189"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6"/>
                <w:szCs w:val="16"/>
                <w:color w:val="auto"/>
              </w:rPr>
            </w:pPr>
          </w:p>
        </w:tc>
        <w:tc>
          <w:tcPr>
            <w:tcW w:w="2140" w:type="dxa"/>
            <w:vAlign w:val="bottom"/>
          </w:tcPr>
          <w:p>
            <w:pPr>
              <w:jc w:val="center"/>
              <w:spacing w:after="0" w:line="189" w:lineRule="exact"/>
              <w:rPr>
                <w:sz w:val="20"/>
                <w:szCs w:val="20"/>
                <w:color w:val="auto"/>
              </w:rPr>
            </w:pPr>
            <w:r>
              <w:rPr>
                <w:rFonts w:ascii="Arial" w:cs="Arial" w:eastAsia="Arial" w:hAnsi="Arial"/>
                <w:sz w:val="18"/>
                <w:szCs w:val="18"/>
                <w:color w:val="auto"/>
                <w:w w:val="99"/>
              </w:rPr>
              <w:t>December 22, 2017</w:t>
            </w: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ABM Industries Incorporated and Bank of America,</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60" w:type="dxa"/>
            <w:vAlign w:val="bottom"/>
            <w:tcBorders>
              <w:top w:val="single" w:sz="8" w:color="0000FF"/>
            </w:tcBorders>
            <w:gridSpan w:val="15"/>
          </w:tcPr>
          <w:p>
            <w:pPr>
              <w:spacing w:after="0" w:line="156" w:lineRule="exact"/>
              <w:rPr>
                <w:rFonts w:ascii="Arial" w:cs="Arial" w:eastAsia="Arial" w:hAnsi="Arial"/>
                <w:sz w:val="18"/>
                <w:szCs w:val="18"/>
                <w:color w:val="0000FF"/>
                <w:w w:val="98"/>
              </w:rPr>
            </w:pPr>
            <w:hyperlink r:id="rId168">
              <w:r>
                <w:rPr>
                  <w:rFonts w:ascii="Arial" w:cs="Arial" w:eastAsia="Arial" w:hAnsi="Arial"/>
                  <w:sz w:val="18"/>
                  <w:szCs w:val="18"/>
                  <w:color w:val="0000FF"/>
                  <w:w w:val="98"/>
                </w:rPr>
                <w:t>N.A., as Swingline Lender with respect to the Credit</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Agreement dated as of September 1, 2017, among</w:t>
              </w:r>
            </w:hyperlink>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20" w:type="dxa"/>
            <w:vAlign w:val="bottom"/>
            <w:gridSpan w:val="37"/>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ABM Industries Incorporated, the Designated Borrowers</w:t>
              </w:r>
            </w:hyperlink>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50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party thereto, the Lenders party thereto and Bank of</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1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America, N.A., as administrative agent</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shd w:val="clear" w:color="auto" w:fill="DCE2EF"/>
          </w:tcPr>
          <w:p>
            <w:pPr>
              <w:ind w:left="20"/>
              <w:spacing w:after="0" w:line="189" w:lineRule="exact"/>
              <w:rPr>
                <w:sz w:val="20"/>
                <w:szCs w:val="20"/>
                <w:color w:val="auto"/>
              </w:rPr>
            </w:pPr>
            <w:r>
              <w:rPr>
                <w:rFonts w:ascii="Arial" w:cs="Arial" w:eastAsia="Arial" w:hAnsi="Arial"/>
                <w:sz w:val="18"/>
                <w:szCs w:val="18"/>
                <w:color w:val="auto"/>
              </w:rPr>
              <w:t>10.3</w:t>
            </w:r>
          </w:p>
        </w:tc>
        <w:tc>
          <w:tcPr>
            <w:tcW w:w="120" w:type="dxa"/>
            <w:vAlign w:val="bottom"/>
            <w:tcBorders>
              <w:right w:val="single" w:sz="8" w:color="DCE2EF"/>
            </w:tcBorders>
            <w:shd w:val="clear" w:color="auto" w:fill="DCE2EF"/>
          </w:tcPr>
          <w:p>
            <w:pPr>
              <w:spacing w:after="0"/>
              <w:rPr>
                <w:sz w:val="16"/>
                <w:szCs w:val="16"/>
                <w:color w:val="auto"/>
              </w:rPr>
            </w:pPr>
          </w:p>
        </w:tc>
        <w:tc>
          <w:tcPr>
            <w:tcW w:w="4620" w:type="dxa"/>
            <w:vAlign w:val="bottom"/>
            <w:gridSpan w:val="37"/>
            <w:shd w:val="clear" w:color="auto" w:fill="DCE2EF"/>
          </w:tcPr>
          <w:p>
            <w:pPr>
              <w:spacing w:after="0" w:line="189" w:lineRule="exact"/>
              <w:rPr>
                <w:rFonts w:ascii="Arial" w:cs="Arial" w:eastAsia="Arial" w:hAnsi="Arial"/>
                <w:sz w:val="18"/>
                <w:szCs w:val="18"/>
                <w:color w:val="0000FF"/>
              </w:rPr>
            </w:pPr>
            <w:hyperlink r:id="rId169">
              <w:r>
                <w:rPr>
                  <w:rFonts w:ascii="Arial" w:cs="Arial" w:eastAsia="Arial" w:hAnsi="Arial"/>
                  <w:sz w:val="18"/>
                  <w:szCs w:val="18"/>
                  <w:color w:val="0000FF"/>
                </w:rPr>
                <w:t>First Amendment, dated as of July 3, 2018, to the Credit</w:t>
              </w:r>
            </w:hyperlink>
          </w:p>
        </w:tc>
        <w:tc>
          <w:tcPr>
            <w:tcW w:w="780" w:type="dxa"/>
            <w:vAlign w:val="bottom"/>
            <w:gridSpan w:val="2"/>
            <w:shd w:val="clear" w:color="auto" w:fill="DCE2EF"/>
          </w:tcPr>
          <w:p>
            <w:pPr>
              <w:jc w:val="center"/>
              <w:ind w:right="100"/>
              <w:spacing w:after="0" w:line="189" w:lineRule="exact"/>
              <w:rPr>
                <w:sz w:val="20"/>
                <w:szCs w:val="20"/>
                <w:color w:val="auto"/>
              </w:rPr>
            </w:pPr>
            <w:r>
              <w:rPr>
                <w:rFonts w:ascii="Arial" w:cs="Arial" w:eastAsia="Arial" w:hAnsi="Arial"/>
                <w:sz w:val="18"/>
                <w:szCs w:val="18"/>
                <w:color w:val="auto"/>
                <w:w w:val="99"/>
              </w:rPr>
              <w:t>10-Q</w:t>
            </w:r>
          </w:p>
        </w:tc>
        <w:tc>
          <w:tcPr>
            <w:tcW w:w="126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001-08929</w:t>
            </w:r>
          </w:p>
        </w:tc>
        <w:tc>
          <w:tcPr>
            <w:tcW w:w="100" w:type="dxa"/>
            <w:vAlign w:val="bottom"/>
            <w:shd w:val="clear" w:color="auto" w:fill="DCE2EF"/>
          </w:tcPr>
          <w:p>
            <w:pPr>
              <w:spacing w:after="0"/>
              <w:rPr>
                <w:sz w:val="16"/>
                <w:szCs w:val="16"/>
                <w:color w:val="auto"/>
              </w:rPr>
            </w:pPr>
          </w:p>
        </w:tc>
        <w:tc>
          <w:tcPr>
            <w:tcW w:w="88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rPr>
              <w:t>10.1</w:t>
            </w:r>
          </w:p>
        </w:tc>
        <w:tc>
          <w:tcPr>
            <w:tcW w:w="100" w:type="dxa"/>
            <w:vAlign w:val="bottom"/>
            <w:shd w:val="clear" w:color="auto" w:fill="DCE2EF"/>
          </w:tcPr>
          <w:p>
            <w:pPr>
              <w:spacing w:after="0"/>
              <w:rPr>
                <w:sz w:val="16"/>
                <w:szCs w:val="16"/>
                <w:color w:val="auto"/>
              </w:rPr>
            </w:pPr>
          </w:p>
        </w:tc>
        <w:tc>
          <w:tcPr>
            <w:tcW w:w="214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rPr>
              <w:t>September 7, 2018</w:t>
            </w:r>
          </w:p>
        </w:tc>
        <w:tc>
          <w:tcPr>
            <w:tcW w:w="0" w:type="dxa"/>
            <w:vAlign w:val="bottom"/>
          </w:tcPr>
          <w:p>
            <w:pPr>
              <w:spacing w:after="0"/>
              <w:rPr>
                <w:sz w:val="1"/>
                <w:szCs w:val="1"/>
                <w:color w:val="auto"/>
              </w:rPr>
            </w:pPr>
          </w:p>
        </w:tc>
      </w:tr>
      <w:tr>
        <w:trPr>
          <w:trHeight w:val="155"/>
        </w:trPr>
        <w:tc>
          <w:tcPr>
            <w:tcW w:w="124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right w:val="single" w:sz="8" w:color="DCE2EF"/>
            </w:tcBorders>
            <w:shd w:val="clear" w:color="auto" w:fill="DCE2EF"/>
          </w:tcPr>
          <w:p>
            <w:pPr>
              <w:spacing w:after="0"/>
              <w:rPr>
                <w:sz w:val="13"/>
                <w:szCs w:val="13"/>
                <w:color w:val="auto"/>
              </w:rPr>
            </w:pPr>
          </w:p>
        </w:tc>
        <w:tc>
          <w:tcPr>
            <w:tcW w:w="4520" w:type="dxa"/>
            <w:vAlign w:val="bottom"/>
            <w:tcBorders>
              <w:top w:val="single" w:sz="8" w:color="0000FF"/>
            </w:tcBorders>
            <w:gridSpan w:val="35"/>
            <w:shd w:val="clear" w:color="auto" w:fill="DCE2EF"/>
          </w:tcPr>
          <w:p>
            <w:pPr>
              <w:spacing w:after="0" w:line="156" w:lineRule="exact"/>
              <w:rPr>
                <w:rFonts w:ascii="Arial" w:cs="Arial" w:eastAsia="Arial" w:hAnsi="Arial"/>
                <w:sz w:val="18"/>
                <w:szCs w:val="18"/>
                <w:color w:val="0000FF"/>
              </w:rPr>
            </w:pPr>
            <w:hyperlink r:id="rId169">
              <w:r>
                <w:rPr>
                  <w:rFonts w:ascii="Arial" w:cs="Arial" w:eastAsia="Arial" w:hAnsi="Arial"/>
                  <w:sz w:val="18"/>
                  <w:szCs w:val="18"/>
                  <w:color w:val="0000FF"/>
                </w:rPr>
                <w:t>Agreement dated September 1, 2017, by and among</w:t>
              </w:r>
            </w:hyperlink>
          </w:p>
        </w:tc>
        <w:tc>
          <w:tcPr>
            <w:tcW w:w="100" w:type="dxa"/>
            <w:vAlign w:val="bottom"/>
            <w:tcBorders>
              <w:top w:val="single" w:sz="8" w:color="DCE2EF"/>
            </w:tcBorders>
            <w:gridSpan w:val="2"/>
            <w:shd w:val="clear" w:color="auto" w:fill="DCE2EF"/>
          </w:tcPr>
          <w:p>
            <w:pPr>
              <w:spacing w:after="0"/>
              <w:rPr>
                <w:sz w:val="13"/>
                <w:szCs w:val="13"/>
                <w:color w:val="auto"/>
              </w:rPr>
            </w:pPr>
          </w:p>
        </w:tc>
        <w:tc>
          <w:tcPr>
            <w:tcW w:w="66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tcBorders>
            <w:shd w:val="clear" w:color="auto" w:fill="DCE2EF"/>
          </w:tcPr>
          <w:p>
            <w:pPr>
              <w:spacing w:after="0"/>
              <w:rPr>
                <w:sz w:val="13"/>
                <w:szCs w:val="13"/>
                <w:color w:val="auto"/>
              </w:rPr>
            </w:pPr>
          </w:p>
        </w:tc>
        <w:tc>
          <w:tcPr>
            <w:tcW w:w="126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88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Borders>
              <w:top w:val="single" w:sz="8" w:color="DCE2EF"/>
              <w:bottom w:val="single" w:sz="8" w:color="DCE2EF"/>
            </w:tcBorders>
            <w:shd w:val="clear" w:color="auto" w:fill="DCE2EF"/>
          </w:tcPr>
          <w:p>
            <w:pPr>
              <w:spacing w:after="0"/>
              <w:rPr>
                <w:sz w:val="13"/>
                <w:szCs w:val="13"/>
                <w:color w:val="auto"/>
              </w:rPr>
            </w:pPr>
          </w:p>
        </w:tc>
        <w:tc>
          <w:tcPr>
            <w:tcW w:w="120" w:type="dxa"/>
            <w:vAlign w:val="bottom"/>
            <w:tcBorders>
              <w:top w:val="single" w:sz="8" w:color="DCE2EF"/>
              <w:bottom w:val="single" w:sz="8" w:color="DCE2EF"/>
              <w:right w:val="single" w:sz="8" w:color="DCE2EF"/>
            </w:tcBorders>
            <w:shd w:val="clear" w:color="auto" w:fill="DCE2EF"/>
          </w:tcPr>
          <w:p>
            <w:pPr>
              <w:spacing w:after="0"/>
              <w:rPr>
                <w:sz w:val="13"/>
                <w:szCs w:val="13"/>
                <w:color w:val="auto"/>
              </w:rPr>
            </w:pPr>
          </w:p>
        </w:tc>
        <w:tc>
          <w:tcPr>
            <w:tcW w:w="4240" w:type="dxa"/>
            <w:vAlign w:val="bottom"/>
            <w:tcBorders>
              <w:top w:val="single" w:sz="8" w:color="0000FF"/>
              <w:bottom w:val="single" w:sz="8" w:color="0000FF"/>
            </w:tcBorders>
            <w:gridSpan w:val="23"/>
            <w:shd w:val="clear" w:color="auto" w:fill="DCE2EF"/>
          </w:tcPr>
          <w:p>
            <w:pPr>
              <w:spacing w:after="0" w:line="156" w:lineRule="exact"/>
              <w:rPr>
                <w:rFonts w:ascii="Arial" w:cs="Arial" w:eastAsia="Arial" w:hAnsi="Arial"/>
                <w:sz w:val="18"/>
                <w:szCs w:val="18"/>
                <w:color w:val="0000FF"/>
                <w:w w:val="98"/>
              </w:rPr>
            </w:pPr>
            <w:hyperlink r:id="rId169">
              <w:r>
                <w:rPr>
                  <w:rFonts w:ascii="Arial" w:cs="Arial" w:eastAsia="Arial" w:hAnsi="Arial"/>
                  <w:sz w:val="18"/>
                  <w:szCs w:val="18"/>
                  <w:color w:val="0000FF"/>
                  <w:w w:val="98"/>
                </w:rPr>
                <w:t>ABM Industries Incorporated, a Delaware corporation,</w:t>
              </w:r>
            </w:hyperlink>
          </w:p>
        </w:tc>
        <w:tc>
          <w:tcPr>
            <w:tcW w:w="60" w:type="dxa"/>
            <w:vAlign w:val="bottom"/>
            <w:tcBorders>
              <w:top w:val="single" w:sz="8" w:color="DCE2EF"/>
              <w:bottom w:val="single" w:sz="8" w:color="0000FF"/>
            </w:tcBorders>
            <w:gridSpan w:val="3"/>
            <w:shd w:val="clear" w:color="auto" w:fill="DCE2EF"/>
          </w:tcPr>
          <w:p>
            <w:pPr>
              <w:spacing w:after="0"/>
              <w:rPr>
                <w:sz w:val="13"/>
                <w:szCs w:val="13"/>
                <w:color w:val="auto"/>
              </w:rPr>
            </w:pPr>
          </w:p>
        </w:tc>
        <w:tc>
          <w:tcPr>
            <w:tcW w:w="40" w:type="dxa"/>
            <w:vAlign w:val="bottom"/>
            <w:tcBorders>
              <w:top w:val="single" w:sz="8" w:color="DCE2EF"/>
              <w:bottom w:val="single" w:sz="8" w:color="0000FF"/>
            </w:tcBorders>
            <w:gridSpan w:val="2"/>
            <w:shd w:val="clear" w:color="auto" w:fill="DCE2EF"/>
          </w:tcPr>
          <w:p>
            <w:pPr>
              <w:spacing w:after="0"/>
              <w:rPr>
                <w:sz w:val="13"/>
                <w:szCs w:val="13"/>
                <w:color w:val="auto"/>
              </w:rPr>
            </w:pPr>
          </w:p>
        </w:tc>
        <w:tc>
          <w:tcPr>
            <w:tcW w:w="6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80" w:type="dxa"/>
            <w:vAlign w:val="bottom"/>
            <w:tcBorders>
              <w:top w:val="single" w:sz="8" w:color="DCE2EF"/>
              <w:bottom w:val="single" w:sz="8" w:color="DCE2EF"/>
            </w:tcBorders>
            <w:gridSpan w:val="3"/>
            <w:shd w:val="clear" w:color="auto" w:fill="DCE2EF"/>
          </w:tcPr>
          <w:p>
            <w:pPr>
              <w:spacing w:after="0"/>
              <w:rPr>
                <w:sz w:val="13"/>
                <w:szCs w:val="13"/>
                <w:color w:val="auto"/>
              </w:rPr>
            </w:pPr>
          </w:p>
        </w:tc>
        <w:tc>
          <w:tcPr>
            <w:tcW w:w="140" w:type="dxa"/>
            <w:vAlign w:val="bottom"/>
            <w:tcBorders>
              <w:top w:val="single" w:sz="8" w:color="DCE2EF"/>
              <w:bottom w:val="single" w:sz="8" w:color="DCE2EF"/>
            </w:tcBorders>
            <w:gridSpan w:val="4"/>
            <w:shd w:val="clear" w:color="auto" w:fill="DCE2EF"/>
          </w:tcPr>
          <w:p>
            <w:pPr>
              <w:spacing w:after="0"/>
              <w:rPr>
                <w:sz w:val="13"/>
                <w:szCs w:val="13"/>
                <w:color w:val="auto"/>
              </w:rPr>
            </w:pPr>
          </w:p>
        </w:tc>
        <w:tc>
          <w:tcPr>
            <w:tcW w:w="660" w:type="dxa"/>
            <w:vAlign w:val="bottom"/>
            <w:tcBorders>
              <w:top w:val="single" w:sz="8" w:color="DCE2EF"/>
              <w:bottom w:val="single" w:sz="8" w:color="DCE2EF"/>
            </w:tcBorders>
            <w:shd w:val="clear" w:color="auto" w:fill="DCE2EF"/>
          </w:tcPr>
          <w:p>
            <w:pPr>
              <w:spacing w:after="0"/>
              <w:rPr>
                <w:sz w:val="13"/>
                <w:szCs w:val="13"/>
                <w:color w:val="auto"/>
              </w:rPr>
            </w:pPr>
          </w:p>
        </w:tc>
        <w:tc>
          <w:tcPr>
            <w:tcW w:w="120" w:type="dxa"/>
            <w:vAlign w:val="bottom"/>
            <w:tcBorders>
              <w:top w:val="single" w:sz="8" w:color="DCE2EF"/>
              <w:bottom w:val="single" w:sz="8" w:color="DCE2EF"/>
            </w:tcBorders>
            <w:shd w:val="clear" w:color="auto" w:fill="DCE2EF"/>
          </w:tcPr>
          <w:p>
            <w:pPr>
              <w:spacing w:after="0"/>
              <w:rPr>
                <w:sz w:val="13"/>
                <w:szCs w:val="13"/>
                <w:color w:val="auto"/>
              </w:rPr>
            </w:pPr>
          </w:p>
        </w:tc>
        <w:tc>
          <w:tcPr>
            <w:tcW w:w="1260" w:type="dxa"/>
            <w:vAlign w:val="bottom"/>
            <w:tcBorders>
              <w:top w:val="single" w:sz="8" w:color="DCE2EF"/>
              <w:bottom w:val="single" w:sz="8" w:color="DCE2EF"/>
            </w:tcBorders>
            <w:shd w:val="clear" w:color="auto" w:fill="DCE2EF"/>
          </w:tcPr>
          <w:p>
            <w:pPr>
              <w:spacing w:after="0"/>
              <w:rPr>
                <w:sz w:val="13"/>
                <w:szCs w:val="13"/>
                <w:color w:val="auto"/>
              </w:rPr>
            </w:pPr>
          </w:p>
        </w:tc>
        <w:tc>
          <w:tcPr>
            <w:tcW w:w="100" w:type="dxa"/>
            <w:vAlign w:val="bottom"/>
            <w:tcBorders>
              <w:top w:val="single" w:sz="8" w:color="DCE2EF"/>
              <w:bottom w:val="single" w:sz="8" w:color="DCE2EF"/>
            </w:tcBorders>
            <w:shd w:val="clear" w:color="auto" w:fill="DCE2EF"/>
          </w:tcPr>
          <w:p>
            <w:pPr>
              <w:spacing w:after="0"/>
              <w:rPr>
                <w:sz w:val="13"/>
                <w:szCs w:val="13"/>
                <w:color w:val="auto"/>
              </w:rPr>
            </w:pPr>
          </w:p>
        </w:tc>
        <w:tc>
          <w:tcPr>
            <w:tcW w:w="880" w:type="dxa"/>
            <w:vAlign w:val="bottom"/>
            <w:tcBorders>
              <w:top w:val="single" w:sz="8" w:color="DCE2EF"/>
              <w:bottom w:val="single" w:sz="8" w:color="DCE2EF"/>
            </w:tcBorders>
            <w:shd w:val="clear" w:color="auto" w:fill="DCE2EF"/>
          </w:tcPr>
          <w:p>
            <w:pPr>
              <w:spacing w:after="0"/>
              <w:rPr>
                <w:sz w:val="13"/>
                <w:szCs w:val="13"/>
                <w:color w:val="auto"/>
              </w:rPr>
            </w:pPr>
          </w:p>
        </w:tc>
        <w:tc>
          <w:tcPr>
            <w:tcW w:w="100" w:type="dxa"/>
            <w:vAlign w:val="bottom"/>
            <w:tcBorders>
              <w:top w:val="single" w:sz="8" w:color="DCE2EF"/>
              <w:bottom w:val="single" w:sz="8" w:color="DCE2EF"/>
            </w:tcBorders>
            <w:shd w:val="clear" w:color="auto" w:fill="DCE2EF"/>
          </w:tcPr>
          <w:p>
            <w:pPr>
              <w:spacing w:after="0"/>
              <w:rPr>
                <w:sz w:val="13"/>
                <w:szCs w:val="13"/>
                <w:color w:val="auto"/>
              </w:rPr>
            </w:pPr>
          </w:p>
        </w:tc>
        <w:tc>
          <w:tcPr>
            <w:tcW w:w="2140" w:type="dxa"/>
            <w:vAlign w:val="bottom"/>
            <w:tcBorders>
              <w:top w:val="single" w:sz="8" w:color="DCE2EF"/>
              <w:bottom w:val="single" w:sz="8" w:color="DCE2EF"/>
            </w:tcBorders>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shd w:val="clear" w:color="auto" w:fill="DCE2EF"/>
          </w:tcPr>
          <w:p>
            <w:pPr>
              <w:spacing w:after="0"/>
              <w:rPr>
                <w:sz w:val="13"/>
                <w:szCs w:val="13"/>
                <w:color w:val="auto"/>
              </w:rPr>
            </w:pPr>
          </w:p>
        </w:tc>
        <w:tc>
          <w:tcPr>
            <w:tcW w:w="120" w:type="dxa"/>
            <w:vAlign w:val="bottom"/>
            <w:tcBorders>
              <w:right w:val="single" w:sz="8" w:color="DCE2EF"/>
            </w:tcBorders>
            <w:shd w:val="clear" w:color="auto" w:fill="DCE2EF"/>
          </w:tcPr>
          <w:p>
            <w:pPr>
              <w:spacing w:after="0"/>
              <w:rPr>
                <w:sz w:val="13"/>
                <w:szCs w:val="13"/>
                <w:color w:val="auto"/>
              </w:rPr>
            </w:pPr>
          </w:p>
        </w:tc>
        <w:tc>
          <w:tcPr>
            <w:tcW w:w="4340" w:type="dxa"/>
            <w:vAlign w:val="bottom"/>
            <w:gridSpan w:val="28"/>
            <w:shd w:val="clear" w:color="auto" w:fill="DCE2EF"/>
          </w:tcPr>
          <w:p>
            <w:pPr>
              <w:spacing w:after="0" w:line="156" w:lineRule="exact"/>
              <w:rPr>
                <w:rFonts w:ascii="Arial" w:cs="Arial" w:eastAsia="Arial" w:hAnsi="Arial"/>
                <w:sz w:val="18"/>
                <w:szCs w:val="18"/>
                <w:color w:val="0000FF"/>
              </w:rPr>
            </w:pPr>
            <w:hyperlink r:id="rId169">
              <w:r>
                <w:rPr>
                  <w:rFonts w:ascii="Arial" w:cs="Arial" w:eastAsia="Arial" w:hAnsi="Arial"/>
                  <w:sz w:val="18"/>
                  <w:szCs w:val="18"/>
                  <w:color w:val="0000FF"/>
                </w:rPr>
                <w:t>the Designated Borrowers identified on the signature</w:t>
              </w:r>
            </w:hyperlink>
          </w:p>
        </w:tc>
        <w:tc>
          <w:tcPr>
            <w:tcW w:w="60" w:type="dxa"/>
            <w:vAlign w:val="bottom"/>
            <w:gridSpan w:val="2"/>
            <w:shd w:val="clear" w:color="auto" w:fill="DCE2EF"/>
          </w:tcPr>
          <w:p>
            <w:pPr>
              <w:spacing w:after="0"/>
              <w:rPr>
                <w:sz w:val="13"/>
                <w:szCs w:val="13"/>
                <w:color w:val="auto"/>
              </w:rPr>
            </w:pPr>
          </w:p>
        </w:tc>
        <w:tc>
          <w:tcPr>
            <w:tcW w:w="80" w:type="dxa"/>
            <w:vAlign w:val="bottom"/>
            <w:gridSpan w:val="3"/>
            <w:shd w:val="clear" w:color="auto" w:fill="DCE2EF"/>
          </w:tcPr>
          <w:p>
            <w:pPr>
              <w:spacing w:after="0"/>
              <w:rPr>
                <w:sz w:val="13"/>
                <w:szCs w:val="13"/>
                <w:color w:val="auto"/>
              </w:rPr>
            </w:pPr>
          </w:p>
        </w:tc>
        <w:tc>
          <w:tcPr>
            <w:tcW w:w="140" w:type="dxa"/>
            <w:vAlign w:val="bottom"/>
            <w:gridSpan w:val="4"/>
            <w:shd w:val="clear" w:color="auto" w:fill="DCE2EF"/>
          </w:tcPr>
          <w:p>
            <w:pPr>
              <w:spacing w:after="0"/>
              <w:rPr>
                <w:sz w:val="13"/>
                <w:szCs w:val="13"/>
                <w:color w:val="auto"/>
              </w:rPr>
            </w:pPr>
          </w:p>
        </w:tc>
        <w:tc>
          <w:tcPr>
            <w:tcW w:w="66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126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88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2140" w:type="dxa"/>
            <w:vAlign w:val="bottom"/>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right w:val="single" w:sz="8" w:color="DCE2EF"/>
            </w:tcBorders>
            <w:shd w:val="clear" w:color="auto" w:fill="DCE2EF"/>
          </w:tcPr>
          <w:p>
            <w:pPr>
              <w:spacing w:after="0"/>
              <w:rPr>
                <w:sz w:val="13"/>
                <w:szCs w:val="13"/>
                <w:color w:val="auto"/>
              </w:rPr>
            </w:pPr>
          </w:p>
        </w:tc>
        <w:tc>
          <w:tcPr>
            <w:tcW w:w="4220" w:type="dxa"/>
            <w:vAlign w:val="bottom"/>
            <w:tcBorders>
              <w:top w:val="single" w:sz="8" w:color="0000FF"/>
            </w:tcBorders>
            <w:gridSpan w:val="22"/>
            <w:shd w:val="clear" w:color="auto" w:fill="DCE2EF"/>
          </w:tcPr>
          <w:p>
            <w:pPr>
              <w:spacing w:after="0" w:line="154" w:lineRule="exact"/>
              <w:rPr>
                <w:rFonts w:ascii="Arial" w:cs="Arial" w:eastAsia="Arial" w:hAnsi="Arial"/>
                <w:sz w:val="17"/>
                <w:szCs w:val="17"/>
                <w:color w:val="0000FF"/>
              </w:rPr>
            </w:pPr>
            <w:hyperlink r:id="rId169">
              <w:r>
                <w:rPr>
                  <w:rFonts w:ascii="Arial" w:cs="Arial" w:eastAsia="Arial" w:hAnsi="Arial"/>
                  <w:sz w:val="17"/>
                  <w:szCs w:val="17"/>
                  <w:color w:val="0000FF"/>
                </w:rPr>
                <w:t>pages thereto, the Guarantors identified on the</w:t>
              </w:r>
            </w:hyperlink>
          </w:p>
        </w:tc>
        <w:tc>
          <w:tcPr>
            <w:tcW w:w="80" w:type="dxa"/>
            <w:vAlign w:val="bottom"/>
            <w:tcBorders>
              <w:top w:val="single" w:sz="8" w:color="DCE2EF"/>
            </w:tcBorders>
            <w:gridSpan w:val="4"/>
            <w:shd w:val="clear" w:color="auto" w:fill="DCE2EF"/>
          </w:tcPr>
          <w:p>
            <w:pPr>
              <w:spacing w:after="0"/>
              <w:rPr>
                <w:sz w:val="13"/>
                <w:szCs w:val="13"/>
                <w:color w:val="auto"/>
              </w:rPr>
            </w:pPr>
          </w:p>
        </w:tc>
        <w:tc>
          <w:tcPr>
            <w:tcW w:w="100" w:type="dxa"/>
            <w:vAlign w:val="bottom"/>
            <w:tcBorders>
              <w:top w:val="single" w:sz="8" w:color="DCE2EF"/>
            </w:tcBorders>
            <w:gridSpan w:val="4"/>
            <w:shd w:val="clear" w:color="auto" w:fill="DCE2EF"/>
          </w:tcPr>
          <w:p>
            <w:pPr>
              <w:spacing w:after="0"/>
              <w:rPr>
                <w:sz w:val="13"/>
                <w:szCs w:val="13"/>
                <w:color w:val="auto"/>
              </w:rPr>
            </w:pPr>
          </w:p>
        </w:tc>
        <w:tc>
          <w:tcPr>
            <w:tcW w:w="80" w:type="dxa"/>
            <w:vAlign w:val="bottom"/>
            <w:tcBorders>
              <w:top w:val="single" w:sz="8" w:color="DCE2EF"/>
            </w:tcBorders>
            <w:gridSpan w:val="3"/>
            <w:shd w:val="clear" w:color="auto" w:fill="DCE2EF"/>
          </w:tcPr>
          <w:p>
            <w:pPr>
              <w:spacing w:after="0"/>
              <w:rPr>
                <w:sz w:val="13"/>
                <w:szCs w:val="13"/>
                <w:color w:val="auto"/>
              </w:rPr>
            </w:pPr>
          </w:p>
        </w:tc>
        <w:tc>
          <w:tcPr>
            <w:tcW w:w="140" w:type="dxa"/>
            <w:vAlign w:val="bottom"/>
            <w:tcBorders>
              <w:top w:val="single" w:sz="8" w:color="DCE2EF"/>
            </w:tcBorders>
            <w:gridSpan w:val="4"/>
            <w:shd w:val="clear" w:color="auto" w:fill="DCE2EF"/>
          </w:tcPr>
          <w:p>
            <w:pPr>
              <w:spacing w:after="0"/>
              <w:rPr>
                <w:sz w:val="13"/>
                <w:szCs w:val="13"/>
                <w:color w:val="auto"/>
              </w:rPr>
            </w:pPr>
          </w:p>
        </w:tc>
        <w:tc>
          <w:tcPr>
            <w:tcW w:w="66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tcBorders>
            <w:shd w:val="clear" w:color="auto" w:fill="DCE2EF"/>
          </w:tcPr>
          <w:p>
            <w:pPr>
              <w:spacing w:after="0"/>
              <w:rPr>
                <w:sz w:val="13"/>
                <w:szCs w:val="13"/>
                <w:color w:val="auto"/>
              </w:rPr>
            </w:pPr>
          </w:p>
        </w:tc>
        <w:tc>
          <w:tcPr>
            <w:tcW w:w="126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88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Borders>
              <w:top w:val="single" w:sz="8" w:color="DCE2EF"/>
              <w:bottom w:val="single" w:sz="8" w:color="DCE2EF"/>
            </w:tcBorders>
            <w:shd w:val="clear" w:color="auto" w:fill="DCE2EF"/>
          </w:tcPr>
          <w:p>
            <w:pPr>
              <w:spacing w:after="0"/>
              <w:rPr>
                <w:sz w:val="13"/>
                <w:szCs w:val="13"/>
                <w:color w:val="auto"/>
              </w:rPr>
            </w:pPr>
          </w:p>
        </w:tc>
        <w:tc>
          <w:tcPr>
            <w:tcW w:w="120" w:type="dxa"/>
            <w:vAlign w:val="bottom"/>
            <w:tcBorders>
              <w:top w:val="single" w:sz="8" w:color="DCE2EF"/>
              <w:bottom w:val="single" w:sz="8" w:color="DCE2EF"/>
              <w:right w:val="single" w:sz="8" w:color="DCE2EF"/>
            </w:tcBorders>
            <w:shd w:val="clear" w:color="auto" w:fill="DCE2EF"/>
          </w:tcPr>
          <w:p>
            <w:pPr>
              <w:spacing w:after="0"/>
              <w:rPr>
                <w:sz w:val="13"/>
                <w:szCs w:val="13"/>
                <w:color w:val="auto"/>
              </w:rPr>
            </w:pPr>
          </w:p>
        </w:tc>
        <w:tc>
          <w:tcPr>
            <w:tcW w:w="3720" w:type="dxa"/>
            <w:vAlign w:val="bottom"/>
            <w:tcBorders>
              <w:top w:val="single" w:sz="8" w:color="0000FF"/>
              <w:bottom w:val="single" w:sz="8" w:color="0000FF"/>
            </w:tcBorders>
            <w:gridSpan w:val="8"/>
            <w:shd w:val="clear" w:color="auto" w:fill="DCE2EF"/>
          </w:tcPr>
          <w:p>
            <w:pPr>
              <w:spacing w:after="0" w:line="157" w:lineRule="exact"/>
              <w:rPr>
                <w:rFonts w:ascii="Arial" w:cs="Arial" w:eastAsia="Arial" w:hAnsi="Arial"/>
                <w:sz w:val="18"/>
                <w:szCs w:val="18"/>
                <w:color w:val="0000FF"/>
                <w:w w:val="99"/>
              </w:rPr>
            </w:pPr>
            <w:hyperlink r:id="rId169">
              <w:r>
                <w:rPr>
                  <w:rFonts w:ascii="Arial" w:cs="Arial" w:eastAsia="Arial" w:hAnsi="Arial"/>
                  <w:sz w:val="18"/>
                  <w:szCs w:val="18"/>
                  <w:color w:val="0000FF"/>
                  <w:w w:val="99"/>
                </w:rPr>
                <w:t>signature pages thereto, the Lenders identified</w:t>
              </w:r>
            </w:hyperlink>
          </w:p>
        </w:tc>
        <w:tc>
          <w:tcPr>
            <w:tcW w:w="580" w:type="dxa"/>
            <w:vAlign w:val="bottom"/>
            <w:tcBorders>
              <w:top w:val="single" w:sz="8" w:color="DCE2EF"/>
              <w:bottom w:val="single" w:sz="8" w:color="0000FF"/>
            </w:tcBorders>
            <w:gridSpan w:val="18"/>
            <w:shd w:val="clear" w:color="auto" w:fill="DCE2EF"/>
          </w:tcPr>
          <w:p>
            <w:pPr>
              <w:ind w:left="40"/>
              <w:spacing w:after="0" w:line="157" w:lineRule="exact"/>
              <w:rPr>
                <w:rFonts w:ascii="Arial" w:cs="Arial" w:eastAsia="Arial" w:hAnsi="Arial"/>
                <w:sz w:val="18"/>
                <w:szCs w:val="18"/>
                <w:color w:val="0000FF"/>
              </w:rPr>
            </w:pPr>
            <w:hyperlink r:id="rId169">
              <w:r>
                <w:rPr>
                  <w:rFonts w:ascii="Arial" w:cs="Arial" w:eastAsia="Arial" w:hAnsi="Arial"/>
                  <w:sz w:val="18"/>
                  <w:szCs w:val="18"/>
                  <w:color w:val="0000FF"/>
                </w:rPr>
                <w:t>on the</w:t>
              </w:r>
            </w:hyperlink>
          </w:p>
        </w:tc>
        <w:tc>
          <w:tcPr>
            <w:tcW w:w="320" w:type="dxa"/>
            <w:vAlign w:val="bottom"/>
            <w:tcBorders>
              <w:top w:val="single" w:sz="8" w:color="DCE2EF"/>
              <w:bottom w:val="single" w:sz="8" w:color="DCE2EF"/>
            </w:tcBorders>
            <w:gridSpan w:val="11"/>
            <w:shd w:val="clear" w:color="auto" w:fill="DCE2EF"/>
          </w:tcPr>
          <w:p>
            <w:pPr>
              <w:spacing w:after="0"/>
              <w:rPr>
                <w:sz w:val="13"/>
                <w:szCs w:val="13"/>
                <w:color w:val="auto"/>
              </w:rPr>
            </w:pPr>
          </w:p>
        </w:tc>
        <w:tc>
          <w:tcPr>
            <w:tcW w:w="660" w:type="dxa"/>
            <w:vAlign w:val="bottom"/>
            <w:tcBorders>
              <w:top w:val="single" w:sz="8" w:color="DCE2EF"/>
              <w:bottom w:val="single" w:sz="8" w:color="DCE2EF"/>
            </w:tcBorders>
            <w:shd w:val="clear" w:color="auto" w:fill="DCE2EF"/>
          </w:tcPr>
          <w:p>
            <w:pPr>
              <w:spacing w:after="0"/>
              <w:rPr>
                <w:sz w:val="13"/>
                <w:szCs w:val="13"/>
                <w:color w:val="auto"/>
              </w:rPr>
            </w:pPr>
          </w:p>
        </w:tc>
        <w:tc>
          <w:tcPr>
            <w:tcW w:w="120" w:type="dxa"/>
            <w:vAlign w:val="bottom"/>
            <w:tcBorders>
              <w:top w:val="single" w:sz="8" w:color="DCE2EF"/>
              <w:bottom w:val="single" w:sz="8" w:color="DCE2EF"/>
            </w:tcBorders>
            <w:shd w:val="clear" w:color="auto" w:fill="DCE2EF"/>
          </w:tcPr>
          <w:p>
            <w:pPr>
              <w:spacing w:after="0"/>
              <w:rPr>
                <w:sz w:val="13"/>
                <w:szCs w:val="13"/>
                <w:color w:val="auto"/>
              </w:rPr>
            </w:pPr>
          </w:p>
        </w:tc>
        <w:tc>
          <w:tcPr>
            <w:tcW w:w="1260" w:type="dxa"/>
            <w:vAlign w:val="bottom"/>
            <w:tcBorders>
              <w:top w:val="single" w:sz="8" w:color="DCE2EF"/>
              <w:bottom w:val="single" w:sz="8" w:color="DCE2EF"/>
            </w:tcBorders>
            <w:shd w:val="clear" w:color="auto" w:fill="DCE2EF"/>
          </w:tcPr>
          <w:p>
            <w:pPr>
              <w:spacing w:after="0"/>
              <w:rPr>
                <w:sz w:val="13"/>
                <w:szCs w:val="13"/>
                <w:color w:val="auto"/>
              </w:rPr>
            </w:pPr>
          </w:p>
        </w:tc>
        <w:tc>
          <w:tcPr>
            <w:tcW w:w="100" w:type="dxa"/>
            <w:vAlign w:val="bottom"/>
            <w:tcBorders>
              <w:top w:val="single" w:sz="8" w:color="DCE2EF"/>
              <w:bottom w:val="single" w:sz="8" w:color="DCE2EF"/>
            </w:tcBorders>
            <w:shd w:val="clear" w:color="auto" w:fill="DCE2EF"/>
          </w:tcPr>
          <w:p>
            <w:pPr>
              <w:spacing w:after="0"/>
              <w:rPr>
                <w:sz w:val="13"/>
                <w:szCs w:val="13"/>
                <w:color w:val="auto"/>
              </w:rPr>
            </w:pPr>
          </w:p>
        </w:tc>
        <w:tc>
          <w:tcPr>
            <w:tcW w:w="880" w:type="dxa"/>
            <w:vAlign w:val="bottom"/>
            <w:tcBorders>
              <w:top w:val="single" w:sz="8" w:color="DCE2EF"/>
              <w:bottom w:val="single" w:sz="8" w:color="DCE2EF"/>
            </w:tcBorders>
            <w:shd w:val="clear" w:color="auto" w:fill="DCE2EF"/>
          </w:tcPr>
          <w:p>
            <w:pPr>
              <w:spacing w:after="0"/>
              <w:rPr>
                <w:sz w:val="13"/>
                <w:szCs w:val="13"/>
                <w:color w:val="auto"/>
              </w:rPr>
            </w:pPr>
          </w:p>
        </w:tc>
        <w:tc>
          <w:tcPr>
            <w:tcW w:w="100" w:type="dxa"/>
            <w:vAlign w:val="bottom"/>
            <w:tcBorders>
              <w:top w:val="single" w:sz="8" w:color="DCE2EF"/>
              <w:bottom w:val="single" w:sz="8" w:color="DCE2EF"/>
            </w:tcBorders>
            <w:shd w:val="clear" w:color="auto" w:fill="DCE2EF"/>
          </w:tcPr>
          <w:p>
            <w:pPr>
              <w:spacing w:after="0"/>
              <w:rPr>
                <w:sz w:val="13"/>
                <w:szCs w:val="13"/>
                <w:color w:val="auto"/>
              </w:rPr>
            </w:pPr>
          </w:p>
        </w:tc>
        <w:tc>
          <w:tcPr>
            <w:tcW w:w="2140" w:type="dxa"/>
            <w:vAlign w:val="bottom"/>
            <w:tcBorders>
              <w:top w:val="single" w:sz="8" w:color="DCE2EF"/>
              <w:bottom w:val="single" w:sz="8" w:color="DCE2EF"/>
            </w:tcBorders>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shd w:val="clear" w:color="auto" w:fill="DCE2EF"/>
          </w:tcPr>
          <w:p>
            <w:pPr>
              <w:spacing w:after="0"/>
              <w:rPr>
                <w:sz w:val="13"/>
                <w:szCs w:val="13"/>
                <w:color w:val="auto"/>
              </w:rPr>
            </w:pPr>
          </w:p>
        </w:tc>
        <w:tc>
          <w:tcPr>
            <w:tcW w:w="120" w:type="dxa"/>
            <w:vAlign w:val="bottom"/>
            <w:tcBorders>
              <w:right w:val="single" w:sz="8" w:color="DCE2EF"/>
            </w:tcBorders>
            <w:shd w:val="clear" w:color="auto" w:fill="DCE2EF"/>
          </w:tcPr>
          <w:p>
            <w:pPr>
              <w:spacing w:after="0"/>
              <w:rPr>
                <w:sz w:val="13"/>
                <w:szCs w:val="13"/>
                <w:color w:val="auto"/>
              </w:rPr>
            </w:pPr>
          </w:p>
        </w:tc>
        <w:tc>
          <w:tcPr>
            <w:tcW w:w="4620" w:type="dxa"/>
            <w:vAlign w:val="bottom"/>
            <w:gridSpan w:val="37"/>
            <w:shd w:val="clear" w:color="auto" w:fill="DCE2EF"/>
          </w:tcPr>
          <w:p>
            <w:pPr>
              <w:spacing w:after="0" w:line="156" w:lineRule="exact"/>
              <w:rPr>
                <w:rFonts w:ascii="Arial" w:cs="Arial" w:eastAsia="Arial" w:hAnsi="Arial"/>
                <w:sz w:val="18"/>
                <w:szCs w:val="18"/>
                <w:color w:val="0000FF"/>
              </w:rPr>
            </w:pPr>
            <w:hyperlink r:id="rId169">
              <w:r>
                <w:rPr>
                  <w:rFonts w:ascii="Arial" w:cs="Arial" w:eastAsia="Arial" w:hAnsi="Arial"/>
                  <w:sz w:val="18"/>
                  <w:szCs w:val="18"/>
                  <w:color w:val="0000FF"/>
                </w:rPr>
                <w:t>signature pages thereto, and Bank of America, N.A., as</w:t>
              </w:r>
            </w:hyperlink>
          </w:p>
        </w:tc>
        <w:tc>
          <w:tcPr>
            <w:tcW w:w="66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126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88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2140" w:type="dxa"/>
            <w:vAlign w:val="bottom"/>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40" w:type="dxa"/>
            <w:vAlign w:val="bottom"/>
            <w:tcBorders>
              <w:top w:val="single" w:sz="8" w:color="DCE2EF"/>
              <w:bottom w:val="single" w:sz="8" w:color="DCE2EF"/>
            </w:tcBorders>
            <w:shd w:val="clear" w:color="auto" w:fill="DCE2EF"/>
          </w:tcPr>
          <w:p>
            <w:pPr>
              <w:spacing w:after="0"/>
              <w:rPr>
                <w:sz w:val="15"/>
                <w:szCs w:val="15"/>
                <w:color w:val="auto"/>
              </w:rPr>
            </w:pPr>
          </w:p>
        </w:tc>
        <w:tc>
          <w:tcPr>
            <w:tcW w:w="120" w:type="dxa"/>
            <w:vAlign w:val="bottom"/>
            <w:tcBorders>
              <w:top w:val="single" w:sz="8" w:color="DCE2EF"/>
              <w:bottom w:val="single" w:sz="8" w:color="DCE2EF"/>
              <w:right w:val="single" w:sz="8" w:color="DCE2EF"/>
            </w:tcBorders>
            <w:shd w:val="clear" w:color="auto" w:fill="DCE2EF"/>
          </w:tcPr>
          <w:p>
            <w:pPr>
              <w:spacing w:after="0"/>
              <w:rPr>
                <w:sz w:val="15"/>
                <w:szCs w:val="15"/>
                <w:color w:val="auto"/>
              </w:rPr>
            </w:pPr>
          </w:p>
        </w:tc>
        <w:tc>
          <w:tcPr>
            <w:tcW w:w="1620" w:type="dxa"/>
            <w:vAlign w:val="bottom"/>
            <w:tcBorders>
              <w:top w:val="single" w:sz="8" w:color="0000FF"/>
              <w:bottom w:val="single" w:sz="8" w:color="0000FF"/>
            </w:tcBorders>
            <w:shd w:val="clear" w:color="auto" w:fill="DCE2EF"/>
          </w:tcPr>
          <w:p>
            <w:pPr>
              <w:spacing w:after="0" w:line="156" w:lineRule="exact"/>
              <w:rPr>
                <w:rFonts w:ascii="Arial" w:cs="Arial" w:eastAsia="Arial" w:hAnsi="Arial"/>
                <w:sz w:val="18"/>
                <w:szCs w:val="18"/>
                <w:color w:val="0000FF"/>
                <w:w w:val="99"/>
              </w:rPr>
            </w:pPr>
            <w:hyperlink r:id="rId169">
              <w:r>
                <w:rPr>
                  <w:rFonts w:ascii="Arial" w:cs="Arial" w:eastAsia="Arial" w:hAnsi="Arial"/>
                  <w:sz w:val="18"/>
                  <w:szCs w:val="18"/>
                  <w:color w:val="0000FF"/>
                  <w:w w:val="99"/>
                </w:rPr>
                <w:t>administrative agent</w:t>
              </w:r>
            </w:hyperlink>
          </w:p>
        </w:tc>
        <w:tc>
          <w:tcPr>
            <w:tcW w:w="2780" w:type="dxa"/>
            <w:vAlign w:val="bottom"/>
            <w:tcBorders>
              <w:top w:val="single" w:sz="8" w:color="0000FF"/>
              <w:bottom w:val="single" w:sz="8" w:color="DCE2EF"/>
            </w:tcBorders>
            <w:gridSpan w:val="29"/>
            <w:shd w:val="clear" w:color="auto" w:fill="DCE2EF"/>
          </w:tcPr>
          <w:p>
            <w:pPr>
              <w:spacing w:after="0"/>
              <w:rPr>
                <w:sz w:val="15"/>
                <w:szCs w:val="15"/>
                <w:color w:val="auto"/>
              </w:rPr>
            </w:pPr>
          </w:p>
        </w:tc>
        <w:tc>
          <w:tcPr>
            <w:tcW w:w="80" w:type="dxa"/>
            <w:vAlign w:val="bottom"/>
            <w:tcBorders>
              <w:top w:val="single" w:sz="8" w:color="DCE2EF"/>
              <w:bottom w:val="single" w:sz="8" w:color="DCE2EF"/>
            </w:tcBorders>
            <w:gridSpan w:val="3"/>
            <w:shd w:val="clear" w:color="auto" w:fill="DCE2EF"/>
          </w:tcPr>
          <w:p>
            <w:pPr>
              <w:spacing w:after="0"/>
              <w:rPr>
                <w:sz w:val="15"/>
                <w:szCs w:val="15"/>
                <w:color w:val="auto"/>
              </w:rPr>
            </w:pPr>
          </w:p>
        </w:tc>
        <w:tc>
          <w:tcPr>
            <w:tcW w:w="140" w:type="dxa"/>
            <w:vAlign w:val="bottom"/>
            <w:tcBorders>
              <w:top w:val="single" w:sz="8" w:color="DCE2EF"/>
              <w:bottom w:val="single" w:sz="8" w:color="DCE2EF"/>
            </w:tcBorders>
            <w:gridSpan w:val="4"/>
            <w:shd w:val="clear" w:color="auto" w:fill="DCE2EF"/>
          </w:tcPr>
          <w:p>
            <w:pPr>
              <w:spacing w:after="0"/>
              <w:rPr>
                <w:sz w:val="15"/>
                <w:szCs w:val="15"/>
                <w:color w:val="auto"/>
              </w:rPr>
            </w:pPr>
          </w:p>
        </w:tc>
        <w:tc>
          <w:tcPr>
            <w:tcW w:w="660" w:type="dxa"/>
            <w:vAlign w:val="bottom"/>
            <w:tcBorders>
              <w:top w:val="single" w:sz="8" w:color="DCE2EF"/>
              <w:bottom w:val="single" w:sz="8" w:color="DCE2EF"/>
            </w:tcBorders>
            <w:shd w:val="clear" w:color="auto" w:fill="DCE2EF"/>
          </w:tcPr>
          <w:p>
            <w:pPr>
              <w:spacing w:after="0"/>
              <w:rPr>
                <w:sz w:val="15"/>
                <w:szCs w:val="15"/>
                <w:color w:val="auto"/>
              </w:rPr>
            </w:pPr>
          </w:p>
        </w:tc>
        <w:tc>
          <w:tcPr>
            <w:tcW w:w="120" w:type="dxa"/>
            <w:vAlign w:val="bottom"/>
            <w:tcBorders>
              <w:top w:val="single" w:sz="8" w:color="DCE2EF"/>
              <w:bottom w:val="single" w:sz="8" w:color="DCE2EF"/>
            </w:tcBorders>
            <w:shd w:val="clear" w:color="auto" w:fill="DCE2EF"/>
          </w:tcPr>
          <w:p>
            <w:pPr>
              <w:spacing w:after="0"/>
              <w:rPr>
                <w:sz w:val="15"/>
                <w:szCs w:val="15"/>
                <w:color w:val="auto"/>
              </w:rPr>
            </w:pPr>
          </w:p>
        </w:tc>
        <w:tc>
          <w:tcPr>
            <w:tcW w:w="126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88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2140" w:type="dxa"/>
            <w:vAlign w:val="bottom"/>
            <w:tcBorders>
              <w:top w:val="single" w:sz="8" w:color="DCE2EF"/>
              <w:bottom w:val="single" w:sz="8" w:color="DCE2EF"/>
            </w:tcBorders>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4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6"/>
                <w:szCs w:val="16"/>
                <w:color w:val="auto"/>
              </w:rPr>
            </w:pPr>
          </w:p>
        </w:tc>
        <w:tc>
          <w:tcPr>
            <w:tcW w:w="4620" w:type="dxa"/>
            <w:vAlign w:val="bottom"/>
            <w:gridSpan w:val="37"/>
          </w:tcPr>
          <w:p>
            <w:pPr>
              <w:spacing w:after="0" w:line="189" w:lineRule="exact"/>
              <w:rPr>
                <w:rFonts w:ascii="Arial" w:cs="Arial" w:eastAsia="Arial" w:hAnsi="Arial"/>
                <w:sz w:val="18"/>
                <w:szCs w:val="18"/>
                <w:color w:val="0000FF"/>
              </w:rPr>
            </w:pPr>
            <w:hyperlink r:id="rId170">
              <w:r>
                <w:rPr>
                  <w:rFonts w:ascii="Arial" w:cs="Arial" w:eastAsia="Arial" w:hAnsi="Arial"/>
                  <w:sz w:val="18"/>
                  <w:szCs w:val="18"/>
                  <w:color w:val="0000FF"/>
                </w:rPr>
                <w:t>Second Amendment, dated as of September 5, 2018, to</w:t>
              </w:r>
            </w:hyperlink>
          </w:p>
        </w:tc>
        <w:tc>
          <w:tcPr>
            <w:tcW w:w="78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10-Q</w:t>
            </w:r>
          </w:p>
        </w:tc>
        <w:tc>
          <w:tcPr>
            <w:tcW w:w="1260" w:type="dxa"/>
            <w:vAlign w:val="bottom"/>
          </w:tcPr>
          <w:p>
            <w:pPr>
              <w:jc w:val="center"/>
              <w:spacing w:after="0" w:line="189" w:lineRule="exact"/>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16"/>
                <w:szCs w:val="16"/>
                <w:color w:val="auto"/>
              </w:rPr>
            </w:pPr>
          </w:p>
        </w:tc>
        <w:tc>
          <w:tcPr>
            <w:tcW w:w="880" w:type="dxa"/>
            <w:vAlign w:val="bottom"/>
          </w:tcPr>
          <w:p>
            <w:pPr>
              <w:jc w:val="center"/>
              <w:spacing w:after="0" w:line="189"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6"/>
                <w:szCs w:val="16"/>
                <w:color w:val="auto"/>
              </w:rPr>
            </w:pPr>
          </w:p>
        </w:tc>
        <w:tc>
          <w:tcPr>
            <w:tcW w:w="2140" w:type="dxa"/>
            <w:vAlign w:val="bottom"/>
          </w:tcPr>
          <w:p>
            <w:pPr>
              <w:jc w:val="center"/>
              <w:spacing w:after="0" w:line="189" w:lineRule="exact"/>
              <w:rPr>
                <w:sz w:val="20"/>
                <w:szCs w:val="20"/>
                <w:color w:val="auto"/>
              </w:rPr>
            </w:pPr>
            <w:r>
              <w:rPr>
                <w:rFonts w:ascii="Arial" w:cs="Arial" w:eastAsia="Arial" w:hAnsi="Arial"/>
                <w:sz w:val="18"/>
                <w:szCs w:val="18"/>
                <w:color w:val="auto"/>
              </w:rPr>
              <w:t>September 7, 2018</w:t>
            </w: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tcBorders>
              <w:top w:val="single" w:sz="8" w:color="0000FF"/>
            </w:tcBorders>
            <w:gridSpan w:val="33"/>
          </w:tcPr>
          <w:p>
            <w:pPr>
              <w:spacing w:after="0" w:line="154" w:lineRule="exact"/>
              <w:rPr>
                <w:rFonts w:ascii="Arial" w:cs="Arial" w:eastAsia="Arial" w:hAnsi="Arial"/>
                <w:sz w:val="17"/>
                <w:szCs w:val="17"/>
                <w:u w:val="single" w:color="auto"/>
                <w:color w:val="0000FF"/>
              </w:rPr>
            </w:pPr>
            <w:hyperlink r:id="rId170">
              <w:r>
                <w:rPr>
                  <w:rFonts w:ascii="Arial" w:cs="Arial" w:eastAsia="Arial" w:hAnsi="Arial"/>
                  <w:sz w:val="17"/>
                  <w:szCs w:val="17"/>
                  <w:u w:val="single" w:color="auto"/>
                  <w:color w:val="0000FF"/>
                </w:rPr>
                <w:t>the Credit Agreement dated September 1, 2017, by and</w:t>
              </w:r>
            </w:hyperlink>
          </w:p>
        </w:tc>
        <w:tc>
          <w:tcPr>
            <w:tcW w:w="140" w:type="dxa"/>
            <w:vAlign w:val="bottom"/>
            <w:gridSpan w:val="4"/>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360"/>
        <w:spacing w:after="0" w:line="203" w:lineRule="auto"/>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among ABM Industries Incorporated, a Delaware</w:t>
        </w:r>
      </w:hyperlink>
    </w:p>
    <w:p>
      <w:pPr>
        <w:ind w:left="1360"/>
        <w:spacing w:after="0" w:line="203" w:lineRule="auto"/>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corporation, the Designated Borrowers identified on the</w:t>
        </w:r>
      </w:hyperlink>
    </w:p>
    <w:p>
      <w:pPr>
        <w:ind w:left="1360"/>
        <w:spacing w:after="0" w:line="204" w:lineRule="auto"/>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signature pages thereto, the Guarantors identified on</w:t>
        </w:r>
      </w:hyperlink>
    </w:p>
    <w:p>
      <w:pPr>
        <w:ind w:left="1360"/>
        <w:spacing w:after="0" w:line="203" w:lineRule="auto"/>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the signature pages thereto, the Lenders identified on</w:t>
        </w:r>
      </w:hyperlink>
    </w:p>
    <w:p>
      <w:pPr>
        <w:ind w:left="1360"/>
        <w:spacing w:after="0" w:line="204" w:lineRule="auto"/>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the signature pages thereto, and Bank of America, N.A.,</w:t>
        </w:r>
      </w:hyperlink>
    </w:p>
    <w:p>
      <w:pPr>
        <w:ind w:left="1360"/>
        <w:spacing w:after="0"/>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as administrative agent</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02" w:name="page103"/>
    <w:bookmarkEnd w:id="102"/>
    <w:tbl>
      <w:tblPr>
        <w:tblLayout w:type="fixed"/>
        <w:tblInd w:w="2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10.5</w:t>
            </w:r>
          </w:p>
        </w:tc>
        <w:tc>
          <w:tcPr>
            <w:tcW w:w="4440" w:type="dxa"/>
            <w:vAlign w:val="bottom"/>
            <w:gridSpan w:val="16"/>
          </w:tcPr>
          <w:p>
            <w:pPr>
              <w:spacing w:after="0"/>
              <w:rPr>
                <w:rFonts w:ascii="Arial" w:cs="Arial" w:eastAsia="Arial" w:hAnsi="Arial"/>
                <w:sz w:val="18"/>
                <w:szCs w:val="18"/>
                <w:color w:val="0000FF"/>
              </w:rPr>
            </w:pPr>
            <w:hyperlink r:id="rId172">
              <w:r>
                <w:rPr>
                  <w:rFonts w:ascii="Arial" w:cs="Arial" w:eastAsia="Arial" w:hAnsi="Arial"/>
                  <w:sz w:val="18"/>
                  <w:szCs w:val="18"/>
                  <w:color w:val="0000FF"/>
                </w:rPr>
                <w:t>Third Amendment, dated as of May 28, 2020, to the</w:t>
              </w:r>
            </w:hyperlink>
          </w:p>
        </w:tc>
      </w:tr>
      <w:tr>
        <w:trPr>
          <w:trHeight w:val="129"/>
        </w:trPr>
        <w:tc>
          <w:tcPr>
            <w:tcW w:w="1340" w:type="dxa"/>
            <w:vAlign w:val="bottom"/>
          </w:tcPr>
          <w:p>
            <w:pPr>
              <w:spacing w:after="0"/>
              <w:rPr>
                <w:sz w:val="11"/>
                <w:szCs w:val="11"/>
                <w:color w:val="auto"/>
              </w:rPr>
            </w:pPr>
          </w:p>
        </w:tc>
        <w:tc>
          <w:tcPr>
            <w:tcW w:w="4120" w:type="dxa"/>
            <w:vAlign w:val="bottom"/>
            <w:tcBorders>
              <w:top w:val="single" w:sz="8" w:color="0000FF"/>
              <w:bottom w:val="single" w:sz="8" w:color="0000FF"/>
            </w:tcBorders>
            <w:gridSpan w:val="7"/>
          </w:tcPr>
          <w:p>
            <w:pPr>
              <w:spacing w:after="0" w:line="129" w:lineRule="exact"/>
              <w:rPr>
                <w:rFonts w:ascii="Arial" w:cs="Arial" w:eastAsia="Arial" w:hAnsi="Arial"/>
                <w:sz w:val="13"/>
                <w:szCs w:val="13"/>
                <w:color w:val="0000FF"/>
              </w:rPr>
            </w:pPr>
            <w:hyperlink r:id="rId172">
              <w:r>
                <w:rPr>
                  <w:rFonts w:ascii="Arial" w:cs="Arial" w:eastAsia="Arial" w:hAnsi="Arial"/>
                  <w:sz w:val="13"/>
                  <w:szCs w:val="13"/>
                  <w:color w:val="0000FF"/>
                </w:rPr>
                <w:t>Credit Agreement dated September 1, 2017, by and</w:t>
              </w:r>
            </w:hyperlink>
          </w:p>
        </w:tc>
        <w:tc>
          <w:tcPr>
            <w:tcW w:w="20" w:type="dxa"/>
            <w:vAlign w:val="bottom"/>
            <w:tcBorders>
              <w:bottom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2"/>
        </w:trPr>
        <w:tc>
          <w:tcPr>
            <w:tcW w:w="1340" w:type="dxa"/>
            <w:vAlign w:val="bottom"/>
          </w:tcPr>
          <w:p>
            <w:pPr>
              <w:spacing w:after="0"/>
              <w:rPr>
                <w:sz w:val="10"/>
                <w:szCs w:val="10"/>
                <w:color w:val="auto"/>
              </w:rPr>
            </w:pPr>
          </w:p>
        </w:tc>
        <w:tc>
          <w:tcPr>
            <w:tcW w:w="4140" w:type="dxa"/>
            <w:vAlign w:val="bottom"/>
            <w:gridSpan w:val="8"/>
          </w:tcPr>
          <w:p>
            <w:pPr>
              <w:spacing w:after="0" w:line="115" w:lineRule="exact"/>
              <w:rPr>
                <w:rFonts w:ascii="Arial" w:cs="Arial" w:eastAsia="Arial" w:hAnsi="Arial"/>
                <w:sz w:val="13"/>
                <w:szCs w:val="13"/>
                <w:color w:val="0000FF"/>
              </w:rPr>
            </w:pPr>
            <w:hyperlink r:id="rId172">
              <w:r>
                <w:rPr>
                  <w:rFonts w:ascii="Arial" w:cs="Arial" w:eastAsia="Arial" w:hAnsi="Arial"/>
                  <w:sz w:val="13"/>
                  <w:szCs w:val="13"/>
                  <w:color w:val="0000FF"/>
                </w:rPr>
                <w:t>among ABM Industries Incorporated, a Delaware</w:t>
              </w:r>
            </w:hyperlink>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1340" w:type="dxa"/>
            <w:vAlign w:val="bottom"/>
          </w:tcPr>
          <w:p>
            <w:pPr>
              <w:spacing w:after="0"/>
              <w:rPr>
                <w:sz w:val="11"/>
                <w:szCs w:val="11"/>
                <w:color w:val="auto"/>
              </w:rPr>
            </w:pPr>
          </w:p>
        </w:tc>
        <w:tc>
          <w:tcPr>
            <w:tcW w:w="3900" w:type="dxa"/>
            <w:vAlign w:val="bottom"/>
            <w:tcBorders>
              <w:top w:val="single" w:sz="8" w:color="0000FF"/>
            </w:tcBorders>
            <w:gridSpan w:val="4"/>
          </w:tcPr>
          <w:p>
            <w:pPr>
              <w:spacing w:after="0" w:line="135" w:lineRule="exact"/>
              <w:rPr>
                <w:rFonts w:ascii="Arial" w:cs="Arial" w:eastAsia="Arial" w:hAnsi="Arial"/>
                <w:sz w:val="15"/>
                <w:szCs w:val="15"/>
                <w:color w:val="0000FF"/>
              </w:rPr>
            </w:pPr>
            <w:hyperlink r:id="rId172">
              <w:r>
                <w:rPr>
                  <w:rFonts w:ascii="Arial" w:cs="Arial" w:eastAsia="Arial" w:hAnsi="Arial"/>
                  <w:sz w:val="15"/>
                  <w:szCs w:val="15"/>
                  <w:color w:val="0000FF"/>
                </w:rPr>
                <w:t>corporation, the Designated Borrowers identified</w:t>
              </w:r>
            </w:hyperlink>
          </w:p>
        </w:tc>
        <w:tc>
          <w:tcPr>
            <w:tcW w:w="540" w:type="dxa"/>
            <w:vAlign w:val="bottom"/>
            <w:gridSpan w:val="12"/>
          </w:tcPr>
          <w:p>
            <w:pPr>
              <w:spacing w:after="0" w:line="135" w:lineRule="exact"/>
              <w:rPr>
                <w:rFonts w:ascii="Arial" w:cs="Arial" w:eastAsia="Arial" w:hAnsi="Arial"/>
                <w:sz w:val="15"/>
                <w:szCs w:val="15"/>
                <w:color w:val="0000FF"/>
              </w:rPr>
            </w:pPr>
            <w:hyperlink r:id="rId172">
              <w:r>
                <w:rPr>
                  <w:rFonts w:ascii="Arial" w:cs="Arial" w:eastAsia="Arial" w:hAnsi="Arial"/>
                  <w:sz w:val="15"/>
                  <w:szCs w:val="15"/>
                  <w:color w:val="0000FF"/>
                </w:rPr>
                <w:t>on the</w:t>
              </w:r>
            </w:hyperlink>
          </w:p>
        </w:tc>
      </w:tr>
      <w:tr>
        <w:trPr>
          <w:trHeight w:val="129"/>
        </w:trPr>
        <w:tc>
          <w:tcPr>
            <w:tcW w:w="1340" w:type="dxa"/>
            <w:vAlign w:val="bottom"/>
          </w:tcPr>
          <w:p>
            <w:pPr>
              <w:spacing w:after="0"/>
              <w:rPr>
                <w:sz w:val="11"/>
                <w:szCs w:val="11"/>
                <w:color w:val="auto"/>
              </w:rPr>
            </w:pPr>
          </w:p>
        </w:tc>
        <w:tc>
          <w:tcPr>
            <w:tcW w:w="4220" w:type="dxa"/>
            <w:vAlign w:val="bottom"/>
            <w:tcBorders>
              <w:top w:val="single" w:sz="8" w:color="0000FF"/>
              <w:bottom w:val="single" w:sz="8" w:color="0000FF"/>
            </w:tcBorders>
            <w:gridSpan w:val="9"/>
          </w:tcPr>
          <w:p>
            <w:pPr>
              <w:spacing w:after="0" w:line="129" w:lineRule="exact"/>
              <w:rPr>
                <w:rFonts w:ascii="Arial" w:cs="Arial" w:eastAsia="Arial" w:hAnsi="Arial"/>
                <w:sz w:val="13"/>
                <w:szCs w:val="13"/>
                <w:color w:val="0000FF"/>
              </w:rPr>
            </w:pPr>
            <w:hyperlink r:id="rId172">
              <w:r>
                <w:rPr>
                  <w:rFonts w:ascii="Arial" w:cs="Arial" w:eastAsia="Arial" w:hAnsi="Arial"/>
                  <w:sz w:val="13"/>
                  <w:szCs w:val="13"/>
                  <w:color w:val="0000FF"/>
                </w:rPr>
                <w:t>signature pages thereto, the Guarantors identified on</w:t>
              </w:r>
            </w:hyperlink>
          </w:p>
        </w:tc>
        <w:tc>
          <w:tcPr>
            <w:tcW w:w="18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1340" w:type="dxa"/>
            <w:vAlign w:val="bottom"/>
          </w:tcPr>
          <w:p>
            <w:pPr>
              <w:spacing w:after="0"/>
              <w:rPr>
                <w:sz w:val="11"/>
                <w:szCs w:val="11"/>
                <w:color w:val="auto"/>
              </w:rPr>
            </w:pPr>
          </w:p>
        </w:tc>
        <w:tc>
          <w:tcPr>
            <w:tcW w:w="4440" w:type="dxa"/>
            <w:vAlign w:val="bottom"/>
            <w:gridSpan w:val="16"/>
          </w:tcPr>
          <w:p>
            <w:pPr>
              <w:spacing w:after="0" w:line="129" w:lineRule="exact"/>
              <w:rPr>
                <w:rFonts w:ascii="Arial" w:cs="Arial" w:eastAsia="Arial" w:hAnsi="Arial"/>
                <w:sz w:val="13"/>
                <w:szCs w:val="13"/>
                <w:color w:val="0000FF"/>
              </w:rPr>
            </w:pPr>
            <w:hyperlink r:id="rId172">
              <w:r>
                <w:rPr>
                  <w:rFonts w:ascii="Arial" w:cs="Arial" w:eastAsia="Arial" w:hAnsi="Arial"/>
                  <w:sz w:val="13"/>
                  <w:szCs w:val="13"/>
                  <w:color w:val="0000FF"/>
                </w:rPr>
                <w:t>the signature pages thereto, the Lenders identified on</w:t>
              </w:r>
            </w:hyperlink>
          </w:p>
        </w:tc>
      </w:tr>
      <w:tr>
        <w:trPr>
          <w:trHeight w:val="129"/>
        </w:trPr>
        <w:tc>
          <w:tcPr>
            <w:tcW w:w="1340" w:type="dxa"/>
            <w:vAlign w:val="bottom"/>
          </w:tcPr>
          <w:p>
            <w:pPr>
              <w:spacing w:after="0"/>
              <w:rPr>
                <w:sz w:val="11"/>
                <w:szCs w:val="11"/>
                <w:color w:val="auto"/>
              </w:rPr>
            </w:pPr>
          </w:p>
        </w:tc>
        <w:tc>
          <w:tcPr>
            <w:tcW w:w="4260" w:type="dxa"/>
            <w:vAlign w:val="bottom"/>
            <w:tcBorders>
              <w:top w:val="single" w:sz="8" w:color="0000FF"/>
            </w:tcBorders>
            <w:gridSpan w:val="10"/>
          </w:tcPr>
          <w:p>
            <w:pPr>
              <w:spacing w:after="0" w:line="129" w:lineRule="exact"/>
              <w:rPr>
                <w:rFonts w:ascii="Arial" w:cs="Arial" w:eastAsia="Arial" w:hAnsi="Arial"/>
                <w:sz w:val="13"/>
                <w:szCs w:val="13"/>
                <w:color w:val="0000FF"/>
              </w:rPr>
            </w:pPr>
            <w:hyperlink r:id="rId172">
              <w:r>
                <w:rPr>
                  <w:rFonts w:ascii="Arial" w:cs="Arial" w:eastAsia="Arial" w:hAnsi="Arial"/>
                  <w:sz w:val="13"/>
                  <w:szCs w:val="13"/>
                  <w:color w:val="0000FF"/>
                </w:rPr>
                <w:t>the signatures pages thereto and Bank of America,</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1340" w:type="dxa"/>
            <w:vAlign w:val="bottom"/>
          </w:tcPr>
          <w:p>
            <w:pPr>
              <w:spacing w:after="0"/>
              <w:rPr>
                <w:sz w:val="11"/>
                <w:szCs w:val="11"/>
                <w:color w:val="auto"/>
              </w:rPr>
            </w:pPr>
          </w:p>
        </w:tc>
        <w:tc>
          <w:tcPr>
            <w:tcW w:w="4060" w:type="dxa"/>
            <w:vAlign w:val="bottom"/>
            <w:tcBorders>
              <w:top w:val="single" w:sz="8" w:color="0000FF"/>
            </w:tcBorders>
            <w:gridSpan w:val="5"/>
          </w:tcPr>
          <w:p>
            <w:pPr>
              <w:spacing w:after="0" w:line="129" w:lineRule="exact"/>
              <w:rPr>
                <w:rFonts w:ascii="Arial" w:cs="Arial" w:eastAsia="Arial" w:hAnsi="Arial"/>
                <w:sz w:val="13"/>
                <w:szCs w:val="13"/>
                <w:color w:val="0000FF"/>
              </w:rPr>
            </w:pPr>
            <w:hyperlink r:id="rId172">
              <w:r>
                <w:rPr>
                  <w:rFonts w:ascii="Arial" w:cs="Arial" w:eastAsia="Arial" w:hAnsi="Arial"/>
                  <w:sz w:val="13"/>
                  <w:szCs w:val="13"/>
                  <w:color w:val="0000FF"/>
                </w:rPr>
                <w:t>N.A., as administrative agent</w:t>
              </w:r>
            </w:hyperlink>
          </w:p>
        </w:tc>
        <w:tc>
          <w:tcPr>
            <w:tcW w:w="40" w:type="dxa"/>
            <w:vAlign w:val="bottom"/>
          </w:tcPr>
          <w:p>
            <w:pPr>
              <w:spacing w:after="0"/>
              <w:rPr>
                <w:sz w:val="11"/>
                <w:szCs w:val="11"/>
                <w:color w:val="auto"/>
              </w:rPr>
            </w:pPr>
          </w:p>
        </w:tc>
        <w:tc>
          <w:tcPr>
            <w:tcW w:w="18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3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4440" w:type="dxa"/>
            <w:vAlign w:val="bottom"/>
            <w:gridSpan w:val="16"/>
          </w:tcPr>
          <w:p>
            <w:pPr>
              <w:spacing w:after="0" w:line="196" w:lineRule="exact"/>
              <w:rPr>
                <w:rFonts w:ascii="Arial" w:cs="Arial" w:eastAsia="Arial" w:hAnsi="Arial"/>
                <w:sz w:val="18"/>
                <w:szCs w:val="18"/>
                <w:color w:val="0000FF"/>
              </w:rPr>
            </w:pPr>
            <w:hyperlink r:id="rId173">
              <w:r>
                <w:rPr>
                  <w:rFonts w:ascii="Arial" w:cs="Arial" w:eastAsia="Arial" w:hAnsi="Arial"/>
                  <w:sz w:val="18"/>
                  <w:szCs w:val="18"/>
                  <w:color w:val="0000FF"/>
                </w:rPr>
                <w:t>Fourth Amendment, dated as of June 28, 2021, to the</w:t>
              </w:r>
            </w:hyperlink>
          </w:p>
        </w:tc>
      </w:tr>
      <w:tr>
        <w:trPr>
          <w:trHeight w:val="169"/>
        </w:trPr>
        <w:tc>
          <w:tcPr>
            <w:tcW w:w="1340" w:type="dxa"/>
            <w:vAlign w:val="bottom"/>
          </w:tcPr>
          <w:p>
            <w:pPr>
              <w:spacing w:after="0"/>
              <w:rPr>
                <w:sz w:val="14"/>
                <w:szCs w:val="14"/>
                <w:color w:val="auto"/>
              </w:rPr>
            </w:pPr>
          </w:p>
        </w:tc>
        <w:tc>
          <w:tcPr>
            <w:tcW w:w="430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r:id="rId173">
              <w:r>
                <w:rPr>
                  <w:rFonts w:ascii="Arial" w:cs="Arial" w:eastAsia="Arial" w:hAnsi="Arial"/>
                  <w:sz w:val="18"/>
                  <w:szCs w:val="18"/>
                  <w:color w:val="0000FF"/>
                </w:rPr>
                <w:t>Credit Agreement dated September 1, 2017, by and</w:t>
              </w:r>
            </w:hyperlink>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340" w:type="dxa"/>
            <w:vAlign w:val="bottom"/>
          </w:tcPr>
          <w:p>
            <w:pPr>
              <w:spacing w:after="0"/>
              <w:rPr>
                <w:sz w:val="14"/>
                <w:szCs w:val="14"/>
                <w:color w:val="auto"/>
              </w:rPr>
            </w:pPr>
          </w:p>
        </w:tc>
        <w:tc>
          <w:tcPr>
            <w:tcW w:w="4140" w:type="dxa"/>
            <w:vAlign w:val="bottom"/>
            <w:tcBorders>
              <w:top w:val="single" w:sz="8" w:color="0000FF"/>
            </w:tcBorders>
            <w:gridSpan w:val="8"/>
          </w:tcPr>
          <w:p>
            <w:pPr>
              <w:spacing w:after="0" w:line="169" w:lineRule="exact"/>
              <w:rPr>
                <w:rFonts w:ascii="Arial" w:cs="Arial" w:eastAsia="Arial" w:hAnsi="Arial"/>
                <w:sz w:val="18"/>
                <w:szCs w:val="18"/>
                <w:color w:val="0000FF"/>
              </w:rPr>
            </w:pPr>
            <w:hyperlink r:id="rId173">
              <w:r>
                <w:rPr>
                  <w:rFonts w:ascii="Arial" w:cs="Arial" w:eastAsia="Arial" w:hAnsi="Arial"/>
                  <w:sz w:val="18"/>
                  <w:szCs w:val="18"/>
                  <w:color w:val="0000FF"/>
                </w:rPr>
                <w:t>among ABM Industries Incorporated, a Delaware</w:t>
              </w:r>
            </w:hyperlink>
          </w:p>
        </w:tc>
        <w:tc>
          <w:tcPr>
            <w:tcW w:w="14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340" w:type="dxa"/>
            <w:vAlign w:val="bottom"/>
          </w:tcPr>
          <w:p>
            <w:pPr>
              <w:spacing w:after="0"/>
              <w:rPr>
                <w:sz w:val="14"/>
                <w:szCs w:val="14"/>
                <w:color w:val="auto"/>
              </w:rPr>
            </w:pPr>
          </w:p>
        </w:tc>
        <w:tc>
          <w:tcPr>
            <w:tcW w:w="3900" w:type="dxa"/>
            <w:vAlign w:val="bottom"/>
            <w:tcBorders>
              <w:top w:val="single" w:sz="8" w:color="0000FF"/>
            </w:tcBorders>
            <w:gridSpan w:val="4"/>
          </w:tcPr>
          <w:p>
            <w:pPr>
              <w:spacing w:after="0" w:line="169" w:lineRule="exact"/>
              <w:rPr>
                <w:rFonts w:ascii="Arial" w:cs="Arial" w:eastAsia="Arial" w:hAnsi="Arial"/>
                <w:sz w:val="18"/>
                <w:szCs w:val="18"/>
                <w:color w:val="0000FF"/>
              </w:rPr>
            </w:pPr>
            <w:hyperlink r:id="rId173">
              <w:r>
                <w:rPr>
                  <w:rFonts w:ascii="Arial" w:cs="Arial" w:eastAsia="Arial" w:hAnsi="Arial"/>
                  <w:sz w:val="18"/>
                  <w:szCs w:val="18"/>
                  <w:color w:val="0000FF"/>
                </w:rPr>
                <w:t>corporation, the Designated Borrowers identified</w:t>
              </w:r>
            </w:hyperlink>
          </w:p>
        </w:tc>
        <w:tc>
          <w:tcPr>
            <w:tcW w:w="540" w:type="dxa"/>
            <w:vAlign w:val="bottom"/>
            <w:gridSpan w:val="12"/>
          </w:tcPr>
          <w:p>
            <w:pPr>
              <w:spacing w:after="0" w:line="169" w:lineRule="exact"/>
              <w:rPr>
                <w:rFonts w:ascii="Arial" w:cs="Arial" w:eastAsia="Arial" w:hAnsi="Arial"/>
                <w:sz w:val="18"/>
                <w:szCs w:val="18"/>
                <w:color w:val="0000FF"/>
              </w:rPr>
            </w:pPr>
            <w:hyperlink r:id="rId173">
              <w:r>
                <w:rPr>
                  <w:rFonts w:ascii="Arial" w:cs="Arial" w:eastAsia="Arial" w:hAnsi="Arial"/>
                  <w:sz w:val="18"/>
                  <w:szCs w:val="18"/>
                  <w:color w:val="0000FF"/>
                </w:rPr>
                <w:t>on the</w:t>
              </w:r>
            </w:hyperlink>
          </w:p>
        </w:tc>
      </w:tr>
      <w:tr>
        <w:trPr>
          <w:trHeight w:val="169"/>
        </w:trPr>
        <w:tc>
          <w:tcPr>
            <w:tcW w:w="1340" w:type="dxa"/>
            <w:vAlign w:val="bottom"/>
          </w:tcPr>
          <w:p>
            <w:pPr>
              <w:spacing w:after="0"/>
              <w:rPr>
                <w:sz w:val="14"/>
                <w:szCs w:val="14"/>
                <w:color w:val="auto"/>
              </w:rPr>
            </w:pPr>
          </w:p>
        </w:tc>
        <w:tc>
          <w:tcPr>
            <w:tcW w:w="422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9"/>
              </w:rPr>
            </w:pPr>
            <w:hyperlink r:id="rId173">
              <w:r>
                <w:rPr>
                  <w:rFonts w:ascii="Arial" w:cs="Arial" w:eastAsia="Arial" w:hAnsi="Arial"/>
                  <w:sz w:val="18"/>
                  <w:szCs w:val="18"/>
                  <w:color w:val="0000FF"/>
                  <w:w w:val="99"/>
                </w:rPr>
                <w:t>signature pages thereto, the Guarantors identified on</w:t>
              </w:r>
            </w:hyperlink>
          </w:p>
        </w:tc>
        <w:tc>
          <w:tcPr>
            <w:tcW w:w="18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340" w:type="dxa"/>
            <w:vAlign w:val="bottom"/>
          </w:tcPr>
          <w:p>
            <w:pPr>
              <w:spacing w:after="0"/>
              <w:rPr>
                <w:sz w:val="14"/>
                <w:szCs w:val="14"/>
                <w:color w:val="auto"/>
              </w:rPr>
            </w:pPr>
          </w:p>
        </w:tc>
        <w:tc>
          <w:tcPr>
            <w:tcW w:w="4280" w:type="dxa"/>
            <w:vAlign w:val="bottom"/>
            <w:tcBorders>
              <w:bottom w:val="single" w:sz="8" w:color="0000FF"/>
            </w:tcBorders>
            <w:gridSpan w:val="11"/>
          </w:tcPr>
          <w:p>
            <w:pPr>
              <w:spacing w:after="0" w:line="169" w:lineRule="exact"/>
              <w:rPr>
                <w:rFonts w:ascii="Arial" w:cs="Arial" w:eastAsia="Arial" w:hAnsi="Arial"/>
                <w:sz w:val="18"/>
                <w:szCs w:val="18"/>
                <w:color w:val="0000FF"/>
                <w:w w:val="99"/>
              </w:rPr>
            </w:pPr>
            <w:hyperlink r:id="rId173">
              <w:r>
                <w:rPr>
                  <w:rFonts w:ascii="Arial" w:cs="Arial" w:eastAsia="Arial" w:hAnsi="Arial"/>
                  <w:sz w:val="18"/>
                  <w:szCs w:val="18"/>
                  <w:color w:val="0000FF"/>
                  <w:w w:val="99"/>
                </w:rPr>
                <w:t>the signature pages thereto, the Lenders identified on</w:t>
              </w:r>
            </w:hyperlink>
          </w:p>
        </w:tc>
        <w:tc>
          <w:tcPr>
            <w:tcW w:w="160" w:type="dxa"/>
            <w:vAlign w:val="bottom"/>
            <w:gridSpan w:val="5"/>
          </w:tcPr>
          <w:p>
            <w:pPr>
              <w:spacing w:after="0"/>
              <w:rPr>
                <w:sz w:val="14"/>
                <w:szCs w:val="14"/>
                <w:color w:val="auto"/>
              </w:rPr>
            </w:pPr>
          </w:p>
        </w:tc>
      </w:tr>
      <w:tr>
        <w:trPr>
          <w:trHeight w:val="169"/>
        </w:trPr>
        <w:tc>
          <w:tcPr>
            <w:tcW w:w="1340" w:type="dxa"/>
            <w:vAlign w:val="bottom"/>
          </w:tcPr>
          <w:p>
            <w:pPr>
              <w:spacing w:after="0"/>
              <w:rPr>
                <w:sz w:val="14"/>
                <w:szCs w:val="14"/>
                <w:color w:val="auto"/>
              </w:rPr>
            </w:pPr>
          </w:p>
        </w:tc>
        <w:tc>
          <w:tcPr>
            <w:tcW w:w="4440" w:type="dxa"/>
            <w:vAlign w:val="bottom"/>
            <w:gridSpan w:val="16"/>
          </w:tcPr>
          <w:p>
            <w:pPr>
              <w:spacing w:after="0" w:line="169" w:lineRule="exact"/>
              <w:rPr>
                <w:rFonts w:ascii="Arial" w:cs="Arial" w:eastAsia="Arial" w:hAnsi="Arial"/>
                <w:sz w:val="18"/>
                <w:szCs w:val="18"/>
                <w:color w:val="0000FF"/>
              </w:rPr>
            </w:pPr>
            <w:hyperlink r:id="rId173">
              <w:r>
                <w:rPr>
                  <w:rFonts w:ascii="Arial" w:cs="Arial" w:eastAsia="Arial" w:hAnsi="Arial"/>
                  <w:sz w:val="18"/>
                  <w:szCs w:val="18"/>
                  <w:color w:val="0000FF"/>
                </w:rPr>
                <w:t>the signature pages thereto and Bank of America, N.A.,</w:t>
              </w:r>
            </w:hyperlink>
          </w:p>
        </w:tc>
      </w:tr>
      <w:tr>
        <w:trPr>
          <w:trHeight w:val="169"/>
        </w:trPr>
        <w:tc>
          <w:tcPr>
            <w:tcW w:w="1340" w:type="dxa"/>
            <w:vAlign w:val="bottom"/>
          </w:tcPr>
          <w:p>
            <w:pPr>
              <w:spacing w:after="0"/>
              <w:rPr>
                <w:sz w:val="14"/>
                <w:szCs w:val="14"/>
                <w:color w:val="auto"/>
              </w:rPr>
            </w:pPr>
          </w:p>
        </w:tc>
        <w:tc>
          <w:tcPr>
            <w:tcW w:w="18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9"/>
              </w:rPr>
            </w:pPr>
            <w:hyperlink r:id="rId173">
              <w:r>
                <w:rPr>
                  <w:rFonts w:ascii="Arial" w:cs="Arial" w:eastAsia="Arial" w:hAnsi="Arial"/>
                  <w:sz w:val="18"/>
                  <w:szCs w:val="18"/>
                  <w:color w:val="0000FF"/>
                  <w:w w:val="99"/>
                </w:rPr>
                <w:t>as administrative agent</w:t>
              </w:r>
            </w:hyperlink>
          </w:p>
        </w:tc>
        <w:tc>
          <w:tcPr>
            <w:tcW w:w="256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1340" w:type="dxa"/>
            <w:vAlign w:val="bottom"/>
          </w:tcPr>
          <w:p>
            <w:pPr>
              <w:spacing w:after="0"/>
              <w:rPr>
                <w:sz w:val="20"/>
                <w:szCs w:val="20"/>
                <w:color w:val="auto"/>
              </w:rPr>
            </w:pPr>
            <w:r>
              <w:rPr>
                <w:rFonts w:ascii="Arial" w:cs="Arial" w:eastAsia="Arial" w:hAnsi="Arial"/>
                <w:sz w:val="18"/>
                <w:szCs w:val="18"/>
                <w:color w:val="auto"/>
              </w:rPr>
              <w:t>10.7*</w:t>
            </w:r>
          </w:p>
        </w:tc>
        <w:tc>
          <w:tcPr>
            <w:tcW w:w="4440" w:type="dxa"/>
            <w:vAlign w:val="bottom"/>
            <w:gridSpan w:val="16"/>
          </w:tcPr>
          <w:p>
            <w:pPr>
              <w:spacing w:after="0"/>
              <w:rPr>
                <w:rFonts w:ascii="Arial" w:cs="Arial" w:eastAsia="Arial" w:hAnsi="Arial"/>
                <w:sz w:val="18"/>
                <w:szCs w:val="18"/>
                <w:color w:val="0000FF"/>
              </w:rPr>
            </w:pPr>
            <w:hyperlink r:id="rId174">
              <w:r>
                <w:rPr>
                  <w:rFonts w:ascii="Arial" w:cs="Arial" w:eastAsia="Arial" w:hAnsi="Arial"/>
                  <w:sz w:val="18"/>
                  <w:szCs w:val="18"/>
                  <w:color w:val="0000FF"/>
                </w:rPr>
                <w:t>ABM Executive Retiree Healthcare and Dental Plan</w:t>
              </w:r>
            </w:hyperlink>
          </w:p>
        </w:tc>
      </w:tr>
      <w:tr>
        <w:trPr>
          <w:trHeight w:val="20"/>
        </w:trPr>
        <w:tc>
          <w:tcPr>
            <w:tcW w:w="13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340" w:type="dxa"/>
            <w:vAlign w:val="bottom"/>
          </w:tcPr>
          <w:p>
            <w:pPr>
              <w:spacing w:after="0"/>
              <w:rPr>
                <w:sz w:val="20"/>
                <w:szCs w:val="20"/>
                <w:color w:val="auto"/>
              </w:rPr>
            </w:pPr>
            <w:r>
              <w:rPr>
                <w:rFonts w:ascii="Arial" w:cs="Arial" w:eastAsia="Arial" w:hAnsi="Arial"/>
                <w:sz w:val="18"/>
                <w:szCs w:val="18"/>
                <w:color w:val="auto"/>
              </w:rPr>
              <w:t>10.8*</w:t>
            </w:r>
          </w:p>
        </w:tc>
        <w:tc>
          <w:tcPr>
            <w:tcW w:w="4440" w:type="dxa"/>
            <w:vAlign w:val="bottom"/>
            <w:gridSpan w:val="16"/>
          </w:tcPr>
          <w:p>
            <w:pPr>
              <w:spacing w:after="0"/>
              <w:rPr>
                <w:rFonts w:ascii="Arial" w:cs="Arial" w:eastAsia="Arial" w:hAnsi="Arial"/>
                <w:sz w:val="18"/>
                <w:szCs w:val="18"/>
                <w:color w:val="0000FF"/>
              </w:rPr>
            </w:pPr>
            <w:hyperlink r:id="rId175">
              <w:r>
                <w:rPr>
                  <w:rFonts w:ascii="Arial" w:cs="Arial" w:eastAsia="Arial" w:hAnsi="Arial"/>
                  <w:sz w:val="18"/>
                  <w:szCs w:val="18"/>
                  <w:color w:val="0000FF"/>
                </w:rPr>
                <w:t>Director Retirement Plan Distribution Election Form, as</w:t>
              </w:r>
            </w:hyperlink>
          </w:p>
        </w:tc>
      </w:tr>
      <w:tr>
        <w:trPr>
          <w:trHeight w:val="155"/>
        </w:trPr>
        <w:tc>
          <w:tcPr>
            <w:tcW w:w="1340" w:type="dxa"/>
            <w:vAlign w:val="bottom"/>
          </w:tcPr>
          <w:p>
            <w:pPr>
              <w:spacing w:after="0"/>
              <w:rPr>
                <w:sz w:val="13"/>
                <w:szCs w:val="13"/>
                <w:color w:val="auto"/>
              </w:rPr>
            </w:pPr>
          </w:p>
        </w:tc>
        <w:tc>
          <w:tcPr>
            <w:tcW w:w="17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9"/>
              </w:rPr>
            </w:pPr>
            <w:hyperlink r:id="rId175">
              <w:r>
                <w:rPr>
                  <w:rFonts w:ascii="Arial" w:cs="Arial" w:eastAsia="Arial" w:hAnsi="Arial"/>
                  <w:sz w:val="18"/>
                  <w:szCs w:val="18"/>
                  <w:color w:val="0000FF"/>
                  <w:w w:val="99"/>
                </w:rPr>
                <w:t>revised June 16, 2006</w:t>
              </w:r>
            </w:hyperlink>
          </w:p>
        </w:tc>
        <w:tc>
          <w:tcPr>
            <w:tcW w:w="2600" w:type="dxa"/>
            <w:vAlign w:val="bottom"/>
            <w:tcBorders>
              <w:top w:val="single" w:sz="8" w:color="0000FF"/>
            </w:tcBorders>
            <w:gridSpan w:val="12"/>
          </w:tcPr>
          <w:p>
            <w:pPr>
              <w:spacing w:after="0"/>
              <w:rPr>
                <w:sz w:val="13"/>
                <w:szCs w:val="13"/>
                <w:color w:val="auto"/>
              </w:rPr>
            </w:pPr>
          </w:p>
        </w:tc>
        <w:tc>
          <w:tcPr>
            <w:tcW w:w="60" w:type="dxa"/>
            <w:vAlign w:val="bottom"/>
            <w:gridSpan w:val="3"/>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-2168525</wp:posOffset>
            </wp:positionV>
            <wp:extent cx="7132320" cy="7886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7132320" cy="788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tabs>
          <w:tab w:leader="none" w:pos="820" w:val="left"/>
          <w:tab w:leader="none" w:pos="2240" w:val="left"/>
          <w:tab w:leader="none" w:pos="34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001-08929</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June 18,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820" w:val="left"/>
          <w:tab w:leader="none" w:pos="2240" w:val="left"/>
          <w:tab w:leader="none" w:pos="32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001-08929</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September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10-K</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001-08929</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10.17</w:t>
            </w:r>
          </w:p>
        </w:tc>
        <w:tc>
          <w:tcPr>
            <w:tcW w:w="1840" w:type="dxa"/>
            <w:vAlign w:val="bottom"/>
          </w:tcPr>
          <w:p>
            <w:pPr>
              <w:jc w:val="center"/>
              <w:ind w:left="210"/>
              <w:spacing w:after="0"/>
              <w:rPr>
                <w:sz w:val="20"/>
                <w:szCs w:val="20"/>
                <w:color w:val="auto"/>
              </w:rPr>
            </w:pPr>
            <w:r>
              <w:rPr>
                <w:rFonts w:ascii="Arial" w:cs="Arial" w:eastAsia="Arial" w:hAnsi="Arial"/>
                <w:sz w:val="18"/>
                <w:szCs w:val="18"/>
                <w:color w:val="auto"/>
                <w:w w:val="99"/>
              </w:rPr>
              <w:t>January 14, 2005</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001-08929</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10.1</w:t>
            </w:r>
          </w:p>
        </w:tc>
        <w:tc>
          <w:tcPr>
            <w:tcW w:w="1840" w:type="dxa"/>
            <w:vAlign w:val="bottom"/>
          </w:tcPr>
          <w:p>
            <w:pPr>
              <w:jc w:val="center"/>
              <w:ind w:left="210"/>
              <w:spacing w:after="0"/>
              <w:rPr>
                <w:sz w:val="20"/>
                <w:szCs w:val="20"/>
                <w:color w:val="auto"/>
              </w:rPr>
            </w:pPr>
            <w:r>
              <w:rPr>
                <w:rFonts w:ascii="Arial" w:cs="Arial" w:eastAsia="Arial" w:hAnsi="Arial"/>
                <w:sz w:val="18"/>
                <w:szCs w:val="18"/>
                <w:color w:val="auto"/>
              </w:rPr>
              <w:t>September 8, 2006</w:t>
            </w:r>
          </w:p>
        </w:tc>
      </w:tr>
    </w:tbl>
    <w:p>
      <w:pPr>
        <w:spacing w:after="0" w:line="156" w:lineRule="exact"/>
        <w:rPr>
          <w:sz w:val="20"/>
          <w:szCs w:val="20"/>
          <w:color w:val="auto"/>
        </w:rPr>
      </w:pPr>
    </w:p>
    <w:p>
      <w:pPr>
        <w:sectPr>
          <w:pgSz w:w="11900" w:h="16838" w:orient="portrait"/>
          <w:cols w:equalWidth="0" w:num="2">
            <w:col w:w="5780" w:space="340"/>
            <w:col w:w="5120"/>
          </w:cols>
          <w:pgMar w:left="320" w:top="1067"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DCE2EF"/>
          </w:tcPr>
          <w:p>
            <w:pPr>
              <w:ind w:left="20"/>
              <w:spacing w:after="0"/>
              <w:rPr>
                <w:sz w:val="20"/>
                <w:szCs w:val="20"/>
                <w:color w:val="auto"/>
              </w:rPr>
            </w:pPr>
            <w:r>
              <w:rPr>
                <w:rFonts w:ascii="Arial" w:cs="Arial" w:eastAsia="Arial" w:hAnsi="Arial"/>
                <w:sz w:val="18"/>
                <w:szCs w:val="18"/>
                <w:color w:val="auto"/>
              </w:rPr>
              <w:t>10.9*</w:t>
            </w:r>
          </w:p>
        </w:tc>
        <w:tc>
          <w:tcPr>
            <w:tcW w:w="4580" w:type="dxa"/>
            <w:vAlign w:val="bottom"/>
            <w:gridSpan w:val="15"/>
            <w:shd w:val="clear" w:color="auto" w:fill="DCE2EF"/>
          </w:tcPr>
          <w:p>
            <w:pPr>
              <w:spacing w:after="0"/>
              <w:rPr>
                <w:rFonts w:ascii="Arial" w:cs="Arial" w:eastAsia="Arial" w:hAnsi="Arial"/>
                <w:sz w:val="18"/>
                <w:szCs w:val="18"/>
                <w:color w:val="0000FF"/>
              </w:rPr>
            </w:pPr>
            <w:hyperlink r:id="rId178">
              <w:r>
                <w:rPr>
                  <w:rFonts w:ascii="Arial" w:cs="Arial" w:eastAsia="Arial" w:hAnsi="Arial"/>
                  <w:sz w:val="18"/>
                  <w:szCs w:val="18"/>
                  <w:color w:val="0000FF"/>
                </w:rPr>
                <w:t>Deferred Compensation Plan for Non-Employee</w:t>
              </w:r>
            </w:hyperlink>
          </w:p>
        </w:tc>
        <w:tc>
          <w:tcPr>
            <w:tcW w:w="80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10-K</w:t>
            </w:r>
          </w:p>
        </w:tc>
        <w:tc>
          <w:tcPr>
            <w:tcW w:w="136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rPr>
              <w:t>001-08929</w:t>
            </w:r>
          </w:p>
        </w:tc>
        <w:tc>
          <w:tcPr>
            <w:tcW w:w="96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rPr>
              <w:t>10.7</w:t>
            </w:r>
          </w:p>
        </w:tc>
        <w:tc>
          <w:tcPr>
            <w:tcW w:w="218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December 23, 2010</w:t>
            </w:r>
          </w:p>
        </w:tc>
      </w:tr>
      <w:tr>
        <w:trPr>
          <w:trHeight w:val="156"/>
        </w:trPr>
        <w:tc>
          <w:tcPr>
            <w:tcW w:w="1360" w:type="dxa"/>
            <w:vAlign w:val="bottom"/>
            <w:tcBorders>
              <w:top w:val="single" w:sz="8" w:color="DCE2EF"/>
            </w:tcBorders>
            <w:shd w:val="clear" w:color="auto" w:fill="DCE2EF"/>
          </w:tcPr>
          <w:p>
            <w:pPr>
              <w:spacing w:after="0"/>
              <w:rPr>
                <w:sz w:val="13"/>
                <w:szCs w:val="13"/>
                <w:color w:val="auto"/>
              </w:rPr>
            </w:pPr>
          </w:p>
        </w:tc>
        <w:tc>
          <w:tcPr>
            <w:tcW w:w="3820" w:type="dxa"/>
            <w:vAlign w:val="bottom"/>
            <w:tcBorders>
              <w:top w:val="single" w:sz="8" w:color="0000FF"/>
            </w:tcBorders>
            <w:gridSpan w:val="7"/>
            <w:shd w:val="clear" w:color="auto" w:fill="DCE2EF"/>
          </w:tcPr>
          <w:p>
            <w:pPr>
              <w:spacing w:after="0" w:line="157" w:lineRule="exact"/>
              <w:rPr>
                <w:rFonts w:ascii="Arial" w:cs="Arial" w:eastAsia="Arial" w:hAnsi="Arial"/>
                <w:sz w:val="18"/>
                <w:szCs w:val="18"/>
                <w:color w:val="0000FF"/>
              </w:rPr>
            </w:pPr>
            <w:hyperlink r:id="rId178">
              <w:r>
                <w:rPr>
                  <w:rFonts w:ascii="Arial" w:cs="Arial" w:eastAsia="Arial" w:hAnsi="Arial"/>
                  <w:sz w:val="18"/>
                  <w:szCs w:val="18"/>
                  <w:color w:val="0000FF"/>
                </w:rPr>
                <w:t>Directors, as amended and restated December</w:t>
              </w:r>
            </w:hyperlink>
          </w:p>
        </w:tc>
        <w:tc>
          <w:tcPr>
            <w:tcW w:w="440" w:type="dxa"/>
            <w:vAlign w:val="bottom"/>
            <w:tcBorders>
              <w:top w:val="single" w:sz="8" w:color="DCE2EF"/>
            </w:tcBorders>
            <w:gridSpan w:val="4"/>
            <w:shd w:val="clear" w:color="auto" w:fill="DCE2EF"/>
          </w:tcPr>
          <w:p>
            <w:pPr>
              <w:jc w:val="right"/>
              <w:ind w:right="220"/>
              <w:spacing w:after="0" w:line="157" w:lineRule="exact"/>
              <w:rPr>
                <w:rFonts w:ascii="Arial" w:cs="Arial" w:eastAsia="Arial" w:hAnsi="Arial"/>
                <w:sz w:val="18"/>
                <w:szCs w:val="18"/>
                <w:color w:val="0000FF"/>
                <w:w w:val="79"/>
              </w:rPr>
            </w:pPr>
            <w:hyperlink r:id="rId178">
              <w:r>
                <w:rPr>
                  <w:rFonts w:ascii="Arial" w:cs="Arial" w:eastAsia="Arial" w:hAnsi="Arial"/>
                  <w:sz w:val="18"/>
                  <w:szCs w:val="18"/>
                  <w:color w:val="0000FF"/>
                  <w:w w:val="79"/>
                </w:rPr>
                <w:t>13,</w:t>
              </w:r>
            </w:hyperlink>
          </w:p>
        </w:tc>
        <w:tc>
          <w:tcPr>
            <w:tcW w:w="20" w:type="dxa"/>
            <w:vAlign w:val="bottom"/>
            <w:tcBorders>
              <w:top w:val="single" w:sz="8" w:color="DCE2EF"/>
            </w:tcBorders>
            <w:shd w:val="clear" w:color="auto" w:fill="DCE2EF"/>
          </w:tcPr>
          <w:p>
            <w:pPr>
              <w:spacing w:after="0"/>
              <w:rPr>
                <w:sz w:val="13"/>
                <w:szCs w:val="13"/>
                <w:color w:val="auto"/>
              </w:rPr>
            </w:pPr>
          </w:p>
        </w:tc>
        <w:tc>
          <w:tcPr>
            <w:tcW w:w="80" w:type="dxa"/>
            <w:vAlign w:val="bottom"/>
            <w:tcBorders>
              <w:top w:val="single" w:sz="8" w:color="DCE2EF"/>
            </w:tcBorders>
            <w:shd w:val="clear" w:color="auto" w:fill="DCE2EF"/>
          </w:tcPr>
          <w:p>
            <w:pPr>
              <w:spacing w:after="0"/>
              <w:rPr>
                <w:sz w:val="13"/>
                <w:szCs w:val="13"/>
                <w:color w:val="auto"/>
              </w:rPr>
            </w:pPr>
          </w:p>
        </w:tc>
        <w:tc>
          <w:tcPr>
            <w:tcW w:w="40" w:type="dxa"/>
            <w:vAlign w:val="bottom"/>
            <w:tcBorders>
              <w:top w:val="single" w:sz="8" w:color="DCE2EF"/>
            </w:tcBorders>
            <w:shd w:val="clear" w:color="auto" w:fill="DCE2EF"/>
          </w:tcPr>
          <w:p>
            <w:pPr>
              <w:spacing w:after="0"/>
              <w:rPr>
                <w:sz w:val="13"/>
                <w:szCs w:val="13"/>
                <w:color w:val="auto"/>
              </w:rPr>
            </w:pPr>
          </w:p>
        </w:tc>
        <w:tc>
          <w:tcPr>
            <w:tcW w:w="180" w:type="dxa"/>
            <w:vAlign w:val="bottom"/>
            <w:tcBorders>
              <w:top w:val="single" w:sz="8" w:color="DCE2EF"/>
            </w:tcBorders>
            <w:shd w:val="clear" w:color="auto" w:fill="DCE2EF"/>
          </w:tcPr>
          <w:p>
            <w:pPr>
              <w:spacing w:after="0"/>
              <w:rPr>
                <w:sz w:val="13"/>
                <w:szCs w:val="13"/>
                <w:color w:val="auto"/>
              </w:rPr>
            </w:pPr>
          </w:p>
        </w:tc>
        <w:tc>
          <w:tcPr>
            <w:tcW w:w="800" w:type="dxa"/>
            <w:vAlign w:val="bottom"/>
            <w:tcBorders>
              <w:top w:val="single" w:sz="8" w:color="DCE2EF"/>
            </w:tcBorders>
            <w:shd w:val="clear" w:color="auto" w:fill="DCE2EF"/>
          </w:tcPr>
          <w:p>
            <w:pPr>
              <w:spacing w:after="0"/>
              <w:rPr>
                <w:sz w:val="13"/>
                <w:szCs w:val="13"/>
                <w:color w:val="auto"/>
              </w:rPr>
            </w:pPr>
          </w:p>
        </w:tc>
        <w:tc>
          <w:tcPr>
            <w:tcW w:w="1360" w:type="dxa"/>
            <w:vAlign w:val="bottom"/>
            <w:tcBorders>
              <w:top w:val="single" w:sz="8" w:color="DCE2EF"/>
            </w:tcBorders>
            <w:shd w:val="clear" w:color="auto" w:fill="DCE2EF"/>
          </w:tcPr>
          <w:p>
            <w:pPr>
              <w:spacing w:after="0"/>
              <w:rPr>
                <w:sz w:val="13"/>
                <w:szCs w:val="13"/>
                <w:color w:val="auto"/>
              </w:rPr>
            </w:pPr>
          </w:p>
        </w:tc>
        <w:tc>
          <w:tcPr>
            <w:tcW w:w="960" w:type="dxa"/>
            <w:vAlign w:val="bottom"/>
            <w:tcBorders>
              <w:top w:val="single" w:sz="8" w:color="DCE2EF"/>
            </w:tcBorders>
            <w:shd w:val="clear" w:color="auto" w:fill="DCE2EF"/>
          </w:tcPr>
          <w:p>
            <w:pPr>
              <w:spacing w:after="0"/>
              <w:rPr>
                <w:sz w:val="13"/>
                <w:szCs w:val="13"/>
                <w:color w:val="auto"/>
              </w:rPr>
            </w:pPr>
          </w:p>
        </w:tc>
        <w:tc>
          <w:tcPr>
            <w:tcW w:w="2180" w:type="dxa"/>
            <w:vAlign w:val="bottom"/>
            <w:tcBorders>
              <w:top w:val="single" w:sz="8" w:color="DCE2EF"/>
            </w:tcBorders>
            <w:shd w:val="clear" w:color="auto" w:fill="DCE2EF"/>
          </w:tcPr>
          <w:p>
            <w:pPr>
              <w:spacing w:after="0"/>
              <w:rPr>
                <w:sz w:val="13"/>
                <w:szCs w:val="13"/>
                <w:color w:val="auto"/>
              </w:rPr>
            </w:pPr>
          </w:p>
        </w:tc>
      </w:tr>
      <w:tr>
        <w:trPr>
          <w:trHeight w:val="156"/>
        </w:trPr>
        <w:tc>
          <w:tcPr>
            <w:tcW w:w="1360" w:type="dxa"/>
            <w:vAlign w:val="bottom"/>
            <w:tcBorders>
              <w:top w:val="single" w:sz="8" w:color="DCE2EF"/>
            </w:tcBorders>
            <w:shd w:val="clear" w:color="auto" w:fill="DCE2EF"/>
          </w:tcPr>
          <w:p>
            <w:pPr>
              <w:spacing w:after="0"/>
              <w:rPr>
                <w:sz w:val="13"/>
                <w:szCs w:val="13"/>
                <w:color w:val="auto"/>
              </w:rPr>
            </w:pPr>
          </w:p>
        </w:tc>
        <w:tc>
          <w:tcPr>
            <w:tcW w:w="1160" w:type="dxa"/>
            <w:vAlign w:val="bottom"/>
            <w:tcBorders>
              <w:top w:val="single" w:sz="8" w:color="0000FF"/>
            </w:tcBorders>
            <w:gridSpan w:val="2"/>
            <w:shd w:val="clear" w:color="auto" w:fill="DCE2EF"/>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2010</w:t>
              </w:r>
            </w:hyperlink>
          </w:p>
        </w:tc>
        <w:tc>
          <w:tcPr>
            <w:tcW w:w="420" w:type="dxa"/>
            <w:vAlign w:val="bottom"/>
            <w:tcBorders>
              <w:top w:val="single" w:sz="8" w:color="0000FF"/>
            </w:tcBorders>
            <w:shd w:val="clear" w:color="auto" w:fill="DCE2EF"/>
          </w:tcPr>
          <w:p>
            <w:pPr>
              <w:spacing w:after="0"/>
              <w:rPr>
                <w:sz w:val="13"/>
                <w:szCs w:val="13"/>
                <w:color w:val="auto"/>
              </w:rPr>
            </w:pPr>
          </w:p>
        </w:tc>
        <w:tc>
          <w:tcPr>
            <w:tcW w:w="1140" w:type="dxa"/>
            <w:vAlign w:val="bottom"/>
            <w:tcBorders>
              <w:top w:val="single" w:sz="8" w:color="0000FF"/>
            </w:tcBorders>
            <w:shd w:val="clear" w:color="auto" w:fill="DCE2EF"/>
          </w:tcPr>
          <w:p>
            <w:pPr>
              <w:spacing w:after="0"/>
              <w:rPr>
                <w:sz w:val="13"/>
                <w:szCs w:val="13"/>
                <w:color w:val="auto"/>
              </w:rPr>
            </w:pPr>
          </w:p>
        </w:tc>
        <w:tc>
          <w:tcPr>
            <w:tcW w:w="140" w:type="dxa"/>
            <w:vAlign w:val="bottom"/>
            <w:tcBorders>
              <w:top w:val="single" w:sz="8" w:color="0000FF"/>
            </w:tcBorders>
            <w:shd w:val="clear" w:color="auto" w:fill="DCE2EF"/>
          </w:tcPr>
          <w:p>
            <w:pPr>
              <w:spacing w:after="0"/>
              <w:rPr>
                <w:sz w:val="13"/>
                <w:szCs w:val="13"/>
                <w:color w:val="auto"/>
              </w:rPr>
            </w:pPr>
          </w:p>
        </w:tc>
        <w:tc>
          <w:tcPr>
            <w:tcW w:w="760" w:type="dxa"/>
            <w:vAlign w:val="bottom"/>
            <w:tcBorders>
              <w:top w:val="single" w:sz="8" w:color="0000FF"/>
            </w:tcBorders>
            <w:shd w:val="clear" w:color="auto" w:fill="DCE2EF"/>
          </w:tcPr>
          <w:p>
            <w:pPr>
              <w:spacing w:after="0"/>
              <w:rPr>
                <w:sz w:val="13"/>
                <w:szCs w:val="13"/>
                <w:color w:val="auto"/>
              </w:rPr>
            </w:pPr>
          </w:p>
        </w:tc>
        <w:tc>
          <w:tcPr>
            <w:tcW w:w="200" w:type="dxa"/>
            <w:vAlign w:val="bottom"/>
            <w:tcBorders>
              <w:top w:val="single" w:sz="8" w:color="0000FF"/>
            </w:tcBorders>
            <w:shd w:val="clear" w:color="auto" w:fill="DCE2EF"/>
          </w:tcPr>
          <w:p>
            <w:pPr>
              <w:spacing w:after="0"/>
              <w:rPr>
                <w:sz w:val="13"/>
                <w:szCs w:val="13"/>
                <w:color w:val="auto"/>
              </w:rPr>
            </w:pPr>
          </w:p>
        </w:tc>
        <w:tc>
          <w:tcPr>
            <w:tcW w:w="20" w:type="dxa"/>
            <w:vAlign w:val="bottom"/>
            <w:tcBorders>
              <w:top w:val="single" w:sz="8" w:color="0000FF"/>
            </w:tcBorders>
            <w:shd w:val="clear" w:color="auto" w:fill="DCE2EF"/>
          </w:tcPr>
          <w:p>
            <w:pPr>
              <w:spacing w:after="0"/>
              <w:rPr>
                <w:sz w:val="13"/>
                <w:szCs w:val="13"/>
                <w:color w:val="auto"/>
              </w:rPr>
            </w:pPr>
          </w:p>
        </w:tc>
        <w:tc>
          <w:tcPr>
            <w:tcW w:w="60" w:type="dxa"/>
            <w:vAlign w:val="bottom"/>
            <w:tcBorders>
              <w:top w:val="single" w:sz="8" w:color="0000FF"/>
            </w:tcBorders>
            <w:shd w:val="clear" w:color="auto" w:fill="DCE2EF"/>
          </w:tcPr>
          <w:p>
            <w:pPr>
              <w:spacing w:after="0"/>
              <w:rPr>
                <w:sz w:val="13"/>
                <w:szCs w:val="13"/>
                <w:color w:val="auto"/>
              </w:rPr>
            </w:pPr>
          </w:p>
        </w:tc>
        <w:tc>
          <w:tcPr>
            <w:tcW w:w="140" w:type="dxa"/>
            <w:vAlign w:val="bottom"/>
            <w:tcBorders>
              <w:top w:val="single" w:sz="8" w:color="0000FF"/>
            </w:tcBorders>
            <w:shd w:val="clear" w:color="auto" w:fill="DCE2EF"/>
          </w:tcPr>
          <w:p>
            <w:pPr>
              <w:spacing w:after="0"/>
              <w:rPr>
                <w:sz w:val="13"/>
                <w:szCs w:val="13"/>
                <w:color w:val="auto"/>
              </w:rPr>
            </w:pPr>
          </w:p>
        </w:tc>
        <w:tc>
          <w:tcPr>
            <w:tcW w:w="2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80" w:type="dxa"/>
            <w:vAlign w:val="bottom"/>
            <w:tcBorders>
              <w:top w:val="single" w:sz="8" w:color="DCE2EF"/>
            </w:tcBorders>
            <w:shd w:val="clear" w:color="auto" w:fill="DCE2EF"/>
          </w:tcPr>
          <w:p>
            <w:pPr>
              <w:spacing w:after="0"/>
              <w:rPr>
                <w:sz w:val="13"/>
                <w:szCs w:val="13"/>
                <w:color w:val="auto"/>
              </w:rPr>
            </w:pPr>
          </w:p>
        </w:tc>
        <w:tc>
          <w:tcPr>
            <w:tcW w:w="40" w:type="dxa"/>
            <w:vAlign w:val="bottom"/>
            <w:tcBorders>
              <w:top w:val="single" w:sz="8" w:color="DCE2EF"/>
            </w:tcBorders>
            <w:shd w:val="clear" w:color="auto" w:fill="DCE2EF"/>
          </w:tcPr>
          <w:p>
            <w:pPr>
              <w:spacing w:after="0"/>
              <w:rPr>
                <w:sz w:val="13"/>
                <w:szCs w:val="13"/>
                <w:color w:val="auto"/>
              </w:rPr>
            </w:pPr>
          </w:p>
        </w:tc>
        <w:tc>
          <w:tcPr>
            <w:tcW w:w="180" w:type="dxa"/>
            <w:vAlign w:val="bottom"/>
            <w:tcBorders>
              <w:top w:val="single" w:sz="8" w:color="DCE2EF"/>
            </w:tcBorders>
            <w:shd w:val="clear" w:color="auto" w:fill="DCE2EF"/>
          </w:tcPr>
          <w:p>
            <w:pPr>
              <w:spacing w:after="0"/>
              <w:rPr>
                <w:sz w:val="13"/>
                <w:szCs w:val="13"/>
                <w:color w:val="auto"/>
              </w:rPr>
            </w:pPr>
          </w:p>
        </w:tc>
        <w:tc>
          <w:tcPr>
            <w:tcW w:w="800" w:type="dxa"/>
            <w:vAlign w:val="bottom"/>
            <w:tcBorders>
              <w:top w:val="single" w:sz="8" w:color="DCE2EF"/>
            </w:tcBorders>
            <w:shd w:val="clear" w:color="auto" w:fill="DCE2EF"/>
          </w:tcPr>
          <w:p>
            <w:pPr>
              <w:spacing w:after="0"/>
              <w:rPr>
                <w:sz w:val="13"/>
                <w:szCs w:val="13"/>
                <w:color w:val="auto"/>
              </w:rPr>
            </w:pPr>
          </w:p>
        </w:tc>
        <w:tc>
          <w:tcPr>
            <w:tcW w:w="1360" w:type="dxa"/>
            <w:vAlign w:val="bottom"/>
            <w:tcBorders>
              <w:top w:val="single" w:sz="8" w:color="DCE2EF"/>
            </w:tcBorders>
            <w:shd w:val="clear" w:color="auto" w:fill="DCE2EF"/>
          </w:tcPr>
          <w:p>
            <w:pPr>
              <w:spacing w:after="0"/>
              <w:rPr>
                <w:sz w:val="13"/>
                <w:szCs w:val="13"/>
                <w:color w:val="auto"/>
              </w:rPr>
            </w:pPr>
          </w:p>
        </w:tc>
        <w:tc>
          <w:tcPr>
            <w:tcW w:w="960" w:type="dxa"/>
            <w:vAlign w:val="bottom"/>
            <w:tcBorders>
              <w:top w:val="single" w:sz="8" w:color="DCE2EF"/>
            </w:tcBorders>
            <w:shd w:val="clear" w:color="auto" w:fill="DCE2EF"/>
          </w:tcPr>
          <w:p>
            <w:pPr>
              <w:spacing w:after="0"/>
              <w:rPr>
                <w:sz w:val="13"/>
                <w:szCs w:val="13"/>
                <w:color w:val="auto"/>
              </w:rPr>
            </w:pPr>
          </w:p>
        </w:tc>
        <w:tc>
          <w:tcPr>
            <w:tcW w:w="2180" w:type="dxa"/>
            <w:vAlign w:val="bottom"/>
            <w:tcBorders>
              <w:top w:val="single" w:sz="8" w:color="DCE2EF"/>
            </w:tcBorders>
            <w:shd w:val="clear" w:color="auto" w:fill="DCE2EF"/>
          </w:tcPr>
          <w:p>
            <w:pPr>
              <w:spacing w:after="0"/>
              <w:rPr>
                <w:sz w:val="13"/>
                <w:szCs w:val="13"/>
                <w:color w:val="auto"/>
              </w:rPr>
            </w:pPr>
          </w:p>
        </w:tc>
      </w:tr>
      <w:tr>
        <w:trPr>
          <w:trHeight w:val="21"/>
        </w:trPr>
        <w:tc>
          <w:tcPr>
            <w:tcW w:w="1360" w:type="dxa"/>
            <w:vAlign w:val="bottom"/>
            <w:tcBorders>
              <w:top w:val="single" w:sz="8" w:color="DCE2EF"/>
            </w:tcBorders>
            <w:shd w:val="clear" w:color="auto" w:fill="DCE2EF"/>
          </w:tcPr>
          <w:p>
            <w:pPr>
              <w:spacing w:after="0" w:line="20" w:lineRule="exact"/>
              <w:rPr>
                <w:sz w:val="1"/>
                <w:szCs w:val="1"/>
                <w:color w:val="auto"/>
              </w:rPr>
            </w:pPr>
          </w:p>
        </w:tc>
        <w:tc>
          <w:tcPr>
            <w:tcW w:w="400" w:type="dxa"/>
            <w:vAlign w:val="bottom"/>
            <w:tcBorders>
              <w:top w:val="single" w:sz="8" w:color="0000FF"/>
            </w:tcBorders>
            <w:shd w:val="clear" w:color="auto" w:fill="DCE2EF"/>
          </w:tcPr>
          <w:p>
            <w:pPr>
              <w:spacing w:after="0" w:line="20" w:lineRule="exact"/>
              <w:rPr>
                <w:sz w:val="1"/>
                <w:szCs w:val="1"/>
                <w:color w:val="auto"/>
              </w:rPr>
            </w:pPr>
          </w:p>
        </w:tc>
        <w:tc>
          <w:tcPr>
            <w:tcW w:w="760" w:type="dxa"/>
            <w:vAlign w:val="bottom"/>
            <w:tcBorders>
              <w:top w:val="single" w:sz="8" w:color="DCE2EF"/>
            </w:tcBorders>
            <w:shd w:val="clear" w:color="auto" w:fill="DCE2EF"/>
          </w:tcPr>
          <w:p>
            <w:pPr>
              <w:spacing w:after="0" w:line="20" w:lineRule="exact"/>
              <w:rPr>
                <w:sz w:val="1"/>
                <w:szCs w:val="1"/>
                <w:color w:val="auto"/>
              </w:rPr>
            </w:pPr>
          </w:p>
        </w:tc>
        <w:tc>
          <w:tcPr>
            <w:tcW w:w="420" w:type="dxa"/>
            <w:vAlign w:val="bottom"/>
            <w:tcBorders>
              <w:top w:val="single" w:sz="8" w:color="DCE2EF"/>
            </w:tcBorders>
            <w:shd w:val="clear" w:color="auto" w:fill="DCE2EF"/>
          </w:tcPr>
          <w:p>
            <w:pPr>
              <w:spacing w:after="0" w:line="20" w:lineRule="exact"/>
              <w:rPr>
                <w:sz w:val="1"/>
                <w:szCs w:val="1"/>
                <w:color w:val="auto"/>
              </w:rPr>
            </w:pPr>
          </w:p>
        </w:tc>
        <w:tc>
          <w:tcPr>
            <w:tcW w:w="1140" w:type="dxa"/>
            <w:vAlign w:val="bottom"/>
            <w:tcBorders>
              <w:top w:val="single" w:sz="8" w:color="DCE2EF"/>
            </w:tcBorders>
            <w:shd w:val="clear" w:color="auto" w:fill="DCE2EF"/>
          </w:tcPr>
          <w:p>
            <w:pPr>
              <w:spacing w:after="0" w:line="20" w:lineRule="exact"/>
              <w:rPr>
                <w:sz w:val="1"/>
                <w:szCs w:val="1"/>
                <w:color w:val="auto"/>
              </w:rPr>
            </w:pPr>
          </w:p>
        </w:tc>
        <w:tc>
          <w:tcPr>
            <w:tcW w:w="140" w:type="dxa"/>
            <w:vAlign w:val="bottom"/>
            <w:tcBorders>
              <w:top w:val="single" w:sz="8" w:color="DCE2EF"/>
            </w:tcBorders>
            <w:shd w:val="clear" w:color="auto" w:fill="DCE2EF"/>
          </w:tcPr>
          <w:p>
            <w:pPr>
              <w:spacing w:after="0" w:line="20" w:lineRule="exact"/>
              <w:rPr>
                <w:sz w:val="1"/>
                <w:szCs w:val="1"/>
                <w:color w:val="auto"/>
              </w:rPr>
            </w:pPr>
          </w:p>
        </w:tc>
        <w:tc>
          <w:tcPr>
            <w:tcW w:w="760" w:type="dxa"/>
            <w:vAlign w:val="bottom"/>
            <w:tcBorders>
              <w:top w:val="single" w:sz="8" w:color="DCE2EF"/>
            </w:tcBorders>
            <w:shd w:val="clear" w:color="auto" w:fill="DCE2EF"/>
          </w:tcPr>
          <w:p>
            <w:pPr>
              <w:spacing w:after="0" w:line="20" w:lineRule="exact"/>
              <w:rPr>
                <w:sz w:val="1"/>
                <w:szCs w:val="1"/>
                <w:color w:val="auto"/>
              </w:rPr>
            </w:pPr>
          </w:p>
        </w:tc>
        <w:tc>
          <w:tcPr>
            <w:tcW w:w="20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60" w:type="dxa"/>
            <w:vAlign w:val="bottom"/>
            <w:tcBorders>
              <w:top w:val="single" w:sz="8" w:color="DCE2EF"/>
            </w:tcBorders>
            <w:shd w:val="clear" w:color="auto" w:fill="DCE2EF"/>
          </w:tcPr>
          <w:p>
            <w:pPr>
              <w:spacing w:after="0" w:line="20" w:lineRule="exact"/>
              <w:rPr>
                <w:sz w:val="1"/>
                <w:szCs w:val="1"/>
                <w:color w:val="auto"/>
              </w:rPr>
            </w:pPr>
          </w:p>
        </w:tc>
        <w:tc>
          <w:tcPr>
            <w:tcW w:w="140" w:type="dxa"/>
            <w:vAlign w:val="bottom"/>
            <w:tcBorders>
              <w:top w:val="single" w:sz="8" w:color="DCE2EF"/>
            </w:tcBorders>
            <w:shd w:val="clear" w:color="auto" w:fill="DCE2EF"/>
          </w:tcPr>
          <w:p>
            <w:pPr>
              <w:spacing w:after="0" w:line="20" w:lineRule="exact"/>
              <w:rPr>
                <w:sz w:val="1"/>
                <w:szCs w:val="1"/>
                <w:color w:val="auto"/>
              </w:rPr>
            </w:pPr>
          </w:p>
        </w:tc>
        <w:tc>
          <w:tcPr>
            <w:tcW w:w="2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180" w:type="dxa"/>
            <w:vAlign w:val="bottom"/>
            <w:tcBorders>
              <w:top w:val="single" w:sz="8" w:color="DCE2EF"/>
            </w:tcBorders>
            <w:shd w:val="clear" w:color="auto" w:fill="DCE2EF"/>
          </w:tcPr>
          <w:p>
            <w:pPr>
              <w:spacing w:after="0" w:line="20" w:lineRule="exact"/>
              <w:rPr>
                <w:sz w:val="1"/>
                <w:szCs w:val="1"/>
                <w:color w:val="auto"/>
              </w:rPr>
            </w:pPr>
          </w:p>
        </w:tc>
        <w:tc>
          <w:tcPr>
            <w:tcW w:w="800" w:type="dxa"/>
            <w:vAlign w:val="bottom"/>
            <w:tcBorders>
              <w:top w:val="single" w:sz="8" w:color="DCE2EF"/>
            </w:tcBorders>
            <w:shd w:val="clear" w:color="auto" w:fill="DCE2EF"/>
          </w:tcPr>
          <w:p>
            <w:pPr>
              <w:spacing w:after="0" w:line="20" w:lineRule="exact"/>
              <w:rPr>
                <w:sz w:val="1"/>
                <w:szCs w:val="1"/>
                <w:color w:val="auto"/>
              </w:rPr>
            </w:pPr>
          </w:p>
        </w:tc>
        <w:tc>
          <w:tcPr>
            <w:tcW w:w="1360" w:type="dxa"/>
            <w:vAlign w:val="bottom"/>
            <w:tcBorders>
              <w:top w:val="single" w:sz="8" w:color="DCE2EF"/>
            </w:tcBorders>
            <w:shd w:val="clear" w:color="auto" w:fill="DCE2EF"/>
          </w:tcPr>
          <w:p>
            <w:pPr>
              <w:spacing w:after="0" w:line="20" w:lineRule="exact"/>
              <w:rPr>
                <w:sz w:val="1"/>
                <w:szCs w:val="1"/>
                <w:color w:val="auto"/>
              </w:rPr>
            </w:pPr>
          </w:p>
        </w:tc>
        <w:tc>
          <w:tcPr>
            <w:tcW w:w="960" w:type="dxa"/>
            <w:vAlign w:val="bottom"/>
            <w:tcBorders>
              <w:top w:val="single" w:sz="8" w:color="DCE2EF"/>
            </w:tcBorders>
            <w:shd w:val="clear" w:color="auto" w:fill="DCE2EF"/>
          </w:tcPr>
          <w:p>
            <w:pPr>
              <w:spacing w:after="0" w:line="20" w:lineRule="exact"/>
              <w:rPr>
                <w:sz w:val="1"/>
                <w:szCs w:val="1"/>
                <w:color w:val="auto"/>
              </w:rPr>
            </w:pPr>
          </w:p>
        </w:tc>
        <w:tc>
          <w:tcPr>
            <w:tcW w:w="2180" w:type="dxa"/>
            <w:vAlign w:val="bottom"/>
            <w:tcBorders>
              <w:top w:val="single" w:sz="8" w:color="DCE2EF"/>
            </w:tcBorders>
            <w:shd w:val="clear" w:color="auto" w:fill="DCE2EF"/>
          </w:tcPr>
          <w:p>
            <w:pPr>
              <w:spacing w:after="0" w:line="20" w:lineRule="exact"/>
              <w:rPr>
                <w:sz w:val="1"/>
                <w:szCs w:val="1"/>
                <w:color w:val="auto"/>
              </w:rPr>
            </w:pPr>
          </w:p>
        </w:tc>
      </w:tr>
      <w:tr>
        <w:trPr>
          <w:trHeight w:val="189"/>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10.10*</w:t>
            </w:r>
          </w:p>
        </w:tc>
        <w:tc>
          <w:tcPr>
            <w:tcW w:w="4580" w:type="dxa"/>
            <w:vAlign w:val="bottom"/>
            <w:gridSpan w:val="15"/>
          </w:tcPr>
          <w:p>
            <w:pPr>
              <w:spacing w:after="0" w:line="189" w:lineRule="exact"/>
              <w:rPr>
                <w:rFonts w:ascii="Arial" w:cs="Arial" w:eastAsia="Arial" w:hAnsi="Arial"/>
                <w:sz w:val="18"/>
                <w:szCs w:val="18"/>
                <w:color w:val="0000FF"/>
              </w:rPr>
            </w:pPr>
            <w:hyperlink r:id="rId179">
              <w:r>
                <w:rPr>
                  <w:rFonts w:ascii="Arial" w:cs="Arial" w:eastAsia="Arial" w:hAnsi="Arial"/>
                  <w:sz w:val="18"/>
                  <w:szCs w:val="18"/>
                  <w:color w:val="0000FF"/>
                </w:rPr>
                <w:t>Form of Director’s Indemnification Agreement</w:t>
              </w:r>
            </w:hyperlink>
          </w:p>
        </w:tc>
        <w:tc>
          <w:tcPr>
            <w:tcW w:w="800" w:type="dxa"/>
            <w:vAlign w:val="bottom"/>
          </w:tcPr>
          <w:p>
            <w:pPr>
              <w:jc w:val="center"/>
              <w:spacing w:after="0" w:line="189" w:lineRule="exact"/>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line="189" w:lineRule="exact"/>
              <w:rPr>
                <w:sz w:val="20"/>
                <w:szCs w:val="20"/>
                <w:color w:val="auto"/>
              </w:rPr>
            </w:pPr>
            <w:r>
              <w:rPr>
                <w:rFonts w:ascii="Arial" w:cs="Arial" w:eastAsia="Arial" w:hAnsi="Arial"/>
                <w:sz w:val="18"/>
                <w:szCs w:val="18"/>
                <w:color w:val="auto"/>
              </w:rPr>
              <w:t>001-08929</w:t>
            </w:r>
          </w:p>
        </w:tc>
        <w:tc>
          <w:tcPr>
            <w:tcW w:w="96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10.9</w:t>
            </w:r>
          </w:p>
        </w:tc>
        <w:tc>
          <w:tcPr>
            <w:tcW w:w="2180" w:type="dxa"/>
            <w:vAlign w:val="bottom"/>
          </w:tcPr>
          <w:p>
            <w:pPr>
              <w:jc w:val="center"/>
              <w:spacing w:after="0" w:line="189" w:lineRule="exact"/>
              <w:rPr>
                <w:sz w:val="20"/>
                <w:szCs w:val="20"/>
                <w:color w:val="auto"/>
              </w:rPr>
            </w:pPr>
            <w:r>
              <w:rPr>
                <w:rFonts w:ascii="Arial" w:cs="Arial" w:eastAsia="Arial" w:hAnsi="Arial"/>
                <w:sz w:val="18"/>
                <w:szCs w:val="18"/>
                <w:color w:val="auto"/>
                <w:w w:val="99"/>
              </w:rPr>
              <w:t>December 21, 2018</w:t>
            </w:r>
          </w:p>
        </w:tc>
      </w:tr>
      <w:tr>
        <w:trPr>
          <w:trHeight w:val="21"/>
        </w:trPr>
        <w:tc>
          <w:tcPr>
            <w:tcW w:w="136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89"/>
        </w:trPr>
        <w:tc>
          <w:tcPr>
            <w:tcW w:w="1360" w:type="dxa"/>
            <w:vAlign w:val="bottom"/>
            <w:shd w:val="clear" w:color="auto" w:fill="DCE2EF"/>
          </w:tcPr>
          <w:p>
            <w:pPr>
              <w:ind w:left="20"/>
              <w:spacing w:after="0" w:line="189" w:lineRule="exact"/>
              <w:rPr>
                <w:sz w:val="20"/>
                <w:szCs w:val="20"/>
                <w:color w:val="auto"/>
              </w:rPr>
            </w:pPr>
            <w:r>
              <w:rPr>
                <w:rFonts w:ascii="Arial" w:cs="Arial" w:eastAsia="Arial" w:hAnsi="Arial"/>
                <w:sz w:val="18"/>
                <w:szCs w:val="18"/>
                <w:color w:val="auto"/>
              </w:rPr>
              <w:t>10.11*</w:t>
            </w:r>
          </w:p>
        </w:tc>
        <w:tc>
          <w:tcPr>
            <w:tcW w:w="4580" w:type="dxa"/>
            <w:vAlign w:val="bottom"/>
            <w:gridSpan w:val="15"/>
            <w:shd w:val="clear" w:color="auto" w:fill="DCE2EF"/>
          </w:tcPr>
          <w:p>
            <w:pPr>
              <w:spacing w:after="0" w:line="189" w:lineRule="exact"/>
              <w:rPr>
                <w:rFonts w:ascii="Arial" w:cs="Arial" w:eastAsia="Arial" w:hAnsi="Arial"/>
                <w:sz w:val="18"/>
                <w:szCs w:val="18"/>
                <w:color w:val="0000FF"/>
              </w:rPr>
            </w:pPr>
            <w:hyperlink r:id="rId180">
              <w:r>
                <w:rPr>
                  <w:rFonts w:ascii="Arial" w:cs="Arial" w:eastAsia="Arial" w:hAnsi="Arial"/>
                  <w:sz w:val="18"/>
                  <w:szCs w:val="18"/>
                  <w:color w:val="0000FF"/>
                </w:rPr>
                <w:t>2006 Equity Incentive Plan, as amended and restated</w:t>
              </w:r>
            </w:hyperlink>
          </w:p>
        </w:tc>
        <w:tc>
          <w:tcPr>
            <w:tcW w:w="80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8-K</w:t>
            </w:r>
          </w:p>
        </w:tc>
        <w:tc>
          <w:tcPr>
            <w:tcW w:w="1360" w:type="dxa"/>
            <w:vAlign w:val="bottom"/>
            <w:shd w:val="clear" w:color="auto" w:fill="DCE2EF"/>
          </w:tcPr>
          <w:p>
            <w:pPr>
              <w:jc w:val="right"/>
              <w:ind w:right="190"/>
              <w:spacing w:after="0" w:line="189" w:lineRule="exact"/>
              <w:rPr>
                <w:sz w:val="20"/>
                <w:szCs w:val="20"/>
                <w:color w:val="auto"/>
              </w:rPr>
            </w:pPr>
            <w:r>
              <w:rPr>
                <w:rFonts w:ascii="Arial" w:cs="Arial" w:eastAsia="Arial" w:hAnsi="Arial"/>
                <w:sz w:val="18"/>
                <w:szCs w:val="18"/>
                <w:color w:val="auto"/>
              </w:rPr>
              <w:t>001-08929</w:t>
            </w:r>
          </w:p>
        </w:tc>
        <w:tc>
          <w:tcPr>
            <w:tcW w:w="960" w:type="dxa"/>
            <w:vAlign w:val="bottom"/>
            <w:shd w:val="clear" w:color="auto" w:fill="DCE2EF"/>
          </w:tcPr>
          <w:p>
            <w:pPr>
              <w:jc w:val="right"/>
              <w:ind w:right="230"/>
              <w:spacing w:after="0" w:line="189" w:lineRule="exact"/>
              <w:rPr>
                <w:sz w:val="20"/>
                <w:szCs w:val="20"/>
                <w:color w:val="auto"/>
              </w:rPr>
            </w:pPr>
            <w:r>
              <w:rPr>
                <w:rFonts w:ascii="Arial" w:cs="Arial" w:eastAsia="Arial" w:hAnsi="Arial"/>
                <w:sz w:val="18"/>
                <w:szCs w:val="18"/>
                <w:color w:val="auto"/>
              </w:rPr>
              <w:t>10.1</w:t>
            </w:r>
          </w:p>
        </w:tc>
        <w:tc>
          <w:tcPr>
            <w:tcW w:w="218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March 8, 2018</w:t>
            </w:r>
          </w:p>
        </w:tc>
      </w:tr>
      <w:tr>
        <w:trPr>
          <w:trHeight w:val="176"/>
        </w:trPr>
        <w:tc>
          <w:tcPr>
            <w:tcW w:w="1360" w:type="dxa"/>
            <w:vAlign w:val="bottom"/>
            <w:tcBorders>
              <w:top w:val="single" w:sz="8" w:color="DCE2EF"/>
              <w:bottom w:val="single" w:sz="8" w:color="DCE2EF"/>
            </w:tcBorders>
            <w:shd w:val="clear" w:color="auto" w:fill="DCE2EF"/>
          </w:tcPr>
          <w:p>
            <w:pPr>
              <w:spacing w:after="0"/>
              <w:rPr>
                <w:sz w:val="15"/>
                <w:szCs w:val="15"/>
                <w:color w:val="auto"/>
              </w:rPr>
            </w:pPr>
          </w:p>
        </w:tc>
        <w:tc>
          <w:tcPr>
            <w:tcW w:w="1160" w:type="dxa"/>
            <w:vAlign w:val="bottom"/>
            <w:tcBorders>
              <w:top w:val="single" w:sz="8" w:color="0000FF"/>
              <w:bottom w:val="single" w:sz="8" w:color="0000FF"/>
            </w:tcBorders>
            <w:gridSpan w:val="2"/>
            <w:shd w:val="clear" w:color="auto" w:fill="DCE2EF"/>
          </w:tcPr>
          <w:p>
            <w:pPr>
              <w:spacing w:after="0" w:line="156" w:lineRule="exact"/>
              <w:rPr>
                <w:rFonts w:ascii="Arial" w:cs="Arial" w:eastAsia="Arial" w:hAnsi="Arial"/>
                <w:sz w:val="18"/>
                <w:szCs w:val="18"/>
                <w:color w:val="0000FF"/>
                <w:w w:val="99"/>
              </w:rPr>
            </w:pPr>
            <w:hyperlink r:id="rId180">
              <w:r>
                <w:rPr>
                  <w:rFonts w:ascii="Arial" w:cs="Arial" w:eastAsia="Arial" w:hAnsi="Arial"/>
                  <w:sz w:val="18"/>
                  <w:szCs w:val="18"/>
                  <w:color w:val="0000FF"/>
                  <w:w w:val="99"/>
                </w:rPr>
                <w:t>March 7, 2018</w:t>
              </w:r>
            </w:hyperlink>
          </w:p>
        </w:tc>
        <w:tc>
          <w:tcPr>
            <w:tcW w:w="3120" w:type="dxa"/>
            <w:vAlign w:val="bottom"/>
            <w:tcBorders>
              <w:top w:val="single" w:sz="8" w:color="0000FF"/>
              <w:bottom w:val="single" w:sz="8" w:color="DCE2EF"/>
            </w:tcBorders>
            <w:gridSpan w:val="10"/>
            <w:shd w:val="clear" w:color="auto" w:fill="DCE2EF"/>
          </w:tcPr>
          <w:p>
            <w:pPr>
              <w:spacing w:after="0"/>
              <w:rPr>
                <w:sz w:val="15"/>
                <w:szCs w:val="15"/>
                <w:color w:val="auto"/>
              </w:rPr>
            </w:pPr>
          </w:p>
        </w:tc>
        <w:tc>
          <w:tcPr>
            <w:tcW w:w="80" w:type="dxa"/>
            <w:vAlign w:val="bottom"/>
            <w:tcBorders>
              <w:top w:val="single" w:sz="8" w:color="DCE2EF"/>
              <w:bottom w:val="single" w:sz="8" w:color="DCE2EF"/>
            </w:tcBorders>
            <w:shd w:val="clear" w:color="auto" w:fill="DCE2EF"/>
          </w:tcPr>
          <w:p>
            <w:pPr>
              <w:spacing w:after="0"/>
              <w:rPr>
                <w:sz w:val="15"/>
                <w:szCs w:val="15"/>
                <w:color w:val="auto"/>
              </w:rPr>
            </w:pPr>
          </w:p>
        </w:tc>
        <w:tc>
          <w:tcPr>
            <w:tcW w:w="40" w:type="dxa"/>
            <w:vAlign w:val="bottom"/>
            <w:tcBorders>
              <w:top w:val="single" w:sz="8" w:color="DCE2EF"/>
              <w:bottom w:val="single" w:sz="8" w:color="DCE2EF"/>
            </w:tcBorders>
            <w:shd w:val="clear" w:color="auto" w:fill="DCE2EF"/>
          </w:tcPr>
          <w:p>
            <w:pPr>
              <w:spacing w:after="0"/>
              <w:rPr>
                <w:sz w:val="15"/>
                <w:szCs w:val="15"/>
                <w:color w:val="auto"/>
              </w:rPr>
            </w:pPr>
          </w:p>
        </w:tc>
        <w:tc>
          <w:tcPr>
            <w:tcW w:w="180" w:type="dxa"/>
            <w:vAlign w:val="bottom"/>
            <w:tcBorders>
              <w:top w:val="single" w:sz="8" w:color="DCE2EF"/>
              <w:bottom w:val="single" w:sz="8" w:color="DCE2EF"/>
            </w:tcBorders>
            <w:shd w:val="clear" w:color="auto" w:fill="DCE2EF"/>
          </w:tcPr>
          <w:p>
            <w:pPr>
              <w:spacing w:after="0"/>
              <w:rPr>
                <w:sz w:val="15"/>
                <w:szCs w:val="15"/>
                <w:color w:val="auto"/>
              </w:rPr>
            </w:pPr>
          </w:p>
        </w:tc>
        <w:tc>
          <w:tcPr>
            <w:tcW w:w="800" w:type="dxa"/>
            <w:vAlign w:val="bottom"/>
            <w:tcBorders>
              <w:top w:val="single" w:sz="8" w:color="DCE2EF"/>
              <w:bottom w:val="single" w:sz="8" w:color="DCE2EF"/>
            </w:tcBorders>
            <w:shd w:val="clear" w:color="auto" w:fill="DCE2EF"/>
          </w:tcPr>
          <w:p>
            <w:pPr>
              <w:spacing w:after="0"/>
              <w:rPr>
                <w:sz w:val="15"/>
                <w:szCs w:val="15"/>
                <w:color w:val="auto"/>
              </w:rPr>
            </w:pPr>
          </w:p>
        </w:tc>
        <w:tc>
          <w:tcPr>
            <w:tcW w:w="1360" w:type="dxa"/>
            <w:vAlign w:val="bottom"/>
            <w:tcBorders>
              <w:top w:val="single" w:sz="8" w:color="DCE2EF"/>
              <w:bottom w:val="single" w:sz="8" w:color="DCE2EF"/>
            </w:tcBorders>
            <w:shd w:val="clear" w:color="auto" w:fill="DCE2EF"/>
          </w:tcPr>
          <w:p>
            <w:pPr>
              <w:spacing w:after="0"/>
              <w:rPr>
                <w:sz w:val="15"/>
                <w:szCs w:val="15"/>
                <w:color w:val="auto"/>
              </w:rPr>
            </w:pPr>
          </w:p>
        </w:tc>
        <w:tc>
          <w:tcPr>
            <w:tcW w:w="960" w:type="dxa"/>
            <w:vAlign w:val="bottom"/>
            <w:tcBorders>
              <w:top w:val="single" w:sz="8" w:color="DCE2EF"/>
              <w:bottom w:val="single" w:sz="8" w:color="DCE2EF"/>
            </w:tcBorders>
            <w:shd w:val="clear" w:color="auto" w:fill="DCE2EF"/>
          </w:tcPr>
          <w:p>
            <w:pPr>
              <w:spacing w:after="0"/>
              <w:rPr>
                <w:sz w:val="15"/>
                <w:szCs w:val="15"/>
                <w:color w:val="auto"/>
              </w:rPr>
            </w:pPr>
          </w:p>
        </w:tc>
        <w:tc>
          <w:tcPr>
            <w:tcW w:w="218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9"/>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10.12*</w:t>
            </w:r>
          </w:p>
        </w:tc>
        <w:tc>
          <w:tcPr>
            <w:tcW w:w="4580" w:type="dxa"/>
            <w:vAlign w:val="bottom"/>
            <w:gridSpan w:val="15"/>
          </w:tcPr>
          <w:p>
            <w:pPr>
              <w:spacing w:after="0" w:line="189" w:lineRule="exact"/>
              <w:rPr>
                <w:rFonts w:ascii="Arial" w:cs="Arial" w:eastAsia="Arial" w:hAnsi="Arial"/>
                <w:sz w:val="18"/>
                <w:szCs w:val="18"/>
                <w:color w:val="0000FF"/>
              </w:rPr>
            </w:pPr>
            <w:hyperlink r:id="rId181">
              <w:r>
                <w:rPr>
                  <w:rFonts w:ascii="Arial" w:cs="Arial" w:eastAsia="Arial" w:hAnsi="Arial"/>
                  <w:sz w:val="18"/>
                  <w:szCs w:val="18"/>
                  <w:color w:val="0000FF"/>
                </w:rPr>
                <w:t>ABM Industries Incorporated 2021 Equity and Incentive</w:t>
              </w:r>
            </w:hyperlink>
          </w:p>
        </w:tc>
        <w:tc>
          <w:tcPr>
            <w:tcW w:w="800" w:type="dxa"/>
            <w:vAlign w:val="bottom"/>
          </w:tcPr>
          <w:p>
            <w:pPr>
              <w:jc w:val="center"/>
              <w:spacing w:after="0" w:line="189" w:lineRule="exact"/>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line="189" w:lineRule="exact"/>
              <w:rPr>
                <w:sz w:val="20"/>
                <w:szCs w:val="20"/>
                <w:color w:val="auto"/>
              </w:rPr>
            </w:pPr>
            <w:r>
              <w:rPr>
                <w:rFonts w:ascii="Arial" w:cs="Arial" w:eastAsia="Arial" w:hAnsi="Arial"/>
                <w:sz w:val="18"/>
                <w:szCs w:val="18"/>
                <w:color w:val="auto"/>
              </w:rPr>
              <w:t>001-08929</w:t>
            </w:r>
          </w:p>
        </w:tc>
        <w:tc>
          <w:tcPr>
            <w:tcW w:w="96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10.1</w:t>
            </w:r>
          </w:p>
        </w:tc>
        <w:tc>
          <w:tcPr>
            <w:tcW w:w="2180" w:type="dxa"/>
            <w:vAlign w:val="bottom"/>
          </w:tcPr>
          <w:p>
            <w:pPr>
              <w:jc w:val="center"/>
              <w:spacing w:after="0" w:line="189" w:lineRule="exact"/>
              <w:rPr>
                <w:sz w:val="20"/>
                <w:szCs w:val="20"/>
                <w:color w:val="auto"/>
              </w:rPr>
            </w:pPr>
            <w:r>
              <w:rPr>
                <w:rFonts w:ascii="Arial" w:cs="Arial" w:eastAsia="Arial" w:hAnsi="Arial"/>
                <w:sz w:val="18"/>
                <w:szCs w:val="18"/>
                <w:color w:val="auto"/>
              </w:rPr>
              <w:t>March 26, 2021</w:t>
            </w:r>
          </w:p>
        </w:tc>
      </w:tr>
      <w:tr>
        <w:trPr>
          <w:trHeight w:val="155"/>
        </w:trPr>
        <w:tc>
          <w:tcPr>
            <w:tcW w:w="1360" w:type="dxa"/>
            <w:vAlign w:val="bottom"/>
          </w:tcPr>
          <w:p>
            <w:pPr>
              <w:spacing w:after="0"/>
              <w:rPr>
                <w:sz w:val="13"/>
                <w:szCs w:val="13"/>
                <w:color w:val="auto"/>
              </w:rPr>
            </w:pPr>
          </w:p>
        </w:tc>
        <w:tc>
          <w:tcPr>
            <w:tcW w:w="44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81">
              <w:r>
                <w:rPr>
                  <w:rFonts w:ascii="Arial" w:cs="Arial" w:eastAsia="Arial" w:hAnsi="Arial"/>
                  <w:sz w:val="18"/>
                  <w:szCs w:val="18"/>
                  <w:color w:val="0000FF"/>
                </w:rPr>
                <w:t>Compensation Plan</w:t>
              </w:r>
            </w:hyperlink>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21"/>
        </w:trPr>
        <w:tc>
          <w:tcPr>
            <w:tcW w:w="136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88"/>
        </w:trPr>
        <w:tc>
          <w:tcPr>
            <w:tcW w:w="1360" w:type="dxa"/>
            <w:vAlign w:val="bottom"/>
            <w:shd w:val="clear" w:color="auto" w:fill="DCE2EF"/>
          </w:tcPr>
          <w:p>
            <w:pPr>
              <w:ind w:left="20"/>
              <w:spacing w:after="0" w:line="189" w:lineRule="exact"/>
              <w:rPr>
                <w:sz w:val="20"/>
                <w:szCs w:val="20"/>
                <w:color w:val="auto"/>
              </w:rPr>
            </w:pPr>
            <w:r>
              <w:rPr>
                <w:rFonts w:ascii="Arial" w:cs="Arial" w:eastAsia="Arial" w:hAnsi="Arial"/>
                <w:sz w:val="18"/>
                <w:szCs w:val="18"/>
                <w:color w:val="auto"/>
              </w:rPr>
              <w:t>10.13*</w:t>
            </w:r>
          </w:p>
        </w:tc>
        <w:tc>
          <w:tcPr>
            <w:tcW w:w="4580" w:type="dxa"/>
            <w:vAlign w:val="bottom"/>
            <w:gridSpan w:val="15"/>
            <w:shd w:val="clear" w:color="auto" w:fill="DCE2EF"/>
          </w:tcPr>
          <w:p>
            <w:pPr>
              <w:spacing w:after="0" w:line="189" w:lineRule="exact"/>
              <w:rPr>
                <w:rFonts w:ascii="Arial" w:cs="Arial" w:eastAsia="Arial" w:hAnsi="Arial"/>
                <w:sz w:val="18"/>
                <w:szCs w:val="18"/>
                <w:color w:val="0000FF"/>
              </w:rPr>
            </w:pPr>
            <w:hyperlink r:id="rId182">
              <w:r>
                <w:rPr>
                  <w:rFonts w:ascii="Arial" w:cs="Arial" w:eastAsia="Arial" w:hAnsi="Arial"/>
                  <w:sz w:val="18"/>
                  <w:szCs w:val="18"/>
                  <w:color w:val="0000FF"/>
                </w:rPr>
                <w:t>Statement of Terms and Conditions Applicable to</w:t>
              </w:r>
            </w:hyperlink>
          </w:p>
        </w:tc>
        <w:tc>
          <w:tcPr>
            <w:tcW w:w="80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10-Q</w:t>
            </w:r>
          </w:p>
        </w:tc>
        <w:tc>
          <w:tcPr>
            <w:tcW w:w="1360" w:type="dxa"/>
            <w:vAlign w:val="bottom"/>
            <w:shd w:val="clear" w:color="auto" w:fill="DCE2EF"/>
          </w:tcPr>
          <w:p>
            <w:pPr>
              <w:jc w:val="right"/>
              <w:ind w:right="190"/>
              <w:spacing w:after="0" w:line="189" w:lineRule="exact"/>
              <w:rPr>
                <w:sz w:val="20"/>
                <w:szCs w:val="20"/>
                <w:color w:val="auto"/>
              </w:rPr>
            </w:pPr>
            <w:r>
              <w:rPr>
                <w:rFonts w:ascii="Arial" w:cs="Arial" w:eastAsia="Arial" w:hAnsi="Arial"/>
                <w:sz w:val="18"/>
                <w:szCs w:val="18"/>
                <w:color w:val="auto"/>
              </w:rPr>
              <w:t>001-08929</w:t>
            </w:r>
          </w:p>
        </w:tc>
        <w:tc>
          <w:tcPr>
            <w:tcW w:w="960" w:type="dxa"/>
            <w:vAlign w:val="bottom"/>
            <w:shd w:val="clear" w:color="auto" w:fill="DCE2EF"/>
          </w:tcPr>
          <w:p>
            <w:pPr>
              <w:jc w:val="right"/>
              <w:ind w:right="230"/>
              <w:spacing w:after="0" w:line="189" w:lineRule="exact"/>
              <w:rPr>
                <w:sz w:val="20"/>
                <w:szCs w:val="20"/>
                <w:color w:val="auto"/>
              </w:rPr>
            </w:pPr>
            <w:r>
              <w:rPr>
                <w:rFonts w:ascii="Arial" w:cs="Arial" w:eastAsia="Arial" w:hAnsi="Arial"/>
                <w:sz w:val="18"/>
                <w:szCs w:val="18"/>
                <w:color w:val="auto"/>
              </w:rPr>
              <w:t>10.2</w:t>
            </w:r>
          </w:p>
        </w:tc>
        <w:tc>
          <w:tcPr>
            <w:tcW w:w="218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June 3, 2015</w:t>
            </w:r>
          </w:p>
        </w:tc>
      </w:tr>
      <w:tr>
        <w:trPr>
          <w:trHeight w:val="156"/>
        </w:trPr>
        <w:tc>
          <w:tcPr>
            <w:tcW w:w="1360" w:type="dxa"/>
            <w:vAlign w:val="bottom"/>
            <w:tcBorders>
              <w:top w:val="single" w:sz="8" w:color="DCE2EF"/>
            </w:tcBorders>
            <w:shd w:val="clear" w:color="auto" w:fill="DCE2EF"/>
          </w:tcPr>
          <w:p>
            <w:pPr>
              <w:spacing w:after="0"/>
              <w:rPr>
                <w:sz w:val="13"/>
                <w:szCs w:val="13"/>
                <w:color w:val="auto"/>
              </w:rPr>
            </w:pPr>
          </w:p>
        </w:tc>
        <w:tc>
          <w:tcPr>
            <w:tcW w:w="3900" w:type="dxa"/>
            <w:vAlign w:val="bottom"/>
            <w:tcBorders>
              <w:top w:val="single" w:sz="8" w:color="0000FF"/>
            </w:tcBorders>
            <w:gridSpan w:val="9"/>
            <w:shd w:val="clear" w:color="auto" w:fill="DCE2EF"/>
          </w:tcPr>
          <w:p>
            <w:pPr>
              <w:spacing w:after="0" w:line="157" w:lineRule="exact"/>
              <w:rPr>
                <w:rFonts w:ascii="Arial" w:cs="Arial" w:eastAsia="Arial" w:hAnsi="Arial"/>
                <w:sz w:val="18"/>
                <w:szCs w:val="18"/>
                <w:color w:val="0000FF"/>
              </w:rPr>
            </w:pPr>
            <w:hyperlink r:id="rId182">
              <w:r>
                <w:rPr>
                  <w:rFonts w:ascii="Arial" w:cs="Arial" w:eastAsia="Arial" w:hAnsi="Arial"/>
                  <w:sz w:val="18"/>
                  <w:szCs w:val="18"/>
                  <w:color w:val="0000FF"/>
                </w:rPr>
                <w:t>Options, Restricted Stock and Restricted Stock</w:t>
              </w:r>
            </w:hyperlink>
          </w:p>
        </w:tc>
        <w:tc>
          <w:tcPr>
            <w:tcW w:w="680" w:type="dxa"/>
            <w:vAlign w:val="bottom"/>
            <w:tcBorders>
              <w:top w:val="single" w:sz="8" w:color="DCE2EF"/>
            </w:tcBorders>
            <w:gridSpan w:val="6"/>
            <w:shd w:val="clear" w:color="auto" w:fill="DCE2EF"/>
          </w:tcPr>
          <w:p>
            <w:pPr>
              <w:jc w:val="center"/>
              <w:ind w:right="320"/>
              <w:spacing w:after="0" w:line="157" w:lineRule="exact"/>
              <w:rPr>
                <w:rFonts w:ascii="Arial" w:cs="Arial" w:eastAsia="Arial" w:hAnsi="Arial"/>
                <w:sz w:val="18"/>
                <w:szCs w:val="18"/>
                <w:color w:val="0000FF"/>
                <w:w w:val="78"/>
              </w:rPr>
            </w:pPr>
            <w:hyperlink r:id="rId182">
              <w:r>
                <w:rPr>
                  <w:rFonts w:ascii="Arial" w:cs="Arial" w:eastAsia="Arial" w:hAnsi="Arial"/>
                  <w:sz w:val="18"/>
                  <w:szCs w:val="18"/>
                  <w:color w:val="0000FF"/>
                  <w:w w:val="78"/>
                </w:rPr>
                <w:t>Units,</w:t>
              </w:r>
            </w:hyperlink>
          </w:p>
        </w:tc>
        <w:tc>
          <w:tcPr>
            <w:tcW w:w="800" w:type="dxa"/>
            <w:vAlign w:val="bottom"/>
            <w:tcBorders>
              <w:top w:val="single" w:sz="8" w:color="DCE2EF"/>
            </w:tcBorders>
            <w:shd w:val="clear" w:color="auto" w:fill="DCE2EF"/>
          </w:tcPr>
          <w:p>
            <w:pPr>
              <w:spacing w:after="0"/>
              <w:rPr>
                <w:sz w:val="13"/>
                <w:szCs w:val="13"/>
                <w:color w:val="auto"/>
              </w:rPr>
            </w:pPr>
          </w:p>
        </w:tc>
        <w:tc>
          <w:tcPr>
            <w:tcW w:w="1360" w:type="dxa"/>
            <w:vAlign w:val="bottom"/>
            <w:tcBorders>
              <w:top w:val="single" w:sz="8" w:color="DCE2EF"/>
            </w:tcBorders>
            <w:shd w:val="clear" w:color="auto" w:fill="DCE2EF"/>
          </w:tcPr>
          <w:p>
            <w:pPr>
              <w:spacing w:after="0"/>
              <w:rPr>
                <w:sz w:val="13"/>
                <w:szCs w:val="13"/>
                <w:color w:val="auto"/>
              </w:rPr>
            </w:pPr>
          </w:p>
        </w:tc>
        <w:tc>
          <w:tcPr>
            <w:tcW w:w="960" w:type="dxa"/>
            <w:vAlign w:val="bottom"/>
            <w:tcBorders>
              <w:top w:val="single" w:sz="8" w:color="DCE2EF"/>
            </w:tcBorders>
            <w:shd w:val="clear" w:color="auto" w:fill="DCE2EF"/>
          </w:tcPr>
          <w:p>
            <w:pPr>
              <w:spacing w:after="0"/>
              <w:rPr>
                <w:sz w:val="13"/>
                <w:szCs w:val="13"/>
                <w:color w:val="auto"/>
              </w:rPr>
            </w:pPr>
          </w:p>
        </w:tc>
        <w:tc>
          <w:tcPr>
            <w:tcW w:w="2180" w:type="dxa"/>
            <w:vAlign w:val="bottom"/>
            <w:tcBorders>
              <w:top w:val="single" w:sz="8" w:color="DCE2EF"/>
            </w:tcBorders>
            <w:shd w:val="clear" w:color="auto" w:fill="DCE2EF"/>
          </w:tcPr>
          <w:p>
            <w:pPr>
              <w:spacing w:after="0"/>
              <w:rPr>
                <w:sz w:val="13"/>
                <w:szCs w:val="13"/>
                <w:color w:val="auto"/>
              </w:rPr>
            </w:pPr>
          </w:p>
        </w:tc>
      </w:tr>
      <w:tr>
        <w:trPr>
          <w:trHeight w:val="155"/>
        </w:trPr>
        <w:tc>
          <w:tcPr>
            <w:tcW w:w="1360" w:type="dxa"/>
            <w:vAlign w:val="bottom"/>
            <w:tcBorders>
              <w:top w:val="single" w:sz="8" w:color="DCE2EF"/>
            </w:tcBorders>
            <w:shd w:val="clear" w:color="auto" w:fill="DCE2EF"/>
          </w:tcPr>
          <w:p>
            <w:pPr>
              <w:spacing w:after="0"/>
              <w:rPr>
                <w:sz w:val="13"/>
                <w:szCs w:val="13"/>
                <w:color w:val="auto"/>
              </w:rPr>
            </w:pPr>
          </w:p>
        </w:tc>
        <w:tc>
          <w:tcPr>
            <w:tcW w:w="4260" w:type="dxa"/>
            <w:vAlign w:val="bottom"/>
            <w:tcBorders>
              <w:top w:val="single" w:sz="8" w:color="0000FF"/>
            </w:tcBorders>
            <w:gridSpan w:val="11"/>
            <w:shd w:val="clear" w:color="auto" w:fill="DCE2EF"/>
          </w:tcPr>
          <w:p>
            <w:pPr>
              <w:spacing w:after="0" w:line="154" w:lineRule="exact"/>
              <w:rPr>
                <w:rFonts w:ascii="Arial" w:cs="Arial" w:eastAsia="Arial" w:hAnsi="Arial"/>
                <w:sz w:val="17"/>
                <w:szCs w:val="17"/>
                <w:color w:val="0000FF"/>
              </w:rPr>
            </w:pPr>
            <w:hyperlink r:id="rId182">
              <w:r>
                <w:rPr>
                  <w:rFonts w:ascii="Arial" w:cs="Arial" w:eastAsia="Arial" w:hAnsi="Arial"/>
                  <w:sz w:val="17"/>
                  <w:szCs w:val="17"/>
                  <w:color w:val="0000FF"/>
                </w:rPr>
                <w:t>and Performance Shares Granted to Employees</w:t>
              </w:r>
            </w:hyperlink>
          </w:p>
        </w:tc>
        <w:tc>
          <w:tcPr>
            <w:tcW w:w="100" w:type="dxa"/>
            <w:vAlign w:val="bottom"/>
            <w:tcBorders>
              <w:top w:val="single" w:sz="8" w:color="DCE2EF"/>
            </w:tcBorders>
            <w:gridSpan w:val="2"/>
            <w:shd w:val="clear" w:color="auto" w:fill="DCE2EF"/>
          </w:tcPr>
          <w:p>
            <w:pPr>
              <w:spacing w:after="0"/>
              <w:rPr>
                <w:sz w:val="13"/>
                <w:szCs w:val="13"/>
                <w:color w:val="auto"/>
              </w:rPr>
            </w:pPr>
          </w:p>
        </w:tc>
        <w:tc>
          <w:tcPr>
            <w:tcW w:w="220" w:type="dxa"/>
            <w:vAlign w:val="bottom"/>
            <w:tcBorders>
              <w:top w:val="single" w:sz="8" w:color="DCE2EF"/>
            </w:tcBorders>
            <w:gridSpan w:val="2"/>
            <w:shd w:val="clear" w:color="auto" w:fill="DCE2EF"/>
          </w:tcPr>
          <w:p>
            <w:pPr>
              <w:spacing w:after="0"/>
              <w:rPr>
                <w:sz w:val="13"/>
                <w:szCs w:val="13"/>
                <w:color w:val="auto"/>
              </w:rPr>
            </w:pPr>
          </w:p>
        </w:tc>
        <w:tc>
          <w:tcPr>
            <w:tcW w:w="800" w:type="dxa"/>
            <w:vAlign w:val="bottom"/>
            <w:tcBorders>
              <w:top w:val="single" w:sz="8" w:color="DCE2EF"/>
            </w:tcBorders>
            <w:shd w:val="clear" w:color="auto" w:fill="DCE2EF"/>
          </w:tcPr>
          <w:p>
            <w:pPr>
              <w:spacing w:after="0"/>
              <w:rPr>
                <w:sz w:val="13"/>
                <w:szCs w:val="13"/>
                <w:color w:val="auto"/>
              </w:rPr>
            </w:pPr>
          </w:p>
        </w:tc>
        <w:tc>
          <w:tcPr>
            <w:tcW w:w="1360" w:type="dxa"/>
            <w:vAlign w:val="bottom"/>
            <w:tcBorders>
              <w:top w:val="single" w:sz="8" w:color="DCE2EF"/>
            </w:tcBorders>
            <w:shd w:val="clear" w:color="auto" w:fill="DCE2EF"/>
          </w:tcPr>
          <w:p>
            <w:pPr>
              <w:spacing w:after="0"/>
              <w:rPr>
                <w:sz w:val="13"/>
                <w:szCs w:val="13"/>
                <w:color w:val="auto"/>
              </w:rPr>
            </w:pPr>
          </w:p>
        </w:tc>
        <w:tc>
          <w:tcPr>
            <w:tcW w:w="960" w:type="dxa"/>
            <w:vAlign w:val="bottom"/>
            <w:tcBorders>
              <w:top w:val="single" w:sz="8" w:color="DCE2EF"/>
            </w:tcBorders>
            <w:shd w:val="clear" w:color="auto" w:fill="DCE2EF"/>
          </w:tcPr>
          <w:p>
            <w:pPr>
              <w:spacing w:after="0"/>
              <w:rPr>
                <w:sz w:val="13"/>
                <w:szCs w:val="13"/>
                <w:color w:val="auto"/>
              </w:rPr>
            </w:pPr>
          </w:p>
        </w:tc>
        <w:tc>
          <w:tcPr>
            <w:tcW w:w="2180" w:type="dxa"/>
            <w:vAlign w:val="bottom"/>
            <w:tcBorders>
              <w:top w:val="single" w:sz="8" w:color="DCE2EF"/>
            </w:tcBorders>
            <w:shd w:val="clear" w:color="auto" w:fill="DCE2EF"/>
          </w:tcPr>
          <w:p>
            <w:pPr>
              <w:spacing w:after="0"/>
              <w:rPr>
                <w:sz w:val="13"/>
                <w:szCs w:val="13"/>
                <w:color w:val="auto"/>
              </w:rPr>
            </w:pPr>
          </w:p>
        </w:tc>
      </w:tr>
      <w:tr>
        <w:trPr>
          <w:trHeight w:val="156"/>
        </w:trPr>
        <w:tc>
          <w:tcPr>
            <w:tcW w:w="1360" w:type="dxa"/>
            <w:vAlign w:val="bottom"/>
            <w:tcBorders>
              <w:top w:val="single" w:sz="8" w:color="DCE2EF"/>
            </w:tcBorders>
            <w:shd w:val="clear" w:color="auto" w:fill="DCE2EF"/>
          </w:tcPr>
          <w:p>
            <w:pPr>
              <w:spacing w:after="0"/>
              <w:rPr>
                <w:sz w:val="13"/>
                <w:szCs w:val="13"/>
                <w:color w:val="auto"/>
              </w:rPr>
            </w:pPr>
          </w:p>
        </w:tc>
        <w:tc>
          <w:tcPr>
            <w:tcW w:w="3840" w:type="dxa"/>
            <w:vAlign w:val="bottom"/>
            <w:tcBorders>
              <w:top w:val="single" w:sz="8" w:color="0000FF"/>
            </w:tcBorders>
            <w:gridSpan w:val="8"/>
            <w:shd w:val="clear" w:color="auto" w:fill="DCE2EF"/>
          </w:tcPr>
          <w:p>
            <w:pPr>
              <w:spacing w:after="0" w:line="157" w:lineRule="exact"/>
              <w:rPr>
                <w:rFonts w:ascii="Arial" w:cs="Arial" w:eastAsia="Arial" w:hAnsi="Arial"/>
                <w:sz w:val="18"/>
                <w:szCs w:val="18"/>
                <w:color w:val="0000FF"/>
              </w:rPr>
            </w:pPr>
            <w:hyperlink r:id="rId182">
              <w:r>
                <w:rPr>
                  <w:rFonts w:ascii="Arial" w:cs="Arial" w:eastAsia="Arial" w:hAnsi="Arial"/>
                  <w:sz w:val="18"/>
                  <w:szCs w:val="18"/>
                  <w:color w:val="0000FF"/>
                </w:rPr>
                <w:t>Pursuant to the 2006 Equity Incentive Plan, for</w:t>
              </w:r>
            </w:hyperlink>
          </w:p>
        </w:tc>
        <w:tc>
          <w:tcPr>
            <w:tcW w:w="740" w:type="dxa"/>
            <w:vAlign w:val="bottom"/>
            <w:tcBorders>
              <w:top w:val="single" w:sz="8" w:color="DCE2EF"/>
            </w:tcBorders>
            <w:gridSpan w:val="7"/>
            <w:shd w:val="clear" w:color="auto" w:fill="DCE2EF"/>
          </w:tcPr>
          <w:p>
            <w:pPr>
              <w:jc w:val="center"/>
              <w:ind w:right="220"/>
              <w:spacing w:after="0" w:line="157" w:lineRule="exact"/>
              <w:rPr>
                <w:rFonts w:ascii="Arial" w:cs="Arial" w:eastAsia="Arial" w:hAnsi="Arial"/>
                <w:sz w:val="18"/>
                <w:szCs w:val="18"/>
                <w:color w:val="0000FF"/>
                <w:w w:val="86"/>
              </w:rPr>
            </w:pPr>
            <w:hyperlink r:id="rId182">
              <w:r>
                <w:rPr>
                  <w:rFonts w:ascii="Arial" w:cs="Arial" w:eastAsia="Arial" w:hAnsi="Arial"/>
                  <w:sz w:val="18"/>
                  <w:szCs w:val="18"/>
                  <w:color w:val="0000FF"/>
                  <w:w w:val="86"/>
                </w:rPr>
                <w:t>Awards</w:t>
              </w:r>
            </w:hyperlink>
          </w:p>
        </w:tc>
        <w:tc>
          <w:tcPr>
            <w:tcW w:w="800" w:type="dxa"/>
            <w:vAlign w:val="bottom"/>
            <w:tcBorders>
              <w:top w:val="single" w:sz="8" w:color="DCE2EF"/>
            </w:tcBorders>
            <w:shd w:val="clear" w:color="auto" w:fill="DCE2EF"/>
          </w:tcPr>
          <w:p>
            <w:pPr>
              <w:spacing w:after="0"/>
              <w:rPr>
                <w:sz w:val="13"/>
                <w:szCs w:val="13"/>
                <w:color w:val="auto"/>
              </w:rPr>
            </w:pPr>
          </w:p>
        </w:tc>
        <w:tc>
          <w:tcPr>
            <w:tcW w:w="1360" w:type="dxa"/>
            <w:vAlign w:val="bottom"/>
            <w:tcBorders>
              <w:top w:val="single" w:sz="8" w:color="DCE2EF"/>
            </w:tcBorders>
            <w:shd w:val="clear" w:color="auto" w:fill="DCE2EF"/>
          </w:tcPr>
          <w:p>
            <w:pPr>
              <w:spacing w:after="0"/>
              <w:rPr>
                <w:sz w:val="13"/>
                <w:szCs w:val="13"/>
                <w:color w:val="auto"/>
              </w:rPr>
            </w:pPr>
          </w:p>
        </w:tc>
        <w:tc>
          <w:tcPr>
            <w:tcW w:w="960" w:type="dxa"/>
            <w:vAlign w:val="bottom"/>
            <w:tcBorders>
              <w:top w:val="single" w:sz="8" w:color="DCE2EF"/>
            </w:tcBorders>
            <w:shd w:val="clear" w:color="auto" w:fill="DCE2EF"/>
          </w:tcPr>
          <w:p>
            <w:pPr>
              <w:spacing w:after="0"/>
              <w:rPr>
                <w:sz w:val="13"/>
                <w:szCs w:val="13"/>
                <w:color w:val="auto"/>
              </w:rPr>
            </w:pPr>
          </w:p>
        </w:tc>
        <w:tc>
          <w:tcPr>
            <w:tcW w:w="2180" w:type="dxa"/>
            <w:vAlign w:val="bottom"/>
            <w:tcBorders>
              <w:top w:val="single" w:sz="8" w:color="DCE2EF"/>
            </w:tcBorders>
            <w:shd w:val="clear" w:color="auto" w:fill="DCE2EF"/>
          </w:tcPr>
          <w:p>
            <w:pPr>
              <w:spacing w:after="0"/>
              <w:rPr>
                <w:sz w:val="13"/>
                <w:szCs w:val="13"/>
                <w:color w:val="auto"/>
              </w:rPr>
            </w:pPr>
          </w:p>
        </w:tc>
      </w:tr>
      <w:tr>
        <w:trPr>
          <w:trHeight w:val="155"/>
        </w:trPr>
        <w:tc>
          <w:tcPr>
            <w:tcW w:w="1360" w:type="dxa"/>
            <w:vAlign w:val="bottom"/>
            <w:tcBorders>
              <w:top w:val="single" w:sz="8" w:color="DCE2EF"/>
            </w:tcBorders>
            <w:shd w:val="clear" w:color="auto" w:fill="DCE2EF"/>
          </w:tcPr>
          <w:p>
            <w:pPr>
              <w:spacing w:after="0"/>
              <w:rPr>
                <w:sz w:val="13"/>
                <w:szCs w:val="13"/>
                <w:color w:val="auto"/>
              </w:rPr>
            </w:pPr>
          </w:p>
        </w:tc>
        <w:tc>
          <w:tcPr>
            <w:tcW w:w="4360" w:type="dxa"/>
            <w:vAlign w:val="bottom"/>
            <w:tcBorders>
              <w:top w:val="single" w:sz="8" w:color="0000FF"/>
            </w:tcBorders>
            <w:gridSpan w:val="13"/>
            <w:shd w:val="clear" w:color="auto" w:fill="DCE2EF"/>
          </w:tcPr>
          <w:p>
            <w:pPr>
              <w:spacing w:after="0" w:line="156" w:lineRule="exact"/>
              <w:rPr>
                <w:rFonts w:ascii="Arial" w:cs="Arial" w:eastAsia="Arial" w:hAnsi="Arial"/>
                <w:sz w:val="18"/>
                <w:szCs w:val="18"/>
                <w:color w:val="0000FF"/>
              </w:rPr>
            </w:pPr>
            <w:hyperlink r:id="rId182">
              <w:r>
                <w:rPr>
                  <w:rFonts w:ascii="Arial" w:cs="Arial" w:eastAsia="Arial" w:hAnsi="Arial"/>
                  <w:sz w:val="18"/>
                  <w:szCs w:val="18"/>
                  <w:color w:val="0000FF"/>
                </w:rPr>
                <w:t>Granted on or after March 4, 2015</w:t>
              </w:r>
            </w:hyperlink>
          </w:p>
        </w:tc>
        <w:tc>
          <w:tcPr>
            <w:tcW w:w="220" w:type="dxa"/>
            <w:vAlign w:val="bottom"/>
            <w:tcBorders>
              <w:top w:val="single" w:sz="8" w:color="DCE2EF"/>
            </w:tcBorders>
            <w:gridSpan w:val="2"/>
            <w:shd w:val="clear" w:color="auto" w:fill="DCE2EF"/>
          </w:tcPr>
          <w:p>
            <w:pPr>
              <w:spacing w:after="0"/>
              <w:rPr>
                <w:sz w:val="13"/>
                <w:szCs w:val="13"/>
                <w:color w:val="auto"/>
              </w:rPr>
            </w:pPr>
          </w:p>
        </w:tc>
        <w:tc>
          <w:tcPr>
            <w:tcW w:w="800" w:type="dxa"/>
            <w:vAlign w:val="bottom"/>
            <w:tcBorders>
              <w:top w:val="single" w:sz="8" w:color="DCE2EF"/>
            </w:tcBorders>
            <w:shd w:val="clear" w:color="auto" w:fill="DCE2EF"/>
          </w:tcPr>
          <w:p>
            <w:pPr>
              <w:spacing w:after="0"/>
              <w:rPr>
                <w:sz w:val="13"/>
                <w:szCs w:val="13"/>
                <w:color w:val="auto"/>
              </w:rPr>
            </w:pPr>
          </w:p>
        </w:tc>
        <w:tc>
          <w:tcPr>
            <w:tcW w:w="1360" w:type="dxa"/>
            <w:vAlign w:val="bottom"/>
            <w:tcBorders>
              <w:top w:val="single" w:sz="8" w:color="DCE2EF"/>
            </w:tcBorders>
            <w:shd w:val="clear" w:color="auto" w:fill="DCE2EF"/>
          </w:tcPr>
          <w:p>
            <w:pPr>
              <w:spacing w:after="0"/>
              <w:rPr>
                <w:sz w:val="13"/>
                <w:szCs w:val="13"/>
                <w:color w:val="auto"/>
              </w:rPr>
            </w:pPr>
          </w:p>
        </w:tc>
        <w:tc>
          <w:tcPr>
            <w:tcW w:w="960" w:type="dxa"/>
            <w:vAlign w:val="bottom"/>
            <w:tcBorders>
              <w:top w:val="single" w:sz="8" w:color="DCE2EF"/>
            </w:tcBorders>
            <w:shd w:val="clear" w:color="auto" w:fill="DCE2EF"/>
          </w:tcPr>
          <w:p>
            <w:pPr>
              <w:spacing w:after="0"/>
              <w:rPr>
                <w:sz w:val="13"/>
                <w:szCs w:val="13"/>
                <w:color w:val="auto"/>
              </w:rPr>
            </w:pPr>
          </w:p>
        </w:tc>
        <w:tc>
          <w:tcPr>
            <w:tcW w:w="2180" w:type="dxa"/>
            <w:vAlign w:val="bottom"/>
            <w:tcBorders>
              <w:top w:val="single" w:sz="8" w:color="DCE2EF"/>
            </w:tcBorders>
            <w:shd w:val="clear" w:color="auto" w:fill="DCE2EF"/>
          </w:tcPr>
          <w:p>
            <w:pPr>
              <w:spacing w:after="0"/>
              <w:rPr>
                <w:sz w:val="13"/>
                <w:szCs w:val="13"/>
                <w:color w:val="auto"/>
              </w:rPr>
            </w:pPr>
          </w:p>
        </w:tc>
      </w:tr>
      <w:tr>
        <w:trPr>
          <w:trHeight w:val="20"/>
        </w:trPr>
        <w:tc>
          <w:tcPr>
            <w:tcW w:w="1360" w:type="dxa"/>
            <w:vAlign w:val="bottom"/>
            <w:tcBorders>
              <w:top w:val="single" w:sz="8" w:color="DCE2EF"/>
            </w:tcBorders>
            <w:shd w:val="clear" w:color="auto" w:fill="DCE2EF"/>
          </w:tcPr>
          <w:p>
            <w:pPr>
              <w:spacing w:after="0" w:line="20" w:lineRule="exact"/>
              <w:rPr>
                <w:sz w:val="1"/>
                <w:szCs w:val="1"/>
                <w:color w:val="auto"/>
              </w:rPr>
            </w:pPr>
          </w:p>
        </w:tc>
        <w:tc>
          <w:tcPr>
            <w:tcW w:w="400" w:type="dxa"/>
            <w:vAlign w:val="bottom"/>
            <w:tcBorders>
              <w:top w:val="single" w:sz="8" w:color="0000FF"/>
            </w:tcBorders>
            <w:shd w:val="clear" w:color="auto" w:fill="DCE2EF"/>
          </w:tcPr>
          <w:p>
            <w:pPr>
              <w:spacing w:after="0" w:line="20" w:lineRule="exact"/>
              <w:rPr>
                <w:sz w:val="1"/>
                <w:szCs w:val="1"/>
                <w:color w:val="auto"/>
              </w:rPr>
            </w:pPr>
          </w:p>
        </w:tc>
        <w:tc>
          <w:tcPr>
            <w:tcW w:w="760" w:type="dxa"/>
            <w:vAlign w:val="bottom"/>
            <w:tcBorders>
              <w:top w:val="single" w:sz="8" w:color="0000FF"/>
            </w:tcBorders>
            <w:shd w:val="clear" w:color="auto" w:fill="DCE2EF"/>
          </w:tcPr>
          <w:p>
            <w:pPr>
              <w:spacing w:after="0" w:line="20" w:lineRule="exact"/>
              <w:rPr>
                <w:sz w:val="1"/>
                <w:szCs w:val="1"/>
                <w:color w:val="auto"/>
              </w:rPr>
            </w:pPr>
          </w:p>
        </w:tc>
        <w:tc>
          <w:tcPr>
            <w:tcW w:w="420" w:type="dxa"/>
            <w:vAlign w:val="bottom"/>
            <w:tcBorders>
              <w:top w:val="single" w:sz="8" w:color="0000FF"/>
            </w:tcBorders>
            <w:shd w:val="clear" w:color="auto" w:fill="DCE2EF"/>
          </w:tcPr>
          <w:p>
            <w:pPr>
              <w:spacing w:after="0" w:line="20" w:lineRule="exact"/>
              <w:rPr>
                <w:sz w:val="1"/>
                <w:szCs w:val="1"/>
                <w:color w:val="auto"/>
              </w:rPr>
            </w:pPr>
          </w:p>
        </w:tc>
        <w:tc>
          <w:tcPr>
            <w:tcW w:w="1140" w:type="dxa"/>
            <w:vAlign w:val="bottom"/>
            <w:tcBorders>
              <w:top w:val="single" w:sz="8" w:color="0000FF"/>
            </w:tcBorders>
            <w:shd w:val="clear" w:color="auto" w:fill="DCE2EF"/>
          </w:tcPr>
          <w:p>
            <w:pPr>
              <w:spacing w:after="0" w:line="20" w:lineRule="exact"/>
              <w:rPr>
                <w:sz w:val="1"/>
                <w:szCs w:val="1"/>
                <w:color w:val="auto"/>
              </w:rPr>
            </w:pPr>
          </w:p>
        </w:tc>
        <w:tc>
          <w:tcPr>
            <w:tcW w:w="140" w:type="dxa"/>
            <w:vAlign w:val="bottom"/>
            <w:tcBorders>
              <w:top w:val="single" w:sz="8" w:color="DCE2EF"/>
            </w:tcBorders>
            <w:shd w:val="clear" w:color="auto" w:fill="DCE2EF"/>
          </w:tcPr>
          <w:p>
            <w:pPr>
              <w:spacing w:after="0" w:line="20" w:lineRule="exact"/>
              <w:rPr>
                <w:sz w:val="1"/>
                <w:szCs w:val="1"/>
                <w:color w:val="auto"/>
              </w:rPr>
            </w:pPr>
          </w:p>
        </w:tc>
        <w:tc>
          <w:tcPr>
            <w:tcW w:w="760" w:type="dxa"/>
            <w:vAlign w:val="bottom"/>
            <w:tcBorders>
              <w:top w:val="single" w:sz="8" w:color="DCE2EF"/>
            </w:tcBorders>
            <w:shd w:val="clear" w:color="auto" w:fill="DCE2EF"/>
          </w:tcPr>
          <w:p>
            <w:pPr>
              <w:spacing w:after="0" w:line="20" w:lineRule="exact"/>
              <w:rPr>
                <w:sz w:val="1"/>
                <w:szCs w:val="1"/>
                <w:color w:val="auto"/>
              </w:rPr>
            </w:pPr>
          </w:p>
        </w:tc>
        <w:tc>
          <w:tcPr>
            <w:tcW w:w="20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60" w:type="dxa"/>
            <w:vAlign w:val="bottom"/>
            <w:tcBorders>
              <w:top w:val="single" w:sz="8" w:color="DCE2EF"/>
            </w:tcBorders>
            <w:shd w:val="clear" w:color="auto" w:fill="DCE2EF"/>
          </w:tcPr>
          <w:p>
            <w:pPr>
              <w:spacing w:after="0" w:line="20" w:lineRule="exact"/>
              <w:rPr>
                <w:sz w:val="1"/>
                <w:szCs w:val="1"/>
                <w:color w:val="auto"/>
              </w:rPr>
            </w:pPr>
          </w:p>
        </w:tc>
        <w:tc>
          <w:tcPr>
            <w:tcW w:w="140" w:type="dxa"/>
            <w:vAlign w:val="bottom"/>
            <w:tcBorders>
              <w:top w:val="single" w:sz="8" w:color="DCE2EF"/>
            </w:tcBorders>
            <w:shd w:val="clear" w:color="auto" w:fill="DCE2EF"/>
          </w:tcPr>
          <w:p>
            <w:pPr>
              <w:spacing w:after="0" w:line="20" w:lineRule="exact"/>
              <w:rPr>
                <w:sz w:val="1"/>
                <w:szCs w:val="1"/>
                <w:color w:val="auto"/>
              </w:rPr>
            </w:pPr>
          </w:p>
        </w:tc>
        <w:tc>
          <w:tcPr>
            <w:tcW w:w="2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180" w:type="dxa"/>
            <w:vAlign w:val="bottom"/>
            <w:tcBorders>
              <w:top w:val="single" w:sz="8" w:color="DCE2EF"/>
            </w:tcBorders>
            <w:shd w:val="clear" w:color="auto" w:fill="DCE2EF"/>
          </w:tcPr>
          <w:p>
            <w:pPr>
              <w:spacing w:after="0" w:line="20" w:lineRule="exact"/>
              <w:rPr>
                <w:sz w:val="1"/>
                <w:szCs w:val="1"/>
                <w:color w:val="auto"/>
              </w:rPr>
            </w:pPr>
          </w:p>
        </w:tc>
        <w:tc>
          <w:tcPr>
            <w:tcW w:w="800" w:type="dxa"/>
            <w:vAlign w:val="bottom"/>
            <w:tcBorders>
              <w:top w:val="single" w:sz="8" w:color="DCE2EF"/>
            </w:tcBorders>
            <w:shd w:val="clear" w:color="auto" w:fill="DCE2EF"/>
          </w:tcPr>
          <w:p>
            <w:pPr>
              <w:spacing w:after="0" w:line="20" w:lineRule="exact"/>
              <w:rPr>
                <w:sz w:val="1"/>
                <w:szCs w:val="1"/>
                <w:color w:val="auto"/>
              </w:rPr>
            </w:pPr>
          </w:p>
        </w:tc>
        <w:tc>
          <w:tcPr>
            <w:tcW w:w="1360" w:type="dxa"/>
            <w:vAlign w:val="bottom"/>
            <w:tcBorders>
              <w:top w:val="single" w:sz="8" w:color="DCE2EF"/>
            </w:tcBorders>
            <w:shd w:val="clear" w:color="auto" w:fill="DCE2EF"/>
          </w:tcPr>
          <w:p>
            <w:pPr>
              <w:spacing w:after="0" w:line="20" w:lineRule="exact"/>
              <w:rPr>
                <w:sz w:val="1"/>
                <w:szCs w:val="1"/>
                <w:color w:val="auto"/>
              </w:rPr>
            </w:pPr>
          </w:p>
        </w:tc>
        <w:tc>
          <w:tcPr>
            <w:tcW w:w="960" w:type="dxa"/>
            <w:vAlign w:val="bottom"/>
            <w:tcBorders>
              <w:top w:val="single" w:sz="8" w:color="DCE2EF"/>
            </w:tcBorders>
            <w:shd w:val="clear" w:color="auto" w:fill="DCE2EF"/>
          </w:tcPr>
          <w:p>
            <w:pPr>
              <w:spacing w:after="0" w:line="20" w:lineRule="exact"/>
              <w:rPr>
                <w:sz w:val="1"/>
                <w:szCs w:val="1"/>
                <w:color w:val="auto"/>
              </w:rPr>
            </w:pPr>
          </w:p>
        </w:tc>
        <w:tc>
          <w:tcPr>
            <w:tcW w:w="2180" w:type="dxa"/>
            <w:vAlign w:val="bottom"/>
            <w:tcBorders>
              <w:top w:val="single" w:sz="8" w:color="DCE2EF"/>
            </w:tcBorders>
            <w:shd w:val="clear" w:color="auto" w:fill="DCE2EF"/>
          </w:tcPr>
          <w:p>
            <w:pPr>
              <w:spacing w:after="0" w:line="20" w:lineRule="exact"/>
              <w:rPr>
                <w:sz w:val="1"/>
                <w:szCs w:val="1"/>
                <w:color w:val="auto"/>
              </w:rPr>
            </w:pPr>
          </w:p>
        </w:tc>
      </w:tr>
      <w:tr>
        <w:trPr>
          <w:trHeight w:val="188"/>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10.14*</w:t>
            </w:r>
          </w:p>
        </w:tc>
        <w:tc>
          <w:tcPr>
            <w:tcW w:w="4580" w:type="dxa"/>
            <w:vAlign w:val="bottom"/>
            <w:gridSpan w:val="15"/>
          </w:tcPr>
          <w:p>
            <w:pPr>
              <w:spacing w:after="0" w:line="189" w:lineRule="exact"/>
              <w:rPr>
                <w:rFonts w:ascii="Arial" w:cs="Arial" w:eastAsia="Arial" w:hAnsi="Arial"/>
                <w:sz w:val="18"/>
                <w:szCs w:val="18"/>
                <w:color w:val="0000FF"/>
              </w:rPr>
            </w:pPr>
            <w:hyperlink r:id="rId183">
              <w:r>
                <w:rPr>
                  <w:rFonts w:ascii="Arial" w:cs="Arial" w:eastAsia="Arial" w:hAnsi="Arial"/>
                  <w:sz w:val="18"/>
                  <w:szCs w:val="18"/>
                  <w:color w:val="0000FF"/>
                </w:rPr>
                <w:t>Statement of Terms and Conditions Applicable to</w:t>
              </w:r>
            </w:hyperlink>
          </w:p>
        </w:tc>
        <w:tc>
          <w:tcPr>
            <w:tcW w:w="800" w:type="dxa"/>
            <w:vAlign w:val="bottom"/>
          </w:tcPr>
          <w:p>
            <w:pPr>
              <w:jc w:val="center"/>
              <w:spacing w:after="0" w:line="189" w:lineRule="exact"/>
              <w:rPr>
                <w:sz w:val="20"/>
                <w:szCs w:val="20"/>
                <w:color w:val="auto"/>
              </w:rPr>
            </w:pPr>
            <w:r>
              <w:rPr>
                <w:rFonts w:ascii="Arial" w:cs="Arial" w:eastAsia="Arial" w:hAnsi="Arial"/>
                <w:sz w:val="18"/>
                <w:szCs w:val="18"/>
                <w:color w:val="auto"/>
                <w:w w:val="99"/>
              </w:rPr>
              <w:t>10-Q</w:t>
            </w:r>
          </w:p>
        </w:tc>
        <w:tc>
          <w:tcPr>
            <w:tcW w:w="1360" w:type="dxa"/>
            <w:vAlign w:val="bottom"/>
          </w:tcPr>
          <w:p>
            <w:pPr>
              <w:jc w:val="right"/>
              <w:ind w:right="190"/>
              <w:spacing w:after="0" w:line="189" w:lineRule="exact"/>
              <w:rPr>
                <w:sz w:val="20"/>
                <w:szCs w:val="20"/>
                <w:color w:val="auto"/>
              </w:rPr>
            </w:pPr>
            <w:r>
              <w:rPr>
                <w:rFonts w:ascii="Arial" w:cs="Arial" w:eastAsia="Arial" w:hAnsi="Arial"/>
                <w:sz w:val="18"/>
                <w:szCs w:val="18"/>
                <w:color w:val="auto"/>
              </w:rPr>
              <w:t>001-08929</w:t>
            </w:r>
          </w:p>
        </w:tc>
        <w:tc>
          <w:tcPr>
            <w:tcW w:w="96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10.1</w:t>
            </w:r>
          </w:p>
        </w:tc>
        <w:tc>
          <w:tcPr>
            <w:tcW w:w="2180" w:type="dxa"/>
            <w:vAlign w:val="bottom"/>
          </w:tcPr>
          <w:p>
            <w:pPr>
              <w:jc w:val="center"/>
              <w:spacing w:after="0" w:line="189" w:lineRule="exact"/>
              <w:rPr>
                <w:sz w:val="20"/>
                <w:szCs w:val="20"/>
                <w:color w:val="auto"/>
              </w:rPr>
            </w:pPr>
            <w:r>
              <w:rPr>
                <w:rFonts w:ascii="Arial" w:cs="Arial" w:eastAsia="Arial" w:hAnsi="Arial"/>
                <w:sz w:val="18"/>
                <w:szCs w:val="18"/>
                <w:color w:val="auto"/>
                <w:w w:val="99"/>
              </w:rPr>
              <w:t>March 5, 2020</w:t>
            </w:r>
          </w:p>
        </w:tc>
      </w:tr>
      <w:tr>
        <w:trPr>
          <w:trHeight w:val="156"/>
        </w:trPr>
        <w:tc>
          <w:tcPr>
            <w:tcW w:w="1360" w:type="dxa"/>
            <w:vAlign w:val="bottom"/>
          </w:tcPr>
          <w:p>
            <w:pPr>
              <w:spacing w:after="0"/>
              <w:rPr>
                <w:sz w:val="13"/>
                <w:szCs w:val="13"/>
                <w:color w:val="auto"/>
              </w:rPr>
            </w:pPr>
          </w:p>
        </w:tc>
        <w:tc>
          <w:tcPr>
            <w:tcW w:w="3900" w:type="dxa"/>
            <w:vAlign w:val="bottom"/>
            <w:tcBorders>
              <w:top w:val="single" w:sz="8" w:color="0000FF"/>
            </w:tcBorders>
            <w:gridSpan w:val="9"/>
          </w:tcPr>
          <w:p>
            <w:pPr>
              <w:spacing w:after="0" w:line="157" w:lineRule="exact"/>
              <w:rPr>
                <w:rFonts w:ascii="Arial" w:cs="Arial" w:eastAsia="Arial" w:hAnsi="Arial"/>
                <w:sz w:val="18"/>
                <w:szCs w:val="18"/>
                <w:color w:val="0000FF"/>
              </w:rPr>
            </w:pPr>
            <w:hyperlink r:id="rId183">
              <w:r>
                <w:rPr>
                  <w:rFonts w:ascii="Arial" w:cs="Arial" w:eastAsia="Arial" w:hAnsi="Arial"/>
                  <w:sz w:val="18"/>
                  <w:szCs w:val="18"/>
                  <w:color w:val="0000FF"/>
                </w:rPr>
                <w:t>Options, Restricted Stock and Restricted Stock</w:t>
              </w:r>
            </w:hyperlink>
          </w:p>
        </w:tc>
        <w:tc>
          <w:tcPr>
            <w:tcW w:w="680" w:type="dxa"/>
            <w:vAlign w:val="bottom"/>
            <w:gridSpan w:val="6"/>
          </w:tcPr>
          <w:p>
            <w:pPr>
              <w:jc w:val="center"/>
              <w:ind w:right="320"/>
              <w:spacing w:after="0" w:line="157" w:lineRule="exact"/>
              <w:rPr>
                <w:rFonts w:ascii="Arial" w:cs="Arial" w:eastAsia="Arial" w:hAnsi="Arial"/>
                <w:sz w:val="18"/>
                <w:szCs w:val="18"/>
                <w:color w:val="0000FF"/>
                <w:w w:val="78"/>
              </w:rPr>
            </w:pPr>
            <w:hyperlink r:id="rId183">
              <w:r>
                <w:rPr>
                  <w:rFonts w:ascii="Arial" w:cs="Arial" w:eastAsia="Arial" w:hAnsi="Arial"/>
                  <w:sz w:val="18"/>
                  <w:szCs w:val="18"/>
                  <w:color w:val="0000FF"/>
                  <w:w w:val="78"/>
                </w:rPr>
                <w:t>Units,</w:t>
              </w:r>
            </w:hyperlink>
          </w:p>
        </w:tc>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4260" w:type="dxa"/>
            <w:vAlign w:val="bottom"/>
            <w:tcBorders>
              <w:top w:val="single" w:sz="8" w:color="0000FF"/>
            </w:tcBorders>
            <w:gridSpan w:val="11"/>
          </w:tcPr>
          <w:p>
            <w:pPr>
              <w:spacing w:after="0" w:line="154" w:lineRule="exact"/>
              <w:rPr>
                <w:rFonts w:ascii="Arial" w:cs="Arial" w:eastAsia="Arial" w:hAnsi="Arial"/>
                <w:sz w:val="17"/>
                <w:szCs w:val="17"/>
                <w:color w:val="0000FF"/>
              </w:rPr>
            </w:pPr>
            <w:hyperlink r:id="rId183">
              <w:r>
                <w:rPr>
                  <w:rFonts w:ascii="Arial" w:cs="Arial" w:eastAsia="Arial" w:hAnsi="Arial"/>
                  <w:sz w:val="17"/>
                  <w:szCs w:val="17"/>
                  <w:color w:val="0000FF"/>
                </w:rPr>
                <w:t>and Performance Shares Granted to Employees</w:t>
              </w:r>
            </w:hyperlink>
          </w:p>
        </w:tc>
        <w:tc>
          <w:tcPr>
            <w:tcW w:w="320" w:type="dxa"/>
            <w:vAlign w:val="bottom"/>
            <w:gridSpan w:val="4"/>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3840" w:type="dxa"/>
            <w:vAlign w:val="bottom"/>
            <w:tcBorders>
              <w:top w:val="single" w:sz="8" w:color="0000FF"/>
            </w:tcBorders>
            <w:gridSpan w:val="8"/>
          </w:tcPr>
          <w:p>
            <w:pPr>
              <w:spacing w:after="0" w:line="157" w:lineRule="exact"/>
              <w:rPr>
                <w:rFonts w:ascii="Arial" w:cs="Arial" w:eastAsia="Arial" w:hAnsi="Arial"/>
                <w:sz w:val="18"/>
                <w:szCs w:val="18"/>
                <w:color w:val="0000FF"/>
              </w:rPr>
            </w:pPr>
            <w:hyperlink r:id="rId183">
              <w:r>
                <w:rPr>
                  <w:rFonts w:ascii="Arial" w:cs="Arial" w:eastAsia="Arial" w:hAnsi="Arial"/>
                  <w:sz w:val="18"/>
                  <w:szCs w:val="18"/>
                  <w:color w:val="0000FF"/>
                </w:rPr>
                <w:t>Pursuant to the 2006 Equity Incentive Plan, for</w:t>
              </w:r>
            </w:hyperlink>
          </w:p>
        </w:tc>
        <w:tc>
          <w:tcPr>
            <w:tcW w:w="740" w:type="dxa"/>
            <w:vAlign w:val="bottom"/>
            <w:gridSpan w:val="7"/>
          </w:tcPr>
          <w:p>
            <w:pPr>
              <w:jc w:val="center"/>
              <w:ind w:right="220"/>
              <w:spacing w:after="0" w:line="157" w:lineRule="exact"/>
              <w:rPr>
                <w:rFonts w:ascii="Arial" w:cs="Arial" w:eastAsia="Arial" w:hAnsi="Arial"/>
                <w:sz w:val="18"/>
                <w:szCs w:val="18"/>
                <w:color w:val="0000FF"/>
                <w:w w:val="86"/>
              </w:rPr>
            </w:pPr>
            <w:hyperlink r:id="rId183">
              <w:r>
                <w:rPr>
                  <w:rFonts w:ascii="Arial" w:cs="Arial" w:eastAsia="Arial" w:hAnsi="Arial"/>
                  <w:sz w:val="18"/>
                  <w:szCs w:val="18"/>
                  <w:color w:val="0000FF"/>
                  <w:w w:val="86"/>
                </w:rPr>
                <w:t>Awards</w:t>
              </w:r>
            </w:hyperlink>
          </w:p>
        </w:tc>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43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Granted on or after January 1, 2020</w:t>
              </w:r>
            </w:hyperlink>
          </w:p>
        </w:tc>
        <w:tc>
          <w:tcPr>
            <w:tcW w:w="22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76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7132320" cy="676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type w:val="continuous"/>
        </w:sectPr>
      </w:pP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10.17*</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238" w:lineRule="auto"/>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Statement of Terms and Conditions Applicable to</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Options, Restricted Stock, Restricted Stock Units, and</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Performance Shares Granted to Employees Pursuant to</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the 2006 Equity Incentive Plan, for Awards Granted on</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July 14, 2020</w:t>
        </w:r>
      </w:hyperlink>
    </w:p>
    <w:p>
      <w:pPr>
        <w:spacing w:after="0" w:line="40" w:lineRule="exact"/>
        <w:rPr>
          <w:rFonts w:ascii="Arial" w:cs="Arial" w:eastAsia="Arial" w:hAnsi="Arial"/>
          <w:sz w:val="18"/>
          <w:szCs w:val="18"/>
          <w:u w:val="single" w:color="auto"/>
          <w:color w:val="0000FF"/>
        </w:rPr>
      </w:pPr>
    </w:p>
    <w:p>
      <w:pPr>
        <w:spacing w:after="0" w:line="238" w:lineRule="auto"/>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Statement of Terms and Conditions Applicable to</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Options, Restricted Stock, Restricted Stock Units and</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Performance Shares Granted to Employees Pursuant to</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the 2006 Equity Incentive Plan, for Awards Granted with</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a Two-Year Vesting Schedule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-857885</wp:posOffset>
            </wp:positionH>
            <wp:positionV relativeFrom="paragraph">
              <wp:posOffset>8890</wp:posOffset>
            </wp:positionV>
            <wp:extent cx="7132320" cy="3683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7" w:lineRule="exact"/>
        <w:rPr>
          <w:rFonts w:ascii="Arial" w:cs="Arial" w:eastAsia="Arial" w:hAnsi="Arial"/>
          <w:sz w:val="18"/>
          <w:szCs w:val="18"/>
          <w:u w:val="single" w:color="auto"/>
          <w:color w:val="0000FF"/>
        </w:rPr>
      </w:pPr>
    </w:p>
    <w:p>
      <w:pPr>
        <w:ind w:right="300"/>
        <w:spacing w:after="0" w:line="219" w:lineRule="auto"/>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Statement of Terms and Conditions Applicable to</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Awards Granted to Employees Pursuant to the 2021</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Equity and Incentive Compensation Plan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 w:lineRule="exact"/>
        <w:rPr>
          <w:rFonts w:ascii="Arial" w:cs="Arial" w:eastAsia="Arial" w:hAnsi="Arial"/>
          <w:sz w:val="18"/>
          <w:szCs w:val="18"/>
          <w:u w:val="single" w:color="auto"/>
          <w:color w:val="0000FF"/>
        </w:rPr>
      </w:pPr>
    </w:p>
    <w:p>
      <w:pPr>
        <w:spacing w:after="0"/>
        <w:tabs>
          <w:tab w:leader="none" w:pos="820" w:val="left"/>
          <w:tab w:leader="none" w:pos="2200" w:val="left"/>
          <w:tab w:leader="none" w:pos="324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001-08929</w:t>
      </w:r>
      <w:r>
        <w:rPr>
          <w:sz w:val="20"/>
          <w:szCs w:val="20"/>
          <w:color w:val="auto"/>
        </w:rPr>
        <w:tab/>
      </w:r>
      <w:r>
        <w:rPr>
          <w:rFonts w:ascii="Arial" w:cs="Arial" w:eastAsia="Arial" w:hAnsi="Arial"/>
          <w:sz w:val="18"/>
          <w:szCs w:val="18"/>
          <w:color w:val="auto"/>
        </w:rPr>
        <w:t>10.16</w:t>
      </w:r>
      <w:r>
        <w:rPr>
          <w:sz w:val="20"/>
          <w:szCs w:val="20"/>
          <w:color w:val="auto"/>
        </w:rPr>
        <w:tab/>
      </w:r>
      <w:r>
        <w:rPr>
          <w:rFonts w:ascii="Arial" w:cs="Arial" w:eastAsia="Arial" w:hAnsi="Arial"/>
          <w:sz w:val="17"/>
          <w:szCs w:val="17"/>
          <w:color w:val="auto"/>
        </w:rPr>
        <w:t>December 17, 2020</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60" w:lineRule="exact"/>
        <w:rPr>
          <w:rFonts w:ascii="Arial" w:cs="Arial" w:eastAsia="Arial" w:hAnsi="Arial"/>
          <w:sz w:val="18"/>
          <w:szCs w:val="18"/>
          <w:u w:val="single" w:color="auto"/>
          <w:color w:val="0000FF"/>
        </w:rPr>
      </w:pPr>
    </w:p>
    <w:p>
      <w:pPr>
        <w:spacing w:after="0"/>
        <w:tabs>
          <w:tab w:leader="none" w:pos="820" w:val="left"/>
          <w:tab w:leader="none" w:pos="2200" w:val="left"/>
          <w:tab w:leader="none" w:pos="324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001-08929</w:t>
      </w:r>
      <w:r>
        <w:rPr>
          <w:sz w:val="20"/>
          <w:szCs w:val="20"/>
          <w:color w:val="auto"/>
        </w:rPr>
        <w:tab/>
      </w:r>
      <w:r>
        <w:rPr>
          <w:rFonts w:ascii="Arial" w:cs="Arial" w:eastAsia="Arial" w:hAnsi="Arial"/>
          <w:sz w:val="18"/>
          <w:szCs w:val="18"/>
          <w:color w:val="auto"/>
        </w:rPr>
        <w:t>10.17</w:t>
      </w:r>
      <w:r>
        <w:rPr>
          <w:sz w:val="20"/>
          <w:szCs w:val="20"/>
          <w:color w:val="auto"/>
        </w:rPr>
        <w:tab/>
      </w:r>
      <w:r>
        <w:rPr>
          <w:rFonts w:ascii="Arial" w:cs="Arial" w:eastAsia="Arial" w:hAnsi="Arial"/>
          <w:sz w:val="17"/>
          <w:szCs w:val="17"/>
          <w:color w:val="auto"/>
        </w:rPr>
        <w:t>December 17, 2020</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60" w:lineRule="exact"/>
        <w:rPr>
          <w:rFonts w:ascii="Arial" w:cs="Arial" w:eastAsia="Arial" w:hAnsi="Arial"/>
          <w:sz w:val="18"/>
          <w:szCs w:val="18"/>
          <w:u w:val="single" w:color="auto"/>
          <w:color w:val="0000FF"/>
        </w:rPr>
      </w:pPr>
    </w:p>
    <w:p>
      <w:pPr>
        <w:spacing w:after="0"/>
        <w:tabs>
          <w:tab w:leader="none" w:pos="820" w:val="left"/>
          <w:tab w:leader="none" w:pos="2240" w:val="left"/>
          <w:tab w:leader="none" w:pos="35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001-08929</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June 9, 2021</w:t>
      </w:r>
    </w:p>
    <w:p>
      <w:pPr>
        <w:spacing w:after="0" w:line="559" w:lineRule="exact"/>
        <w:rPr>
          <w:rFonts w:ascii="Arial" w:cs="Arial" w:eastAsia="Arial" w:hAnsi="Arial"/>
          <w:sz w:val="18"/>
          <w:szCs w:val="18"/>
          <w:u w:val="single" w:color="auto"/>
          <w:color w:val="0000FF"/>
        </w:rPr>
      </w:pPr>
    </w:p>
    <w:p>
      <w:pPr>
        <w:sectPr>
          <w:pgSz w:w="11900" w:h="16838" w:orient="portrait"/>
          <w:cols w:equalWidth="0" w:num="3">
            <w:col w:w="640" w:space="720"/>
            <w:col w:w="4460" w:space="300"/>
            <w:col w:w="5120"/>
          </w:cols>
          <w:pgMar w:left="320" w:top="1067" w:right="339" w:bottom="1440"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262"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1360" w:type="dxa"/>
            <w:vAlign w:val="bottom"/>
          </w:tcPr>
          <w:p>
            <w:pPr>
              <w:jc w:val="right"/>
              <w:ind w:right="730"/>
              <w:spacing w:after="0"/>
              <w:rPr>
                <w:sz w:val="20"/>
                <w:szCs w:val="20"/>
                <w:color w:val="auto"/>
              </w:rPr>
            </w:pPr>
            <w:r>
              <w:rPr>
                <w:rFonts w:ascii="Arial" w:cs="Arial" w:eastAsia="Arial" w:hAnsi="Arial"/>
                <w:sz w:val="18"/>
                <w:szCs w:val="18"/>
                <w:color w:val="auto"/>
                <w:w w:val="99"/>
              </w:rPr>
              <w:t>10.18*</w:t>
            </w:r>
          </w:p>
        </w:tc>
        <w:tc>
          <w:tcPr>
            <w:tcW w:w="4620" w:type="dxa"/>
            <w:vAlign w:val="bottom"/>
            <w:gridSpan w:val="41"/>
          </w:tcPr>
          <w:p>
            <w:pPr>
              <w:spacing w:after="0"/>
              <w:rPr>
                <w:rFonts w:ascii="Arial" w:cs="Arial" w:eastAsia="Arial" w:hAnsi="Arial"/>
                <w:sz w:val="18"/>
                <w:szCs w:val="18"/>
                <w:color w:val="0000FF"/>
              </w:rPr>
            </w:pPr>
            <w:hyperlink r:id="rId190">
              <w:r>
                <w:rPr>
                  <w:rFonts w:ascii="Arial" w:cs="Arial" w:eastAsia="Arial" w:hAnsi="Arial"/>
                  <w:sz w:val="18"/>
                  <w:szCs w:val="18"/>
                  <w:color w:val="0000FF"/>
                </w:rPr>
                <w:t>Statement of Terms and Conditions Applicable to</w:t>
              </w:r>
            </w:hyperlink>
          </w:p>
        </w:tc>
        <w:tc>
          <w:tcPr>
            <w:tcW w:w="760" w:type="dxa"/>
            <w:vAlign w:val="bottom"/>
          </w:tcPr>
          <w:p>
            <w:pPr>
              <w:ind w:left="140"/>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10.3</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June 3, 2015</w:t>
            </w:r>
          </w:p>
        </w:tc>
      </w:tr>
      <w:tr>
        <w:trPr>
          <w:trHeight w:val="156"/>
        </w:trPr>
        <w:tc>
          <w:tcPr>
            <w:tcW w:w="1360" w:type="dxa"/>
            <w:vAlign w:val="bottom"/>
          </w:tcPr>
          <w:p>
            <w:pPr>
              <w:spacing w:after="0"/>
              <w:rPr>
                <w:sz w:val="13"/>
                <w:szCs w:val="13"/>
                <w:color w:val="auto"/>
              </w:rPr>
            </w:pPr>
          </w:p>
        </w:tc>
        <w:tc>
          <w:tcPr>
            <w:tcW w:w="3900" w:type="dxa"/>
            <w:vAlign w:val="bottom"/>
            <w:tcBorders>
              <w:top w:val="single" w:sz="8" w:color="0000FF"/>
            </w:tcBorders>
            <w:gridSpan w:val="19"/>
          </w:tcPr>
          <w:p>
            <w:pPr>
              <w:spacing w:after="0" w:line="157" w:lineRule="exact"/>
              <w:rPr>
                <w:rFonts w:ascii="Arial" w:cs="Arial" w:eastAsia="Arial" w:hAnsi="Arial"/>
                <w:sz w:val="18"/>
                <w:szCs w:val="18"/>
                <w:color w:val="0000FF"/>
              </w:rPr>
            </w:pPr>
            <w:hyperlink r:id="rId190">
              <w:r>
                <w:rPr>
                  <w:rFonts w:ascii="Arial" w:cs="Arial" w:eastAsia="Arial" w:hAnsi="Arial"/>
                  <w:sz w:val="18"/>
                  <w:szCs w:val="18"/>
                  <w:color w:val="0000FF"/>
                </w:rPr>
                <w:t>Options, Restricted Stock, and Restricted Stock</w:t>
              </w:r>
            </w:hyperlink>
          </w:p>
        </w:tc>
        <w:tc>
          <w:tcPr>
            <w:tcW w:w="720" w:type="dxa"/>
            <w:vAlign w:val="bottom"/>
            <w:gridSpan w:val="22"/>
          </w:tcPr>
          <w:p>
            <w:pPr>
              <w:spacing w:after="0" w:line="157" w:lineRule="exact"/>
              <w:rPr>
                <w:rFonts w:ascii="Arial" w:cs="Arial" w:eastAsia="Arial" w:hAnsi="Arial"/>
                <w:sz w:val="18"/>
                <w:szCs w:val="18"/>
                <w:color w:val="0000FF"/>
              </w:rPr>
            </w:pPr>
            <w:hyperlink r:id="rId190">
              <w:r>
                <w:rPr>
                  <w:rFonts w:ascii="Arial" w:cs="Arial" w:eastAsia="Arial" w:hAnsi="Arial"/>
                  <w:sz w:val="18"/>
                  <w:szCs w:val="18"/>
                  <w:color w:val="0000FF"/>
                </w:rPr>
                <w:t>Units</w:t>
              </w:r>
            </w:hyperlink>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390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9"/>
              </w:rPr>
            </w:pPr>
            <w:hyperlink r:id="rId190">
              <w:r>
                <w:rPr>
                  <w:rFonts w:ascii="Arial" w:cs="Arial" w:eastAsia="Arial" w:hAnsi="Arial"/>
                  <w:sz w:val="18"/>
                  <w:szCs w:val="18"/>
                  <w:color w:val="0000FF"/>
                  <w:w w:val="99"/>
                </w:rPr>
                <w:t>Granted to Directors Pursuant to the 2006 Equity</w:t>
              </w:r>
            </w:hyperlink>
          </w:p>
        </w:tc>
        <w:tc>
          <w:tcPr>
            <w:tcW w:w="36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4620" w:type="dxa"/>
            <w:vAlign w:val="bottom"/>
            <w:gridSpan w:val="41"/>
          </w:tcPr>
          <w:p>
            <w:pPr>
              <w:spacing w:after="0" w:line="156" w:lineRule="exact"/>
              <w:rPr>
                <w:rFonts w:ascii="Arial" w:cs="Arial" w:eastAsia="Arial" w:hAnsi="Arial"/>
                <w:sz w:val="18"/>
                <w:szCs w:val="18"/>
                <w:color w:val="0000FF"/>
              </w:rPr>
            </w:pPr>
            <w:hyperlink r:id="rId190">
              <w:r>
                <w:rPr>
                  <w:rFonts w:ascii="Arial" w:cs="Arial" w:eastAsia="Arial" w:hAnsi="Arial"/>
                  <w:sz w:val="18"/>
                  <w:szCs w:val="18"/>
                  <w:color w:val="0000FF"/>
                </w:rPr>
                <w:t>Incentive Plan, for Awards Granted on or after March 4,</w:t>
              </w:r>
            </w:hyperlink>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60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190">
              <w:r>
                <w:rPr>
                  <w:rFonts w:ascii="Arial" w:cs="Arial" w:eastAsia="Arial" w:hAnsi="Arial"/>
                  <w:sz w:val="18"/>
                  <w:szCs w:val="18"/>
                  <w:color w:val="0000FF"/>
                </w:rPr>
                <w:t>2015</w:t>
              </w:r>
            </w:hyperlink>
          </w:p>
        </w:tc>
        <w:tc>
          <w:tcPr>
            <w:tcW w:w="1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94967277"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8"/>
        </w:trPr>
        <w:tc>
          <w:tcPr>
            <w:tcW w:w="1360" w:type="dxa"/>
            <w:vAlign w:val="bottom"/>
            <w:shd w:val="clear" w:color="auto" w:fill="DCE2EF"/>
          </w:tcPr>
          <w:p>
            <w:pPr>
              <w:jc w:val="right"/>
              <w:ind w:right="730"/>
              <w:spacing w:after="0" w:line="189" w:lineRule="exact"/>
              <w:rPr>
                <w:sz w:val="20"/>
                <w:szCs w:val="20"/>
                <w:color w:val="auto"/>
              </w:rPr>
            </w:pPr>
            <w:r>
              <w:rPr>
                <w:rFonts w:ascii="Arial" w:cs="Arial" w:eastAsia="Arial" w:hAnsi="Arial"/>
                <w:sz w:val="18"/>
                <w:szCs w:val="18"/>
                <w:color w:val="auto"/>
                <w:w w:val="99"/>
              </w:rPr>
              <w:t>10.19*</w:t>
            </w:r>
          </w:p>
        </w:tc>
        <w:tc>
          <w:tcPr>
            <w:tcW w:w="4620" w:type="dxa"/>
            <w:vAlign w:val="bottom"/>
            <w:gridSpan w:val="41"/>
            <w:shd w:val="clear" w:color="auto" w:fill="DCE2EF"/>
          </w:tcPr>
          <w:p>
            <w:pPr>
              <w:spacing w:after="0" w:line="189" w:lineRule="exact"/>
              <w:rPr>
                <w:rFonts w:ascii="Arial" w:cs="Arial" w:eastAsia="Arial" w:hAnsi="Arial"/>
                <w:sz w:val="18"/>
                <w:szCs w:val="18"/>
                <w:color w:val="0000FF"/>
              </w:rPr>
            </w:pPr>
            <w:hyperlink r:id="rId191">
              <w:r>
                <w:rPr>
                  <w:rFonts w:ascii="Arial" w:cs="Arial" w:eastAsia="Arial" w:hAnsi="Arial"/>
                  <w:sz w:val="18"/>
                  <w:szCs w:val="18"/>
                  <w:color w:val="0000FF"/>
                </w:rPr>
                <w:t>Statement of Terms and Conditions Applicable to</w:t>
              </w:r>
            </w:hyperlink>
          </w:p>
        </w:tc>
        <w:tc>
          <w:tcPr>
            <w:tcW w:w="760" w:type="dxa"/>
            <w:vAlign w:val="bottom"/>
            <w:shd w:val="clear" w:color="auto" w:fill="DCE2EF"/>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shd w:val="clear" w:color="auto" w:fill="DCE2EF"/>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rPr>
              <w:t>10.2</w:t>
            </w:r>
          </w:p>
        </w:tc>
        <w:tc>
          <w:tcPr>
            <w:tcW w:w="216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March 5, 2020</w:t>
            </w:r>
          </w:p>
        </w:tc>
      </w:tr>
      <w:tr>
        <w:trPr>
          <w:trHeight w:val="156"/>
        </w:trPr>
        <w:tc>
          <w:tcPr>
            <w:tcW w:w="1360" w:type="dxa"/>
            <w:vAlign w:val="bottom"/>
            <w:tcBorders>
              <w:top w:val="single" w:sz="8" w:color="DCE2EF"/>
            </w:tcBorders>
            <w:shd w:val="clear" w:color="auto" w:fill="DCE2EF"/>
          </w:tcPr>
          <w:p>
            <w:pPr>
              <w:spacing w:after="0"/>
              <w:rPr>
                <w:sz w:val="13"/>
                <w:szCs w:val="13"/>
                <w:color w:val="auto"/>
              </w:rPr>
            </w:pPr>
          </w:p>
        </w:tc>
        <w:tc>
          <w:tcPr>
            <w:tcW w:w="3900" w:type="dxa"/>
            <w:vAlign w:val="bottom"/>
            <w:tcBorders>
              <w:top w:val="single" w:sz="8" w:color="0000FF"/>
            </w:tcBorders>
            <w:gridSpan w:val="19"/>
            <w:shd w:val="clear" w:color="auto" w:fill="DCE2EF"/>
          </w:tcPr>
          <w:p>
            <w:pPr>
              <w:spacing w:after="0" w:line="157" w:lineRule="exact"/>
              <w:rPr>
                <w:rFonts w:ascii="Arial" w:cs="Arial" w:eastAsia="Arial" w:hAnsi="Arial"/>
                <w:sz w:val="18"/>
                <w:szCs w:val="18"/>
                <w:color w:val="0000FF"/>
              </w:rPr>
            </w:pPr>
            <w:hyperlink r:id="rId191">
              <w:r>
                <w:rPr>
                  <w:rFonts w:ascii="Arial" w:cs="Arial" w:eastAsia="Arial" w:hAnsi="Arial"/>
                  <w:sz w:val="18"/>
                  <w:szCs w:val="18"/>
                  <w:color w:val="0000FF"/>
                </w:rPr>
                <w:t>Options, Restricted Stock, and Restricted Stock</w:t>
              </w:r>
            </w:hyperlink>
          </w:p>
        </w:tc>
        <w:tc>
          <w:tcPr>
            <w:tcW w:w="720" w:type="dxa"/>
            <w:vAlign w:val="bottom"/>
            <w:tcBorders>
              <w:top w:val="single" w:sz="8" w:color="DCE2EF"/>
            </w:tcBorders>
            <w:gridSpan w:val="22"/>
            <w:shd w:val="clear" w:color="auto" w:fill="DCE2EF"/>
          </w:tcPr>
          <w:p>
            <w:pPr>
              <w:spacing w:after="0" w:line="157" w:lineRule="exact"/>
              <w:rPr>
                <w:rFonts w:ascii="Arial" w:cs="Arial" w:eastAsia="Arial" w:hAnsi="Arial"/>
                <w:sz w:val="18"/>
                <w:szCs w:val="18"/>
                <w:color w:val="0000FF"/>
              </w:rPr>
            </w:pPr>
            <w:hyperlink r:id="rId191">
              <w:r>
                <w:rPr>
                  <w:rFonts w:ascii="Arial" w:cs="Arial" w:eastAsia="Arial" w:hAnsi="Arial"/>
                  <w:sz w:val="18"/>
                  <w:szCs w:val="18"/>
                  <w:color w:val="0000FF"/>
                </w:rPr>
                <w:t>Units</w:t>
              </w:r>
            </w:hyperlink>
          </w:p>
        </w:tc>
        <w:tc>
          <w:tcPr>
            <w:tcW w:w="76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0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r>
      <w:tr>
        <w:trPr>
          <w:trHeight w:val="155"/>
        </w:trPr>
        <w:tc>
          <w:tcPr>
            <w:tcW w:w="1360" w:type="dxa"/>
            <w:vAlign w:val="bottom"/>
            <w:tcBorders>
              <w:top w:val="single" w:sz="8" w:color="DCE2EF"/>
              <w:bottom w:val="single" w:sz="8" w:color="DCE2EF"/>
            </w:tcBorders>
            <w:shd w:val="clear" w:color="auto" w:fill="DCE2EF"/>
          </w:tcPr>
          <w:p>
            <w:pPr>
              <w:spacing w:after="0"/>
              <w:rPr>
                <w:sz w:val="13"/>
                <w:szCs w:val="13"/>
                <w:color w:val="auto"/>
              </w:rPr>
            </w:pPr>
          </w:p>
        </w:tc>
        <w:tc>
          <w:tcPr>
            <w:tcW w:w="3900" w:type="dxa"/>
            <w:vAlign w:val="bottom"/>
            <w:tcBorders>
              <w:top w:val="single" w:sz="8" w:color="0000FF"/>
              <w:bottom w:val="single" w:sz="8" w:color="0000FF"/>
            </w:tcBorders>
            <w:gridSpan w:val="19"/>
            <w:shd w:val="clear" w:color="auto" w:fill="DCE2EF"/>
          </w:tcPr>
          <w:p>
            <w:pPr>
              <w:spacing w:after="0" w:line="156" w:lineRule="exact"/>
              <w:rPr>
                <w:rFonts w:ascii="Arial" w:cs="Arial" w:eastAsia="Arial" w:hAnsi="Arial"/>
                <w:sz w:val="18"/>
                <w:szCs w:val="18"/>
                <w:color w:val="0000FF"/>
                <w:w w:val="99"/>
              </w:rPr>
            </w:pPr>
            <w:hyperlink r:id="rId191">
              <w:r>
                <w:rPr>
                  <w:rFonts w:ascii="Arial" w:cs="Arial" w:eastAsia="Arial" w:hAnsi="Arial"/>
                  <w:sz w:val="18"/>
                  <w:szCs w:val="18"/>
                  <w:color w:val="0000FF"/>
                  <w:w w:val="99"/>
                </w:rPr>
                <w:t>Granted to Directors Pursuant to the 2006 Equity</w:t>
              </w:r>
            </w:hyperlink>
          </w:p>
        </w:tc>
        <w:tc>
          <w:tcPr>
            <w:tcW w:w="360" w:type="dxa"/>
            <w:vAlign w:val="bottom"/>
            <w:tcBorders>
              <w:top w:val="single" w:sz="8" w:color="0000FF"/>
              <w:bottom w:val="single" w:sz="8" w:color="DCE2EF"/>
            </w:tcBorders>
            <w:gridSpan w:val="6"/>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4294967277"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120" w:type="dxa"/>
            <w:vAlign w:val="bottom"/>
            <w:tcBorders>
              <w:top w:val="single" w:sz="8" w:color="DCE2EF"/>
              <w:bottom w:val="single" w:sz="8" w:color="DCE2EF"/>
            </w:tcBorders>
            <w:shd w:val="clear" w:color="auto" w:fill="DCE2EF"/>
          </w:tcPr>
          <w:p>
            <w:pPr>
              <w:spacing w:after="0"/>
              <w:rPr>
                <w:sz w:val="13"/>
                <w:szCs w:val="13"/>
                <w:color w:val="auto"/>
              </w:rPr>
            </w:pPr>
          </w:p>
        </w:tc>
        <w:tc>
          <w:tcPr>
            <w:tcW w:w="760" w:type="dxa"/>
            <w:vAlign w:val="bottom"/>
            <w:tcBorders>
              <w:top w:val="single" w:sz="8" w:color="DCE2EF"/>
              <w:bottom w:val="single" w:sz="8" w:color="DCE2EF"/>
            </w:tcBorders>
            <w:shd w:val="clear" w:color="auto" w:fill="DCE2EF"/>
          </w:tcPr>
          <w:p>
            <w:pPr>
              <w:spacing w:after="0"/>
              <w:rPr>
                <w:sz w:val="13"/>
                <w:szCs w:val="13"/>
                <w:color w:val="auto"/>
              </w:rPr>
            </w:pPr>
          </w:p>
        </w:tc>
        <w:tc>
          <w:tcPr>
            <w:tcW w:w="1340" w:type="dxa"/>
            <w:vAlign w:val="bottom"/>
            <w:tcBorders>
              <w:top w:val="single" w:sz="8" w:color="DCE2EF"/>
              <w:bottom w:val="single" w:sz="8" w:color="DCE2EF"/>
            </w:tcBorders>
            <w:shd w:val="clear" w:color="auto" w:fill="DCE2EF"/>
          </w:tcPr>
          <w:p>
            <w:pPr>
              <w:spacing w:after="0"/>
              <w:rPr>
                <w:sz w:val="13"/>
                <w:szCs w:val="13"/>
                <w:color w:val="auto"/>
              </w:rPr>
            </w:pPr>
          </w:p>
        </w:tc>
        <w:tc>
          <w:tcPr>
            <w:tcW w:w="1000" w:type="dxa"/>
            <w:vAlign w:val="bottom"/>
            <w:tcBorders>
              <w:top w:val="single" w:sz="8" w:color="DCE2EF"/>
              <w:bottom w:val="single" w:sz="8" w:color="DCE2EF"/>
            </w:tcBorders>
            <w:shd w:val="clear" w:color="auto" w:fill="DCE2EF"/>
          </w:tcPr>
          <w:p>
            <w:pPr>
              <w:spacing w:after="0"/>
              <w:rPr>
                <w:sz w:val="13"/>
                <w:szCs w:val="13"/>
                <w:color w:val="auto"/>
              </w:rPr>
            </w:pPr>
          </w:p>
        </w:tc>
        <w:tc>
          <w:tcPr>
            <w:tcW w:w="2160" w:type="dxa"/>
            <w:vAlign w:val="bottom"/>
            <w:tcBorders>
              <w:top w:val="single" w:sz="8" w:color="DCE2EF"/>
              <w:bottom w:val="single" w:sz="8" w:color="DCE2EF"/>
            </w:tcBorders>
            <w:shd w:val="clear" w:color="auto" w:fill="DCE2EF"/>
          </w:tcPr>
          <w:p>
            <w:pPr>
              <w:spacing w:after="0"/>
              <w:rPr>
                <w:sz w:val="13"/>
                <w:szCs w:val="13"/>
                <w:color w:val="auto"/>
              </w:rPr>
            </w:pPr>
          </w:p>
        </w:tc>
      </w:tr>
      <w:tr>
        <w:trPr>
          <w:trHeight w:val="156"/>
        </w:trPr>
        <w:tc>
          <w:tcPr>
            <w:tcW w:w="1360" w:type="dxa"/>
            <w:vAlign w:val="bottom"/>
            <w:shd w:val="clear" w:color="auto" w:fill="DCE2EF"/>
          </w:tcPr>
          <w:p>
            <w:pPr>
              <w:spacing w:after="0"/>
              <w:rPr>
                <w:sz w:val="13"/>
                <w:szCs w:val="13"/>
                <w:color w:val="auto"/>
              </w:rPr>
            </w:pPr>
          </w:p>
        </w:tc>
        <w:tc>
          <w:tcPr>
            <w:tcW w:w="4620" w:type="dxa"/>
            <w:vAlign w:val="bottom"/>
            <w:gridSpan w:val="41"/>
            <w:shd w:val="clear" w:color="auto" w:fill="DCE2EF"/>
          </w:tcPr>
          <w:p>
            <w:pPr>
              <w:spacing w:after="0" w:line="156" w:lineRule="exact"/>
              <w:rPr>
                <w:rFonts w:ascii="Arial" w:cs="Arial" w:eastAsia="Arial" w:hAnsi="Arial"/>
                <w:sz w:val="18"/>
                <w:szCs w:val="18"/>
                <w:color w:val="0000FF"/>
              </w:rPr>
            </w:pPr>
            <w:hyperlink r:id="rId191">
              <w:r>
                <w:rPr>
                  <w:rFonts w:ascii="Arial" w:cs="Arial" w:eastAsia="Arial" w:hAnsi="Arial"/>
                  <w:sz w:val="18"/>
                  <w:szCs w:val="18"/>
                  <w:color w:val="0000FF"/>
                </w:rPr>
                <w:t>Incentive Plan, for Awards Granted on or after January</w:t>
              </w:r>
            </w:hyperlink>
          </w:p>
        </w:tc>
        <w:tc>
          <w:tcPr>
            <w:tcW w:w="760" w:type="dxa"/>
            <w:vAlign w:val="bottom"/>
            <w:shd w:val="clear" w:color="auto" w:fill="DCE2EF"/>
          </w:tcPr>
          <w:p>
            <w:pPr>
              <w:spacing w:after="0"/>
              <w:rPr>
                <w:sz w:val="13"/>
                <w:szCs w:val="13"/>
                <w:color w:val="auto"/>
              </w:rPr>
            </w:pPr>
          </w:p>
        </w:tc>
        <w:tc>
          <w:tcPr>
            <w:tcW w:w="1340" w:type="dxa"/>
            <w:vAlign w:val="bottom"/>
            <w:shd w:val="clear" w:color="auto" w:fill="DCE2EF"/>
          </w:tcPr>
          <w:p>
            <w:pPr>
              <w:spacing w:after="0"/>
              <w:rPr>
                <w:sz w:val="13"/>
                <w:szCs w:val="13"/>
                <w:color w:val="auto"/>
              </w:rPr>
            </w:pPr>
          </w:p>
        </w:tc>
        <w:tc>
          <w:tcPr>
            <w:tcW w:w="1000" w:type="dxa"/>
            <w:vAlign w:val="bottom"/>
            <w:shd w:val="clear" w:color="auto" w:fill="DCE2EF"/>
          </w:tcPr>
          <w:p>
            <w:pPr>
              <w:spacing w:after="0"/>
              <w:rPr>
                <w:sz w:val="13"/>
                <w:szCs w:val="13"/>
                <w:color w:val="auto"/>
              </w:rPr>
            </w:pPr>
          </w:p>
        </w:tc>
        <w:tc>
          <w:tcPr>
            <w:tcW w:w="2160" w:type="dxa"/>
            <w:vAlign w:val="bottom"/>
            <w:shd w:val="clear" w:color="auto" w:fill="DCE2EF"/>
          </w:tcPr>
          <w:p>
            <w:pPr>
              <w:spacing w:after="0"/>
              <w:rPr>
                <w:sz w:val="13"/>
                <w:szCs w:val="13"/>
                <w:color w:val="auto"/>
              </w:rPr>
            </w:pPr>
          </w:p>
        </w:tc>
      </w:tr>
      <w:tr>
        <w:trPr>
          <w:trHeight w:val="156"/>
        </w:trPr>
        <w:tc>
          <w:tcPr>
            <w:tcW w:w="1360" w:type="dxa"/>
            <w:vAlign w:val="bottom"/>
            <w:tcBorders>
              <w:top w:val="single" w:sz="8" w:color="DCE2EF"/>
            </w:tcBorders>
            <w:shd w:val="clear" w:color="auto" w:fill="DCE2EF"/>
          </w:tcPr>
          <w:p>
            <w:pPr>
              <w:spacing w:after="0"/>
              <w:rPr>
                <w:sz w:val="13"/>
                <w:szCs w:val="13"/>
                <w:color w:val="auto"/>
              </w:rPr>
            </w:pPr>
          </w:p>
        </w:tc>
        <w:tc>
          <w:tcPr>
            <w:tcW w:w="780" w:type="dxa"/>
            <w:vAlign w:val="bottom"/>
            <w:tcBorders>
              <w:top w:val="single" w:sz="8" w:color="0000FF"/>
            </w:tcBorders>
            <w:gridSpan w:val="4"/>
            <w:shd w:val="clear" w:color="auto" w:fill="DCE2EF"/>
          </w:tcPr>
          <w:p>
            <w:pPr>
              <w:spacing w:after="0" w:line="156" w:lineRule="exact"/>
              <w:rPr>
                <w:rFonts w:ascii="Arial" w:cs="Arial" w:eastAsia="Arial" w:hAnsi="Arial"/>
                <w:sz w:val="18"/>
                <w:szCs w:val="18"/>
                <w:color w:val="0000FF"/>
              </w:rPr>
            </w:pPr>
            <w:hyperlink r:id="rId191">
              <w:r>
                <w:rPr>
                  <w:rFonts w:ascii="Arial" w:cs="Arial" w:eastAsia="Arial" w:hAnsi="Arial"/>
                  <w:sz w:val="18"/>
                  <w:szCs w:val="18"/>
                  <w:color w:val="0000FF"/>
                </w:rPr>
                <w:t>1, 2020</w:t>
              </w:r>
            </w:hyperlink>
          </w:p>
        </w:tc>
        <w:tc>
          <w:tcPr>
            <w:tcW w:w="260" w:type="dxa"/>
            <w:vAlign w:val="bottom"/>
            <w:tcBorders>
              <w:top w:val="single" w:sz="8" w:color="0000FF"/>
            </w:tcBorders>
            <w:shd w:val="clear" w:color="auto" w:fill="DCE2EF"/>
          </w:tcPr>
          <w:p>
            <w:pPr>
              <w:spacing w:after="0"/>
              <w:rPr>
                <w:sz w:val="13"/>
                <w:szCs w:val="13"/>
                <w:color w:val="auto"/>
              </w:rPr>
            </w:pPr>
          </w:p>
        </w:tc>
        <w:tc>
          <w:tcPr>
            <w:tcW w:w="200" w:type="dxa"/>
            <w:vAlign w:val="bottom"/>
            <w:tcBorders>
              <w:top w:val="single" w:sz="8" w:color="0000FF"/>
            </w:tcBorders>
            <w:shd w:val="clear" w:color="auto" w:fill="DCE2EF"/>
          </w:tcPr>
          <w:p>
            <w:pPr>
              <w:spacing w:after="0"/>
              <w:rPr>
                <w:sz w:val="13"/>
                <w:szCs w:val="13"/>
                <w:color w:val="auto"/>
              </w:rPr>
            </w:pPr>
          </w:p>
        </w:tc>
        <w:tc>
          <w:tcPr>
            <w:tcW w:w="20" w:type="dxa"/>
            <w:vAlign w:val="bottom"/>
            <w:tcBorders>
              <w:top w:val="single" w:sz="8" w:color="0000FF"/>
            </w:tcBorders>
            <w:shd w:val="clear" w:color="auto" w:fill="DCE2EF"/>
          </w:tcPr>
          <w:p>
            <w:pPr>
              <w:spacing w:after="0"/>
              <w:rPr>
                <w:sz w:val="13"/>
                <w:szCs w:val="13"/>
                <w:color w:val="auto"/>
              </w:rPr>
            </w:pPr>
          </w:p>
        </w:tc>
        <w:tc>
          <w:tcPr>
            <w:tcW w:w="340" w:type="dxa"/>
            <w:vAlign w:val="bottom"/>
            <w:tcBorders>
              <w:top w:val="single" w:sz="8" w:color="0000FF"/>
            </w:tcBorders>
            <w:shd w:val="clear" w:color="auto" w:fill="DCE2EF"/>
          </w:tcPr>
          <w:p>
            <w:pPr>
              <w:spacing w:after="0"/>
              <w:rPr>
                <w:sz w:val="13"/>
                <w:szCs w:val="13"/>
                <w:color w:val="auto"/>
              </w:rPr>
            </w:pPr>
          </w:p>
        </w:tc>
        <w:tc>
          <w:tcPr>
            <w:tcW w:w="100" w:type="dxa"/>
            <w:vAlign w:val="bottom"/>
            <w:tcBorders>
              <w:top w:val="single" w:sz="8" w:color="0000FF"/>
            </w:tcBorders>
            <w:shd w:val="clear" w:color="auto" w:fill="DCE2EF"/>
          </w:tcPr>
          <w:p>
            <w:pPr>
              <w:spacing w:after="0"/>
              <w:rPr>
                <w:sz w:val="13"/>
                <w:szCs w:val="13"/>
                <w:color w:val="auto"/>
              </w:rPr>
            </w:pPr>
          </w:p>
        </w:tc>
        <w:tc>
          <w:tcPr>
            <w:tcW w:w="160" w:type="dxa"/>
            <w:vAlign w:val="bottom"/>
            <w:tcBorders>
              <w:top w:val="single" w:sz="8" w:color="0000FF"/>
            </w:tcBorders>
            <w:shd w:val="clear" w:color="auto" w:fill="DCE2EF"/>
          </w:tcPr>
          <w:p>
            <w:pPr>
              <w:spacing w:after="0"/>
              <w:rPr>
                <w:sz w:val="13"/>
                <w:szCs w:val="13"/>
                <w:color w:val="auto"/>
              </w:rPr>
            </w:pPr>
          </w:p>
        </w:tc>
        <w:tc>
          <w:tcPr>
            <w:tcW w:w="240" w:type="dxa"/>
            <w:vAlign w:val="bottom"/>
            <w:tcBorders>
              <w:top w:val="single" w:sz="8" w:color="0000FF"/>
            </w:tcBorders>
            <w:shd w:val="clear" w:color="auto" w:fill="DCE2EF"/>
          </w:tcPr>
          <w:p>
            <w:pPr>
              <w:spacing w:after="0"/>
              <w:rPr>
                <w:sz w:val="13"/>
                <w:szCs w:val="13"/>
                <w:color w:val="auto"/>
              </w:rPr>
            </w:pPr>
          </w:p>
        </w:tc>
        <w:tc>
          <w:tcPr>
            <w:tcW w:w="340" w:type="dxa"/>
            <w:vAlign w:val="bottom"/>
            <w:tcBorders>
              <w:top w:val="single" w:sz="8" w:color="0000FF"/>
            </w:tcBorders>
            <w:shd w:val="clear" w:color="auto" w:fill="DCE2EF"/>
          </w:tcPr>
          <w:p>
            <w:pPr>
              <w:spacing w:after="0"/>
              <w:rPr>
                <w:sz w:val="13"/>
                <w:szCs w:val="13"/>
                <w:color w:val="auto"/>
              </w:rPr>
            </w:pPr>
          </w:p>
        </w:tc>
        <w:tc>
          <w:tcPr>
            <w:tcW w:w="200" w:type="dxa"/>
            <w:vAlign w:val="bottom"/>
            <w:tcBorders>
              <w:top w:val="single" w:sz="8" w:color="0000FF"/>
            </w:tcBorders>
            <w:shd w:val="clear" w:color="auto" w:fill="DCE2EF"/>
          </w:tcPr>
          <w:p>
            <w:pPr>
              <w:spacing w:after="0"/>
              <w:rPr>
                <w:sz w:val="13"/>
                <w:szCs w:val="13"/>
                <w:color w:val="auto"/>
              </w:rPr>
            </w:pPr>
          </w:p>
        </w:tc>
        <w:tc>
          <w:tcPr>
            <w:tcW w:w="660" w:type="dxa"/>
            <w:vAlign w:val="bottom"/>
            <w:tcBorders>
              <w:top w:val="single" w:sz="8" w:color="0000FF"/>
            </w:tcBorders>
            <w:shd w:val="clear" w:color="auto" w:fill="DCE2EF"/>
          </w:tcPr>
          <w:p>
            <w:pPr>
              <w:spacing w:after="0"/>
              <w:rPr>
                <w:sz w:val="13"/>
                <w:szCs w:val="13"/>
                <w:color w:val="auto"/>
              </w:rPr>
            </w:pPr>
          </w:p>
        </w:tc>
        <w:tc>
          <w:tcPr>
            <w:tcW w:w="180" w:type="dxa"/>
            <w:vAlign w:val="bottom"/>
            <w:tcBorders>
              <w:top w:val="single" w:sz="8" w:color="0000FF"/>
            </w:tcBorders>
            <w:shd w:val="clear" w:color="auto" w:fill="DCE2EF"/>
          </w:tcPr>
          <w:p>
            <w:pPr>
              <w:spacing w:after="0"/>
              <w:rPr>
                <w:sz w:val="13"/>
                <w:szCs w:val="13"/>
                <w:color w:val="auto"/>
              </w:rPr>
            </w:pPr>
          </w:p>
        </w:tc>
        <w:tc>
          <w:tcPr>
            <w:tcW w:w="280" w:type="dxa"/>
            <w:vAlign w:val="bottom"/>
            <w:tcBorders>
              <w:top w:val="single" w:sz="8" w:color="0000FF"/>
            </w:tcBorders>
            <w:shd w:val="clear" w:color="auto" w:fill="DCE2EF"/>
          </w:tcPr>
          <w:p>
            <w:pPr>
              <w:spacing w:after="0"/>
              <w:rPr>
                <w:sz w:val="13"/>
                <w:szCs w:val="13"/>
                <w:color w:val="auto"/>
              </w:rPr>
            </w:pPr>
          </w:p>
        </w:tc>
        <w:tc>
          <w:tcPr>
            <w:tcW w:w="20" w:type="dxa"/>
            <w:vAlign w:val="bottom"/>
            <w:tcBorders>
              <w:top w:val="single" w:sz="8" w:color="0000FF"/>
            </w:tcBorders>
            <w:shd w:val="clear" w:color="auto" w:fill="DCE2EF"/>
          </w:tcPr>
          <w:p>
            <w:pPr>
              <w:spacing w:after="0"/>
              <w:rPr>
                <w:sz w:val="13"/>
                <w:szCs w:val="13"/>
                <w:color w:val="auto"/>
              </w:rPr>
            </w:pPr>
          </w:p>
        </w:tc>
        <w:tc>
          <w:tcPr>
            <w:tcW w:w="40" w:type="dxa"/>
            <w:vAlign w:val="bottom"/>
            <w:tcBorders>
              <w:top w:val="single" w:sz="8" w:color="0000FF"/>
            </w:tcBorders>
            <w:shd w:val="clear" w:color="auto" w:fill="DCE2EF"/>
          </w:tcPr>
          <w:p>
            <w:pPr>
              <w:spacing w:after="0"/>
              <w:rPr>
                <w:sz w:val="13"/>
                <w:szCs w:val="13"/>
                <w:color w:val="auto"/>
              </w:rPr>
            </w:pPr>
          </w:p>
        </w:tc>
        <w:tc>
          <w:tcPr>
            <w:tcW w:w="80" w:type="dxa"/>
            <w:vAlign w:val="bottom"/>
            <w:tcBorders>
              <w:top w:val="single" w:sz="8" w:color="0000FF"/>
            </w:tcBorders>
            <w:shd w:val="clear" w:color="auto" w:fill="DCE2EF"/>
          </w:tcPr>
          <w:p>
            <w:pPr>
              <w:spacing w:after="0"/>
              <w:rPr>
                <w:sz w:val="13"/>
                <w:szCs w:val="13"/>
                <w:color w:val="auto"/>
              </w:rPr>
            </w:pPr>
          </w:p>
        </w:tc>
        <w:tc>
          <w:tcPr>
            <w:tcW w:w="100" w:type="dxa"/>
            <w:vAlign w:val="bottom"/>
            <w:tcBorders>
              <w:top w:val="single" w:sz="8" w:color="0000FF"/>
            </w:tcBorders>
            <w:shd w:val="clear" w:color="auto" w:fill="DCE2EF"/>
          </w:tcPr>
          <w:p>
            <w:pPr>
              <w:spacing w:after="0"/>
              <w:rPr>
                <w:sz w:val="13"/>
                <w:szCs w:val="13"/>
                <w:color w:val="auto"/>
              </w:rPr>
            </w:pPr>
          </w:p>
        </w:tc>
        <w:tc>
          <w:tcPr>
            <w:tcW w:w="40" w:type="dxa"/>
            <w:vAlign w:val="bottom"/>
            <w:tcBorders>
              <w:top w:val="single" w:sz="8" w:color="0000FF"/>
            </w:tcBorders>
            <w:shd w:val="clear" w:color="auto" w:fill="DCE2EF"/>
          </w:tcPr>
          <w:p>
            <w:pPr>
              <w:spacing w:after="0"/>
              <w:rPr>
                <w:sz w:val="13"/>
                <w:szCs w:val="13"/>
                <w:color w:val="auto"/>
              </w:rPr>
            </w:pPr>
          </w:p>
        </w:tc>
        <w:tc>
          <w:tcPr>
            <w:tcW w:w="80" w:type="dxa"/>
            <w:vAlign w:val="bottom"/>
            <w:tcBorders>
              <w:top w:val="single" w:sz="8" w:color="0000FF"/>
            </w:tcBorders>
            <w:shd w:val="clear" w:color="auto" w:fill="DCE2EF"/>
          </w:tcPr>
          <w:p>
            <w:pPr>
              <w:spacing w:after="0"/>
              <w:rPr>
                <w:sz w:val="13"/>
                <w:szCs w:val="13"/>
                <w:color w:val="auto"/>
              </w:rPr>
            </w:pPr>
          </w:p>
        </w:tc>
        <w:tc>
          <w:tcPr>
            <w:tcW w:w="80" w:type="dxa"/>
            <w:vAlign w:val="bottom"/>
            <w:tcBorders>
              <w:top w:val="single" w:sz="8" w:color="0000FF"/>
            </w:tcBorders>
            <w:shd w:val="clear" w:color="auto" w:fill="DCE2EF"/>
          </w:tcPr>
          <w:p>
            <w:pPr>
              <w:spacing w:after="0"/>
              <w:rPr>
                <w:sz w:val="13"/>
                <w:szCs w:val="13"/>
                <w:color w:val="auto"/>
              </w:rPr>
            </w:pPr>
          </w:p>
        </w:tc>
        <w:tc>
          <w:tcPr>
            <w:tcW w:w="40" w:type="dxa"/>
            <w:vAlign w:val="bottom"/>
            <w:tcBorders>
              <w:top w:val="single" w:sz="8" w:color="0000FF"/>
            </w:tcBorders>
            <w:shd w:val="clear" w:color="auto" w:fill="DCE2EF"/>
          </w:tcPr>
          <w:p>
            <w:pPr>
              <w:spacing w:after="0"/>
              <w:rPr>
                <w:sz w:val="13"/>
                <w:szCs w:val="13"/>
                <w:color w:val="auto"/>
              </w:rPr>
            </w:pPr>
          </w:p>
        </w:tc>
        <w:tc>
          <w:tcPr>
            <w:tcW w:w="20" w:type="dxa"/>
            <w:vAlign w:val="bottom"/>
            <w:tcBorders>
              <w:top w:val="single" w:sz="8" w:color="0000FF"/>
            </w:tcBorders>
            <w:shd w:val="clear" w:color="auto" w:fill="DCE2EF"/>
          </w:tcPr>
          <w:p>
            <w:pPr>
              <w:spacing w:after="0"/>
              <w:rPr>
                <w:sz w:val="13"/>
                <w:szCs w:val="13"/>
                <w:color w:val="auto"/>
              </w:rPr>
            </w:pPr>
          </w:p>
        </w:tc>
        <w:tc>
          <w:tcPr>
            <w:tcW w:w="20" w:type="dxa"/>
            <w:vAlign w:val="bottom"/>
            <w:tcBorders>
              <w:top w:val="single" w:sz="8" w:color="0000FF"/>
            </w:tcBorders>
            <w:shd w:val="clear" w:color="auto" w:fill="DCE2EF"/>
          </w:tcPr>
          <w:p>
            <w:pPr>
              <w:spacing w:after="0"/>
              <w:rPr>
                <w:sz w:val="13"/>
                <w:szCs w:val="13"/>
                <w:color w:val="auto"/>
              </w:rPr>
            </w:pPr>
          </w:p>
        </w:tc>
        <w:tc>
          <w:tcPr>
            <w:tcW w:w="0" w:type="dxa"/>
            <w:vAlign w:val="bottom"/>
            <w:tcBorders>
              <w:top w:val="single" w:sz="8" w:color="0000FF"/>
            </w:tcBorders>
            <w:shd w:val="clear" w:color="auto" w:fill="DCE2EF"/>
          </w:tcPr>
          <w:p>
            <w:pPr>
              <w:spacing w:after="0"/>
              <w:rPr>
                <w:sz w:val="13"/>
                <w:szCs w:val="13"/>
                <w:color w:val="auto"/>
              </w:rPr>
            </w:pPr>
          </w:p>
        </w:tc>
        <w:tc>
          <w:tcPr>
            <w:tcW w:w="20" w:type="dxa"/>
            <w:vAlign w:val="bottom"/>
            <w:tcBorders>
              <w:top w:val="single" w:sz="8" w:color="0000FF"/>
            </w:tcBorders>
            <w:shd w:val="clear" w:color="auto" w:fill="DCE2EF"/>
          </w:tcPr>
          <w:p>
            <w:pPr>
              <w:spacing w:after="0"/>
              <w:rPr>
                <w:sz w:val="13"/>
                <w:szCs w:val="13"/>
                <w:color w:val="auto"/>
              </w:rPr>
            </w:pPr>
          </w:p>
        </w:tc>
        <w:tc>
          <w:tcPr>
            <w:tcW w:w="20" w:type="dxa"/>
            <w:vAlign w:val="bottom"/>
            <w:tcBorders>
              <w:top w:val="single" w:sz="8" w:color="0000FF"/>
            </w:tcBorders>
            <w:shd w:val="clear" w:color="auto" w:fill="DCE2EF"/>
          </w:tcPr>
          <w:p>
            <w:pPr>
              <w:spacing w:after="0"/>
              <w:rPr>
                <w:sz w:val="13"/>
                <w:szCs w:val="13"/>
                <w:color w:val="auto"/>
              </w:rPr>
            </w:pPr>
          </w:p>
        </w:tc>
        <w:tc>
          <w:tcPr>
            <w:tcW w:w="20" w:type="dxa"/>
            <w:vAlign w:val="bottom"/>
            <w:tcBorders>
              <w:top w:val="single" w:sz="8" w:color="0000FF"/>
            </w:tcBorders>
            <w:shd w:val="clear" w:color="auto" w:fill="DCE2EF"/>
          </w:tcPr>
          <w:p>
            <w:pPr>
              <w:spacing w:after="0"/>
              <w:rPr>
                <w:sz w:val="13"/>
                <w:szCs w:val="13"/>
                <w:color w:val="auto"/>
              </w:rPr>
            </w:pPr>
          </w:p>
        </w:tc>
        <w:tc>
          <w:tcPr>
            <w:tcW w:w="20" w:type="dxa"/>
            <w:vAlign w:val="bottom"/>
            <w:tcBorders>
              <w:top w:val="single" w:sz="8" w:color="0000F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4294967277"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tcBorders>
            <w:shd w:val="clear" w:color="auto" w:fill="DCE2EF"/>
          </w:tcPr>
          <w:p>
            <w:pPr>
              <w:spacing w:after="0"/>
              <w:rPr>
                <w:sz w:val="13"/>
                <w:szCs w:val="13"/>
                <w:color w:val="auto"/>
              </w:rPr>
            </w:pPr>
          </w:p>
        </w:tc>
        <w:tc>
          <w:tcPr>
            <w:tcW w:w="76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0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r>
      <w:tr>
        <w:trPr>
          <w:trHeight w:val="21"/>
        </w:trPr>
        <w:tc>
          <w:tcPr>
            <w:tcW w:w="1360" w:type="dxa"/>
            <w:vAlign w:val="bottom"/>
            <w:tcBorders>
              <w:top w:val="single" w:sz="8" w:color="DCE2EF"/>
            </w:tcBorders>
            <w:shd w:val="clear" w:color="auto" w:fill="DCE2EF"/>
          </w:tcPr>
          <w:p>
            <w:pPr>
              <w:spacing w:after="0" w:line="20" w:lineRule="exact"/>
              <w:rPr>
                <w:sz w:val="1"/>
                <w:szCs w:val="1"/>
                <w:color w:val="auto"/>
              </w:rPr>
            </w:pPr>
          </w:p>
        </w:tc>
        <w:tc>
          <w:tcPr>
            <w:tcW w:w="360" w:type="dxa"/>
            <w:vAlign w:val="bottom"/>
            <w:tcBorders>
              <w:top w:val="single" w:sz="8" w:color="0000FF"/>
            </w:tcBorders>
            <w:shd w:val="clear" w:color="auto" w:fill="DCE2EF"/>
          </w:tcPr>
          <w:p>
            <w:pPr>
              <w:spacing w:after="0" w:line="20" w:lineRule="exact"/>
              <w:rPr>
                <w:sz w:val="1"/>
                <w:szCs w:val="1"/>
                <w:color w:val="auto"/>
              </w:rPr>
            </w:pPr>
          </w:p>
        </w:tc>
        <w:tc>
          <w:tcPr>
            <w:tcW w:w="40" w:type="dxa"/>
            <w:vAlign w:val="bottom"/>
            <w:tcBorders>
              <w:top w:val="single" w:sz="8" w:color="0000FF"/>
            </w:tcBorders>
            <w:shd w:val="clear" w:color="auto" w:fill="DCE2EF"/>
          </w:tcPr>
          <w:p>
            <w:pPr>
              <w:spacing w:after="0" w:line="20" w:lineRule="exact"/>
              <w:rPr>
                <w:sz w:val="1"/>
                <w:szCs w:val="1"/>
                <w:color w:val="auto"/>
              </w:rPr>
            </w:pPr>
          </w:p>
        </w:tc>
        <w:tc>
          <w:tcPr>
            <w:tcW w:w="200" w:type="dxa"/>
            <w:vAlign w:val="bottom"/>
            <w:tcBorders>
              <w:top w:val="single" w:sz="8" w:color="0000FF"/>
            </w:tcBorders>
            <w:shd w:val="clear" w:color="auto" w:fill="DCE2EF"/>
          </w:tcPr>
          <w:p>
            <w:pPr>
              <w:spacing w:after="0" w:line="20" w:lineRule="exact"/>
              <w:rPr>
                <w:sz w:val="1"/>
                <w:szCs w:val="1"/>
                <w:color w:val="auto"/>
              </w:rPr>
            </w:pPr>
          </w:p>
        </w:tc>
        <w:tc>
          <w:tcPr>
            <w:tcW w:w="180" w:type="dxa"/>
            <w:vAlign w:val="bottom"/>
            <w:tcBorders>
              <w:top w:val="single" w:sz="8" w:color="DCE2EF"/>
            </w:tcBorders>
            <w:shd w:val="clear" w:color="auto" w:fill="DCE2EF"/>
          </w:tcPr>
          <w:p>
            <w:pPr>
              <w:spacing w:after="0" w:line="20" w:lineRule="exact"/>
              <w:rPr>
                <w:sz w:val="1"/>
                <w:szCs w:val="1"/>
                <w:color w:val="auto"/>
              </w:rPr>
            </w:pPr>
          </w:p>
        </w:tc>
        <w:tc>
          <w:tcPr>
            <w:tcW w:w="260" w:type="dxa"/>
            <w:vAlign w:val="bottom"/>
            <w:tcBorders>
              <w:top w:val="single" w:sz="8" w:color="DCE2EF"/>
            </w:tcBorders>
            <w:shd w:val="clear" w:color="auto" w:fill="DCE2EF"/>
          </w:tcPr>
          <w:p>
            <w:pPr>
              <w:spacing w:after="0" w:line="20" w:lineRule="exact"/>
              <w:rPr>
                <w:sz w:val="1"/>
                <w:szCs w:val="1"/>
                <w:color w:val="auto"/>
              </w:rPr>
            </w:pPr>
          </w:p>
        </w:tc>
        <w:tc>
          <w:tcPr>
            <w:tcW w:w="20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340" w:type="dxa"/>
            <w:vAlign w:val="bottom"/>
            <w:tcBorders>
              <w:top w:val="single" w:sz="8" w:color="DCE2EF"/>
            </w:tcBorders>
            <w:shd w:val="clear" w:color="auto" w:fill="DCE2EF"/>
          </w:tcPr>
          <w:p>
            <w:pPr>
              <w:spacing w:after="0" w:line="20" w:lineRule="exact"/>
              <w:rPr>
                <w:sz w:val="1"/>
                <w:szCs w:val="1"/>
                <w:color w:val="auto"/>
              </w:rPr>
            </w:pPr>
          </w:p>
        </w:tc>
        <w:tc>
          <w:tcPr>
            <w:tcW w:w="100" w:type="dxa"/>
            <w:vAlign w:val="bottom"/>
            <w:tcBorders>
              <w:top w:val="single" w:sz="8" w:color="DCE2EF"/>
            </w:tcBorders>
            <w:shd w:val="clear" w:color="auto" w:fill="DCE2EF"/>
          </w:tcPr>
          <w:p>
            <w:pPr>
              <w:spacing w:after="0" w:line="20" w:lineRule="exact"/>
              <w:rPr>
                <w:sz w:val="1"/>
                <w:szCs w:val="1"/>
                <w:color w:val="auto"/>
              </w:rPr>
            </w:pPr>
          </w:p>
        </w:tc>
        <w:tc>
          <w:tcPr>
            <w:tcW w:w="160" w:type="dxa"/>
            <w:vAlign w:val="bottom"/>
            <w:tcBorders>
              <w:top w:val="single" w:sz="8" w:color="DCE2EF"/>
            </w:tcBorders>
            <w:shd w:val="clear" w:color="auto" w:fill="DCE2EF"/>
          </w:tcPr>
          <w:p>
            <w:pPr>
              <w:spacing w:after="0" w:line="20" w:lineRule="exact"/>
              <w:rPr>
                <w:sz w:val="1"/>
                <w:szCs w:val="1"/>
                <w:color w:val="auto"/>
              </w:rPr>
            </w:pPr>
          </w:p>
        </w:tc>
        <w:tc>
          <w:tcPr>
            <w:tcW w:w="240" w:type="dxa"/>
            <w:vAlign w:val="bottom"/>
            <w:tcBorders>
              <w:top w:val="single" w:sz="8" w:color="DCE2EF"/>
            </w:tcBorders>
            <w:shd w:val="clear" w:color="auto" w:fill="DCE2EF"/>
          </w:tcPr>
          <w:p>
            <w:pPr>
              <w:spacing w:after="0" w:line="20" w:lineRule="exact"/>
              <w:rPr>
                <w:sz w:val="1"/>
                <w:szCs w:val="1"/>
                <w:color w:val="auto"/>
              </w:rPr>
            </w:pPr>
          </w:p>
        </w:tc>
        <w:tc>
          <w:tcPr>
            <w:tcW w:w="340" w:type="dxa"/>
            <w:vAlign w:val="bottom"/>
            <w:tcBorders>
              <w:top w:val="single" w:sz="8" w:color="DCE2EF"/>
            </w:tcBorders>
            <w:shd w:val="clear" w:color="auto" w:fill="DCE2EF"/>
          </w:tcPr>
          <w:p>
            <w:pPr>
              <w:spacing w:after="0" w:line="20" w:lineRule="exact"/>
              <w:rPr>
                <w:sz w:val="1"/>
                <w:szCs w:val="1"/>
                <w:color w:val="auto"/>
              </w:rPr>
            </w:pPr>
          </w:p>
        </w:tc>
        <w:tc>
          <w:tcPr>
            <w:tcW w:w="200" w:type="dxa"/>
            <w:vAlign w:val="bottom"/>
            <w:tcBorders>
              <w:top w:val="single" w:sz="8" w:color="DCE2EF"/>
            </w:tcBorders>
            <w:shd w:val="clear" w:color="auto" w:fill="DCE2EF"/>
          </w:tcPr>
          <w:p>
            <w:pPr>
              <w:spacing w:after="0" w:line="20" w:lineRule="exact"/>
              <w:rPr>
                <w:sz w:val="1"/>
                <w:szCs w:val="1"/>
                <w:color w:val="auto"/>
              </w:rPr>
            </w:pPr>
          </w:p>
        </w:tc>
        <w:tc>
          <w:tcPr>
            <w:tcW w:w="660" w:type="dxa"/>
            <w:vAlign w:val="bottom"/>
            <w:tcBorders>
              <w:top w:val="single" w:sz="8" w:color="DCE2EF"/>
            </w:tcBorders>
            <w:shd w:val="clear" w:color="auto" w:fill="DCE2EF"/>
          </w:tcPr>
          <w:p>
            <w:pPr>
              <w:spacing w:after="0" w:line="20" w:lineRule="exact"/>
              <w:rPr>
                <w:sz w:val="1"/>
                <w:szCs w:val="1"/>
                <w:color w:val="auto"/>
              </w:rPr>
            </w:pPr>
          </w:p>
        </w:tc>
        <w:tc>
          <w:tcPr>
            <w:tcW w:w="180" w:type="dxa"/>
            <w:vAlign w:val="bottom"/>
            <w:tcBorders>
              <w:top w:val="single" w:sz="8" w:color="DCE2EF"/>
            </w:tcBorders>
            <w:shd w:val="clear" w:color="auto" w:fill="DCE2EF"/>
          </w:tcPr>
          <w:p>
            <w:pPr>
              <w:spacing w:after="0" w:line="20" w:lineRule="exact"/>
              <w:rPr>
                <w:sz w:val="1"/>
                <w:szCs w:val="1"/>
                <w:color w:val="auto"/>
              </w:rPr>
            </w:pPr>
          </w:p>
        </w:tc>
        <w:tc>
          <w:tcPr>
            <w:tcW w:w="28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10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4294967277"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120" w:type="dxa"/>
            <w:vAlign w:val="bottom"/>
            <w:tcBorders>
              <w:top w:val="single" w:sz="8" w:color="DCE2EF"/>
            </w:tcBorders>
            <w:shd w:val="clear" w:color="auto" w:fill="DCE2EF"/>
          </w:tcPr>
          <w:p>
            <w:pPr>
              <w:spacing w:after="0" w:line="20" w:lineRule="exact"/>
              <w:rPr>
                <w:sz w:val="1"/>
                <w:szCs w:val="1"/>
                <w:color w:val="auto"/>
              </w:rPr>
            </w:pPr>
          </w:p>
        </w:tc>
        <w:tc>
          <w:tcPr>
            <w:tcW w:w="760" w:type="dxa"/>
            <w:vAlign w:val="bottom"/>
            <w:tcBorders>
              <w:top w:val="single" w:sz="8" w:color="DCE2EF"/>
            </w:tcBorders>
            <w:shd w:val="clear" w:color="auto" w:fill="DCE2EF"/>
          </w:tcPr>
          <w:p>
            <w:pPr>
              <w:spacing w:after="0" w:line="20" w:lineRule="exact"/>
              <w:rPr>
                <w:sz w:val="1"/>
                <w:szCs w:val="1"/>
                <w:color w:val="auto"/>
              </w:rPr>
            </w:pPr>
          </w:p>
        </w:tc>
        <w:tc>
          <w:tcPr>
            <w:tcW w:w="1340" w:type="dxa"/>
            <w:vAlign w:val="bottom"/>
            <w:tcBorders>
              <w:top w:val="single" w:sz="8" w:color="DCE2EF"/>
            </w:tcBorders>
            <w:shd w:val="clear" w:color="auto" w:fill="DCE2EF"/>
          </w:tcPr>
          <w:p>
            <w:pPr>
              <w:spacing w:after="0" w:line="20" w:lineRule="exact"/>
              <w:rPr>
                <w:sz w:val="1"/>
                <w:szCs w:val="1"/>
                <w:color w:val="auto"/>
              </w:rPr>
            </w:pPr>
          </w:p>
        </w:tc>
        <w:tc>
          <w:tcPr>
            <w:tcW w:w="1000" w:type="dxa"/>
            <w:vAlign w:val="bottom"/>
            <w:tcBorders>
              <w:top w:val="single" w:sz="8" w:color="DCE2EF"/>
            </w:tcBorders>
            <w:shd w:val="clear" w:color="auto" w:fill="DCE2EF"/>
          </w:tcPr>
          <w:p>
            <w:pPr>
              <w:spacing w:after="0" w:line="20" w:lineRule="exact"/>
              <w:rPr>
                <w:sz w:val="1"/>
                <w:szCs w:val="1"/>
                <w:color w:val="auto"/>
              </w:rPr>
            </w:pPr>
          </w:p>
        </w:tc>
        <w:tc>
          <w:tcPr>
            <w:tcW w:w="2160" w:type="dxa"/>
            <w:vAlign w:val="bottom"/>
            <w:tcBorders>
              <w:top w:val="single" w:sz="8" w:color="DCE2EF"/>
            </w:tcBorders>
            <w:shd w:val="clear" w:color="auto" w:fill="DCE2EF"/>
          </w:tcPr>
          <w:p>
            <w:pPr>
              <w:spacing w:after="0" w:line="20" w:lineRule="exact"/>
              <w:rPr>
                <w:sz w:val="1"/>
                <w:szCs w:val="1"/>
                <w:color w:val="auto"/>
              </w:rPr>
            </w:pPr>
          </w:p>
        </w:tc>
      </w:tr>
      <w:tr>
        <w:trPr>
          <w:trHeight w:val="189"/>
        </w:trPr>
        <w:tc>
          <w:tcPr>
            <w:tcW w:w="1360" w:type="dxa"/>
            <w:vAlign w:val="bottom"/>
          </w:tcPr>
          <w:p>
            <w:pPr>
              <w:jc w:val="right"/>
              <w:ind w:right="730"/>
              <w:spacing w:after="0" w:line="189" w:lineRule="exact"/>
              <w:rPr>
                <w:sz w:val="20"/>
                <w:szCs w:val="20"/>
                <w:color w:val="auto"/>
              </w:rPr>
            </w:pPr>
            <w:r>
              <w:rPr>
                <w:rFonts w:ascii="Arial" w:cs="Arial" w:eastAsia="Arial" w:hAnsi="Arial"/>
                <w:sz w:val="18"/>
                <w:szCs w:val="18"/>
                <w:color w:val="auto"/>
                <w:w w:val="99"/>
              </w:rPr>
              <w:t>10.20*</w:t>
            </w:r>
          </w:p>
        </w:tc>
        <w:tc>
          <w:tcPr>
            <w:tcW w:w="3900" w:type="dxa"/>
            <w:vAlign w:val="bottom"/>
            <w:tcBorders>
              <w:bottom w:val="single" w:sz="8" w:color="0000FF"/>
            </w:tcBorders>
            <w:gridSpan w:val="19"/>
          </w:tcPr>
          <w:p>
            <w:pPr>
              <w:spacing w:after="0" w:line="189" w:lineRule="exact"/>
              <w:rPr>
                <w:rFonts w:ascii="Arial" w:cs="Arial" w:eastAsia="Arial" w:hAnsi="Arial"/>
                <w:sz w:val="18"/>
                <w:szCs w:val="18"/>
                <w:color w:val="0000FF"/>
                <w:w w:val="99"/>
              </w:rPr>
            </w:pPr>
            <w:hyperlink r:id="rId192">
              <w:r>
                <w:rPr>
                  <w:rFonts w:ascii="Arial" w:cs="Arial" w:eastAsia="Arial" w:hAnsi="Arial"/>
                  <w:sz w:val="18"/>
                  <w:szCs w:val="18"/>
                  <w:color w:val="0000FF"/>
                  <w:w w:val="99"/>
                </w:rPr>
                <w:t>Statement of Terms and Conditions Applicable to</w:t>
              </w:r>
            </w:hyperlink>
          </w:p>
        </w:tc>
        <w:tc>
          <w:tcPr>
            <w:tcW w:w="720" w:type="dxa"/>
            <w:vAlign w:val="bottom"/>
            <w:gridSpan w:val="22"/>
          </w:tcPr>
          <w:p>
            <w:pPr>
              <w:spacing w:after="0"/>
              <w:rPr>
                <w:sz w:val="16"/>
                <w:szCs w:val="16"/>
                <w:color w:val="auto"/>
              </w:rPr>
            </w:pPr>
          </w:p>
        </w:tc>
        <w:tc>
          <w:tcPr>
            <w:tcW w:w="760" w:type="dxa"/>
            <w:vAlign w:val="bottom"/>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008-08929</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rPr>
              <w:t>10.2</w:t>
            </w:r>
          </w:p>
        </w:tc>
        <w:tc>
          <w:tcPr>
            <w:tcW w:w="2160" w:type="dxa"/>
            <w:vAlign w:val="bottom"/>
          </w:tcPr>
          <w:p>
            <w:pPr>
              <w:jc w:val="center"/>
              <w:spacing w:after="0" w:line="189" w:lineRule="exact"/>
              <w:rPr>
                <w:sz w:val="20"/>
                <w:szCs w:val="20"/>
                <w:color w:val="auto"/>
              </w:rPr>
            </w:pPr>
            <w:r>
              <w:rPr>
                <w:rFonts w:ascii="Arial" w:cs="Arial" w:eastAsia="Arial" w:hAnsi="Arial"/>
                <w:sz w:val="18"/>
                <w:szCs w:val="18"/>
                <w:color w:val="auto"/>
                <w:w w:val="99"/>
              </w:rPr>
              <w:t>June 9, 2021</w:t>
            </w:r>
          </w:p>
        </w:tc>
      </w:tr>
      <w:tr>
        <w:trPr>
          <w:trHeight w:val="169"/>
        </w:trPr>
        <w:tc>
          <w:tcPr>
            <w:tcW w:w="1360" w:type="dxa"/>
            <w:vAlign w:val="bottom"/>
          </w:tcPr>
          <w:p>
            <w:pPr>
              <w:spacing w:after="0"/>
              <w:rPr>
                <w:sz w:val="14"/>
                <w:szCs w:val="14"/>
                <w:color w:val="auto"/>
              </w:rPr>
            </w:pPr>
          </w:p>
        </w:tc>
        <w:tc>
          <w:tcPr>
            <w:tcW w:w="4620" w:type="dxa"/>
            <w:vAlign w:val="bottom"/>
            <w:gridSpan w:val="41"/>
          </w:tcPr>
          <w:p>
            <w:pPr>
              <w:spacing w:after="0" w:line="169" w:lineRule="exact"/>
              <w:rPr>
                <w:rFonts w:ascii="Arial" w:cs="Arial" w:eastAsia="Arial" w:hAnsi="Arial"/>
                <w:sz w:val="18"/>
                <w:szCs w:val="18"/>
                <w:color w:val="0000FF"/>
              </w:rPr>
            </w:pPr>
            <w:hyperlink r:id="rId192">
              <w:r>
                <w:rPr>
                  <w:rFonts w:ascii="Arial" w:cs="Arial" w:eastAsia="Arial" w:hAnsi="Arial"/>
                  <w:sz w:val="18"/>
                  <w:szCs w:val="18"/>
                  <w:color w:val="0000FF"/>
                </w:rPr>
                <w:t>Awards Granted to Non-Employee Directors Pursuant to</w:t>
              </w:r>
            </w:hyperlink>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9"/>
        </w:trPr>
        <w:tc>
          <w:tcPr>
            <w:tcW w:w="1360" w:type="dxa"/>
            <w:vAlign w:val="bottom"/>
          </w:tcPr>
          <w:p>
            <w:pPr>
              <w:spacing w:after="0"/>
              <w:rPr>
                <w:sz w:val="14"/>
                <w:szCs w:val="14"/>
                <w:color w:val="auto"/>
              </w:rPr>
            </w:pPr>
          </w:p>
        </w:tc>
        <w:tc>
          <w:tcPr>
            <w:tcW w:w="4500" w:type="dxa"/>
            <w:vAlign w:val="bottom"/>
            <w:tcBorders>
              <w:top w:val="single" w:sz="8" w:color="0000FF"/>
            </w:tcBorders>
            <w:gridSpan w:val="40"/>
          </w:tcPr>
          <w:p>
            <w:pPr>
              <w:spacing w:after="0" w:line="169" w:lineRule="exact"/>
              <w:rPr>
                <w:rFonts w:ascii="Arial" w:cs="Arial" w:eastAsia="Arial" w:hAnsi="Arial"/>
                <w:sz w:val="18"/>
                <w:szCs w:val="18"/>
                <w:color w:val="0000FF"/>
              </w:rPr>
            </w:pPr>
            <w:hyperlink r:id="rId192">
              <w:r>
                <w:rPr>
                  <w:rFonts w:ascii="Arial" w:cs="Arial" w:eastAsia="Arial" w:hAnsi="Arial"/>
                  <w:sz w:val="18"/>
                  <w:szCs w:val="18"/>
                  <w:color w:val="0000FF"/>
                </w:rPr>
                <w:t>the 2021 Equity and Incentive Compensation Plan</w:t>
              </w:r>
            </w:hyperlink>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4"/>
        </w:trPr>
        <w:tc>
          <w:tcPr>
            <w:tcW w:w="136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89"/>
        </w:trPr>
        <w:tc>
          <w:tcPr>
            <w:tcW w:w="1360" w:type="dxa"/>
            <w:vAlign w:val="bottom"/>
            <w:shd w:val="clear" w:color="auto" w:fill="DCE2EF"/>
          </w:tcPr>
          <w:p>
            <w:pPr>
              <w:jc w:val="right"/>
              <w:ind w:right="730"/>
              <w:spacing w:after="0" w:line="189" w:lineRule="exact"/>
              <w:rPr>
                <w:sz w:val="20"/>
                <w:szCs w:val="20"/>
                <w:color w:val="auto"/>
              </w:rPr>
            </w:pPr>
            <w:r>
              <w:rPr>
                <w:rFonts w:ascii="Arial" w:cs="Arial" w:eastAsia="Arial" w:hAnsi="Arial"/>
                <w:sz w:val="18"/>
                <w:szCs w:val="18"/>
                <w:color w:val="auto"/>
                <w:w w:val="99"/>
              </w:rPr>
              <w:t>10.21*</w:t>
            </w:r>
          </w:p>
        </w:tc>
        <w:tc>
          <w:tcPr>
            <w:tcW w:w="4620" w:type="dxa"/>
            <w:vAlign w:val="bottom"/>
            <w:gridSpan w:val="41"/>
            <w:shd w:val="clear" w:color="auto" w:fill="DCE2EF"/>
          </w:tcPr>
          <w:p>
            <w:pPr>
              <w:spacing w:after="0" w:line="189" w:lineRule="exact"/>
              <w:rPr>
                <w:rFonts w:ascii="Arial" w:cs="Arial" w:eastAsia="Arial" w:hAnsi="Arial"/>
                <w:sz w:val="18"/>
                <w:szCs w:val="18"/>
                <w:color w:val="0000FF"/>
              </w:rPr>
            </w:pPr>
            <w:hyperlink r:id="rId193">
              <w:r>
                <w:rPr>
                  <w:rFonts w:ascii="Arial" w:cs="Arial" w:eastAsia="Arial" w:hAnsi="Arial"/>
                  <w:sz w:val="18"/>
                  <w:szCs w:val="18"/>
                  <w:color w:val="0000FF"/>
                </w:rPr>
                <w:t>Form of Restricted Stock Unit Agreement - 2006 Equity</w:t>
              </w:r>
            </w:hyperlink>
          </w:p>
        </w:tc>
        <w:tc>
          <w:tcPr>
            <w:tcW w:w="760" w:type="dxa"/>
            <w:vAlign w:val="bottom"/>
            <w:shd w:val="clear" w:color="auto" w:fill="DCE2EF"/>
          </w:tcPr>
          <w:p>
            <w:pPr>
              <w:ind w:left="140"/>
              <w:spacing w:after="0" w:line="189" w:lineRule="exact"/>
              <w:rPr>
                <w:sz w:val="20"/>
                <w:szCs w:val="20"/>
                <w:color w:val="auto"/>
              </w:rPr>
            </w:pPr>
            <w:r>
              <w:rPr>
                <w:rFonts w:ascii="Arial" w:cs="Arial" w:eastAsia="Arial" w:hAnsi="Arial"/>
                <w:sz w:val="18"/>
                <w:szCs w:val="18"/>
                <w:color w:val="auto"/>
              </w:rPr>
              <w:t>10-K</w:t>
            </w:r>
          </w:p>
        </w:tc>
        <w:tc>
          <w:tcPr>
            <w:tcW w:w="1340" w:type="dxa"/>
            <w:vAlign w:val="bottom"/>
            <w:shd w:val="clear" w:color="auto" w:fill="DCE2EF"/>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7"/>
              </w:rPr>
              <w:t>10.18</w:t>
            </w:r>
          </w:p>
        </w:tc>
        <w:tc>
          <w:tcPr>
            <w:tcW w:w="216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December 20, 2019</w:t>
            </w:r>
          </w:p>
        </w:tc>
      </w:tr>
      <w:tr>
        <w:trPr>
          <w:trHeight w:val="155"/>
        </w:trPr>
        <w:tc>
          <w:tcPr>
            <w:tcW w:w="1360" w:type="dxa"/>
            <w:vAlign w:val="bottom"/>
            <w:tcBorders>
              <w:top w:val="single" w:sz="8" w:color="DCE2EF"/>
            </w:tcBorders>
            <w:shd w:val="clear" w:color="auto" w:fill="DCE2EF"/>
          </w:tcPr>
          <w:p>
            <w:pPr>
              <w:spacing w:after="0"/>
              <w:rPr>
                <w:sz w:val="13"/>
                <w:szCs w:val="13"/>
                <w:color w:val="auto"/>
              </w:rPr>
            </w:pPr>
          </w:p>
        </w:tc>
        <w:tc>
          <w:tcPr>
            <w:tcW w:w="4460" w:type="dxa"/>
            <w:vAlign w:val="bottom"/>
            <w:tcBorders>
              <w:top w:val="single" w:sz="8" w:color="0000FF"/>
            </w:tcBorders>
            <w:gridSpan w:val="36"/>
            <w:shd w:val="clear" w:color="auto" w:fill="DCE2EF"/>
          </w:tcPr>
          <w:p>
            <w:pPr>
              <w:spacing w:after="0" w:line="156" w:lineRule="exact"/>
              <w:rPr>
                <w:rFonts w:ascii="Arial" w:cs="Arial" w:eastAsia="Arial" w:hAnsi="Arial"/>
                <w:sz w:val="18"/>
                <w:szCs w:val="18"/>
                <w:color w:val="0000FF"/>
              </w:rPr>
            </w:pPr>
            <w:hyperlink r:id="rId193">
              <w:r>
                <w:rPr>
                  <w:rFonts w:ascii="Arial" w:cs="Arial" w:eastAsia="Arial" w:hAnsi="Arial"/>
                  <w:sz w:val="18"/>
                  <w:szCs w:val="18"/>
                  <w:color w:val="0000FF"/>
                </w:rPr>
                <w:t>Plan</w:t>
              </w:r>
            </w:hyperlink>
          </w:p>
        </w:tc>
        <w:tc>
          <w:tcPr>
            <w:tcW w:w="4294967277"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140" w:type="dxa"/>
            <w:vAlign w:val="bottom"/>
            <w:tcBorders>
              <w:top w:val="single" w:sz="8" w:color="DCE2EF"/>
            </w:tcBorders>
            <w:gridSpan w:val="2"/>
            <w:shd w:val="clear" w:color="auto" w:fill="DCE2EF"/>
          </w:tcPr>
          <w:p>
            <w:pPr>
              <w:spacing w:after="0"/>
              <w:rPr>
                <w:sz w:val="13"/>
                <w:szCs w:val="13"/>
                <w:color w:val="auto"/>
              </w:rPr>
            </w:pPr>
          </w:p>
        </w:tc>
        <w:tc>
          <w:tcPr>
            <w:tcW w:w="76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0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r>
      <w:tr>
        <w:trPr>
          <w:trHeight w:val="21"/>
        </w:trPr>
        <w:tc>
          <w:tcPr>
            <w:tcW w:w="1360" w:type="dxa"/>
            <w:vAlign w:val="bottom"/>
            <w:tcBorders>
              <w:top w:val="single" w:sz="8" w:color="DCE2EF"/>
            </w:tcBorders>
            <w:shd w:val="clear" w:color="auto" w:fill="DCE2EF"/>
          </w:tcPr>
          <w:p>
            <w:pPr>
              <w:spacing w:after="0" w:line="20" w:lineRule="exact"/>
              <w:rPr>
                <w:sz w:val="1"/>
                <w:szCs w:val="1"/>
                <w:color w:val="auto"/>
              </w:rPr>
            </w:pPr>
          </w:p>
        </w:tc>
        <w:tc>
          <w:tcPr>
            <w:tcW w:w="360" w:type="dxa"/>
            <w:vAlign w:val="bottom"/>
            <w:tcBorders>
              <w:top w:val="single" w:sz="8" w:color="0000F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200" w:type="dxa"/>
            <w:vAlign w:val="bottom"/>
            <w:tcBorders>
              <w:top w:val="single" w:sz="8" w:color="DCE2EF"/>
            </w:tcBorders>
            <w:shd w:val="clear" w:color="auto" w:fill="DCE2EF"/>
          </w:tcPr>
          <w:p>
            <w:pPr>
              <w:spacing w:after="0" w:line="20" w:lineRule="exact"/>
              <w:rPr>
                <w:sz w:val="1"/>
                <w:szCs w:val="1"/>
                <w:color w:val="auto"/>
              </w:rPr>
            </w:pPr>
          </w:p>
        </w:tc>
        <w:tc>
          <w:tcPr>
            <w:tcW w:w="180" w:type="dxa"/>
            <w:vAlign w:val="bottom"/>
            <w:tcBorders>
              <w:top w:val="single" w:sz="8" w:color="DCE2EF"/>
            </w:tcBorders>
            <w:shd w:val="clear" w:color="auto" w:fill="DCE2EF"/>
          </w:tcPr>
          <w:p>
            <w:pPr>
              <w:spacing w:after="0" w:line="20" w:lineRule="exact"/>
              <w:rPr>
                <w:sz w:val="1"/>
                <w:szCs w:val="1"/>
                <w:color w:val="auto"/>
              </w:rPr>
            </w:pPr>
          </w:p>
        </w:tc>
        <w:tc>
          <w:tcPr>
            <w:tcW w:w="260" w:type="dxa"/>
            <w:vAlign w:val="bottom"/>
            <w:tcBorders>
              <w:top w:val="single" w:sz="8" w:color="DCE2EF"/>
            </w:tcBorders>
            <w:shd w:val="clear" w:color="auto" w:fill="DCE2EF"/>
          </w:tcPr>
          <w:p>
            <w:pPr>
              <w:spacing w:after="0" w:line="20" w:lineRule="exact"/>
              <w:rPr>
                <w:sz w:val="1"/>
                <w:szCs w:val="1"/>
                <w:color w:val="auto"/>
              </w:rPr>
            </w:pPr>
          </w:p>
        </w:tc>
        <w:tc>
          <w:tcPr>
            <w:tcW w:w="20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340" w:type="dxa"/>
            <w:vAlign w:val="bottom"/>
            <w:tcBorders>
              <w:top w:val="single" w:sz="8" w:color="DCE2EF"/>
            </w:tcBorders>
            <w:shd w:val="clear" w:color="auto" w:fill="DCE2EF"/>
          </w:tcPr>
          <w:p>
            <w:pPr>
              <w:spacing w:after="0" w:line="20" w:lineRule="exact"/>
              <w:rPr>
                <w:sz w:val="1"/>
                <w:szCs w:val="1"/>
                <w:color w:val="auto"/>
              </w:rPr>
            </w:pPr>
          </w:p>
        </w:tc>
        <w:tc>
          <w:tcPr>
            <w:tcW w:w="100" w:type="dxa"/>
            <w:vAlign w:val="bottom"/>
            <w:tcBorders>
              <w:top w:val="single" w:sz="8" w:color="DCE2EF"/>
            </w:tcBorders>
            <w:shd w:val="clear" w:color="auto" w:fill="DCE2EF"/>
          </w:tcPr>
          <w:p>
            <w:pPr>
              <w:spacing w:after="0" w:line="20" w:lineRule="exact"/>
              <w:rPr>
                <w:sz w:val="1"/>
                <w:szCs w:val="1"/>
                <w:color w:val="auto"/>
              </w:rPr>
            </w:pPr>
          </w:p>
        </w:tc>
        <w:tc>
          <w:tcPr>
            <w:tcW w:w="160" w:type="dxa"/>
            <w:vAlign w:val="bottom"/>
            <w:tcBorders>
              <w:top w:val="single" w:sz="8" w:color="DCE2EF"/>
            </w:tcBorders>
            <w:shd w:val="clear" w:color="auto" w:fill="DCE2EF"/>
          </w:tcPr>
          <w:p>
            <w:pPr>
              <w:spacing w:after="0" w:line="20" w:lineRule="exact"/>
              <w:rPr>
                <w:sz w:val="1"/>
                <w:szCs w:val="1"/>
                <w:color w:val="auto"/>
              </w:rPr>
            </w:pPr>
          </w:p>
        </w:tc>
        <w:tc>
          <w:tcPr>
            <w:tcW w:w="240" w:type="dxa"/>
            <w:vAlign w:val="bottom"/>
            <w:tcBorders>
              <w:top w:val="single" w:sz="8" w:color="DCE2EF"/>
            </w:tcBorders>
            <w:shd w:val="clear" w:color="auto" w:fill="DCE2EF"/>
          </w:tcPr>
          <w:p>
            <w:pPr>
              <w:spacing w:after="0" w:line="20" w:lineRule="exact"/>
              <w:rPr>
                <w:sz w:val="1"/>
                <w:szCs w:val="1"/>
                <w:color w:val="auto"/>
              </w:rPr>
            </w:pPr>
          </w:p>
        </w:tc>
        <w:tc>
          <w:tcPr>
            <w:tcW w:w="340" w:type="dxa"/>
            <w:vAlign w:val="bottom"/>
            <w:tcBorders>
              <w:top w:val="single" w:sz="8" w:color="DCE2EF"/>
            </w:tcBorders>
            <w:shd w:val="clear" w:color="auto" w:fill="DCE2EF"/>
          </w:tcPr>
          <w:p>
            <w:pPr>
              <w:spacing w:after="0" w:line="20" w:lineRule="exact"/>
              <w:rPr>
                <w:sz w:val="1"/>
                <w:szCs w:val="1"/>
                <w:color w:val="auto"/>
              </w:rPr>
            </w:pPr>
          </w:p>
        </w:tc>
        <w:tc>
          <w:tcPr>
            <w:tcW w:w="200" w:type="dxa"/>
            <w:vAlign w:val="bottom"/>
            <w:tcBorders>
              <w:top w:val="single" w:sz="8" w:color="DCE2EF"/>
            </w:tcBorders>
            <w:shd w:val="clear" w:color="auto" w:fill="DCE2EF"/>
          </w:tcPr>
          <w:p>
            <w:pPr>
              <w:spacing w:after="0" w:line="20" w:lineRule="exact"/>
              <w:rPr>
                <w:sz w:val="1"/>
                <w:szCs w:val="1"/>
                <w:color w:val="auto"/>
              </w:rPr>
            </w:pPr>
          </w:p>
        </w:tc>
        <w:tc>
          <w:tcPr>
            <w:tcW w:w="660" w:type="dxa"/>
            <w:vAlign w:val="bottom"/>
            <w:tcBorders>
              <w:top w:val="single" w:sz="8" w:color="DCE2EF"/>
            </w:tcBorders>
            <w:shd w:val="clear" w:color="auto" w:fill="DCE2EF"/>
          </w:tcPr>
          <w:p>
            <w:pPr>
              <w:spacing w:after="0" w:line="20" w:lineRule="exact"/>
              <w:rPr>
                <w:sz w:val="1"/>
                <w:szCs w:val="1"/>
                <w:color w:val="auto"/>
              </w:rPr>
            </w:pPr>
          </w:p>
        </w:tc>
        <w:tc>
          <w:tcPr>
            <w:tcW w:w="180" w:type="dxa"/>
            <w:vAlign w:val="bottom"/>
            <w:tcBorders>
              <w:top w:val="single" w:sz="8" w:color="DCE2EF"/>
            </w:tcBorders>
            <w:shd w:val="clear" w:color="auto" w:fill="DCE2EF"/>
          </w:tcPr>
          <w:p>
            <w:pPr>
              <w:spacing w:after="0" w:line="20" w:lineRule="exact"/>
              <w:rPr>
                <w:sz w:val="1"/>
                <w:szCs w:val="1"/>
                <w:color w:val="auto"/>
              </w:rPr>
            </w:pPr>
          </w:p>
        </w:tc>
        <w:tc>
          <w:tcPr>
            <w:tcW w:w="28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10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4294967277"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120" w:type="dxa"/>
            <w:vAlign w:val="bottom"/>
            <w:tcBorders>
              <w:top w:val="single" w:sz="8" w:color="DCE2EF"/>
            </w:tcBorders>
            <w:shd w:val="clear" w:color="auto" w:fill="DCE2EF"/>
          </w:tcPr>
          <w:p>
            <w:pPr>
              <w:spacing w:after="0" w:line="20" w:lineRule="exact"/>
              <w:rPr>
                <w:sz w:val="1"/>
                <w:szCs w:val="1"/>
                <w:color w:val="auto"/>
              </w:rPr>
            </w:pPr>
          </w:p>
        </w:tc>
        <w:tc>
          <w:tcPr>
            <w:tcW w:w="760" w:type="dxa"/>
            <w:vAlign w:val="bottom"/>
            <w:tcBorders>
              <w:top w:val="single" w:sz="8" w:color="DCE2EF"/>
            </w:tcBorders>
            <w:shd w:val="clear" w:color="auto" w:fill="DCE2EF"/>
          </w:tcPr>
          <w:p>
            <w:pPr>
              <w:spacing w:after="0" w:line="20" w:lineRule="exact"/>
              <w:rPr>
                <w:sz w:val="1"/>
                <w:szCs w:val="1"/>
                <w:color w:val="auto"/>
              </w:rPr>
            </w:pPr>
          </w:p>
        </w:tc>
        <w:tc>
          <w:tcPr>
            <w:tcW w:w="1340" w:type="dxa"/>
            <w:vAlign w:val="bottom"/>
            <w:tcBorders>
              <w:top w:val="single" w:sz="8" w:color="DCE2EF"/>
            </w:tcBorders>
            <w:shd w:val="clear" w:color="auto" w:fill="DCE2EF"/>
          </w:tcPr>
          <w:p>
            <w:pPr>
              <w:spacing w:after="0" w:line="20" w:lineRule="exact"/>
              <w:rPr>
                <w:sz w:val="1"/>
                <w:szCs w:val="1"/>
                <w:color w:val="auto"/>
              </w:rPr>
            </w:pPr>
          </w:p>
        </w:tc>
        <w:tc>
          <w:tcPr>
            <w:tcW w:w="1000" w:type="dxa"/>
            <w:vAlign w:val="bottom"/>
            <w:tcBorders>
              <w:top w:val="single" w:sz="8" w:color="DCE2EF"/>
            </w:tcBorders>
            <w:shd w:val="clear" w:color="auto" w:fill="DCE2EF"/>
          </w:tcPr>
          <w:p>
            <w:pPr>
              <w:spacing w:after="0" w:line="20" w:lineRule="exact"/>
              <w:rPr>
                <w:sz w:val="1"/>
                <w:szCs w:val="1"/>
                <w:color w:val="auto"/>
              </w:rPr>
            </w:pPr>
          </w:p>
        </w:tc>
        <w:tc>
          <w:tcPr>
            <w:tcW w:w="2160" w:type="dxa"/>
            <w:vAlign w:val="bottom"/>
            <w:tcBorders>
              <w:top w:val="single" w:sz="8" w:color="DCE2EF"/>
            </w:tcBorders>
            <w:shd w:val="clear" w:color="auto" w:fill="DCE2EF"/>
          </w:tcPr>
          <w:p>
            <w:pPr>
              <w:spacing w:after="0" w:line="20" w:lineRule="exact"/>
              <w:rPr>
                <w:sz w:val="1"/>
                <w:szCs w:val="1"/>
                <w:color w:val="auto"/>
              </w:rPr>
            </w:pPr>
          </w:p>
        </w:tc>
      </w:tr>
      <w:tr>
        <w:trPr>
          <w:trHeight w:val="189"/>
        </w:trPr>
        <w:tc>
          <w:tcPr>
            <w:tcW w:w="1360" w:type="dxa"/>
            <w:vAlign w:val="bottom"/>
          </w:tcPr>
          <w:p>
            <w:pPr>
              <w:jc w:val="right"/>
              <w:ind w:right="730"/>
              <w:spacing w:after="0" w:line="189" w:lineRule="exact"/>
              <w:rPr>
                <w:sz w:val="20"/>
                <w:szCs w:val="20"/>
                <w:color w:val="auto"/>
              </w:rPr>
            </w:pPr>
            <w:r>
              <w:rPr>
                <w:rFonts w:ascii="Arial" w:cs="Arial" w:eastAsia="Arial" w:hAnsi="Arial"/>
                <w:sz w:val="18"/>
                <w:szCs w:val="18"/>
                <w:color w:val="auto"/>
                <w:w w:val="99"/>
              </w:rPr>
              <w:t>10.22*</w:t>
            </w:r>
          </w:p>
        </w:tc>
        <w:tc>
          <w:tcPr>
            <w:tcW w:w="4620" w:type="dxa"/>
            <w:vAlign w:val="bottom"/>
            <w:gridSpan w:val="41"/>
          </w:tcPr>
          <w:p>
            <w:pPr>
              <w:spacing w:after="0" w:line="189" w:lineRule="exact"/>
              <w:rPr>
                <w:rFonts w:ascii="Arial" w:cs="Arial" w:eastAsia="Arial" w:hAnsi="Arial"/>
                <w:sz w:val="18"/>
                <w:szCs w:val="18"/>
                <w:color w:val="0000FF"/>
              </w:rPr>
            </w:pPr>
            <w:hyperlink r:id="rId194">
              <w:r>
                <w:rPr>
                  <w:rFonts w:ascii="Arial" w:cs="Arial" w:eastAsia="Arial" w:hAnsi="Arial"/>
                  <w:sz w:val="18"/>
                  <w:szCs w:val="18"/>
                  <w:color w:val="0000FF"/>
                </w:rPr>
                <w:t>Form of Performance Share Agreement - 2006 Equity</w:t>
              </w:r>
            </w:hyperlink>
          </w:p>
        </w:tc>
        <w:tc>
          <w:tcPr>
            <w:tcW w:w="760" w:type="dxa"/>
            <w:vAlign w:val="bottom"/>
          </w:tcPr>
          <w:p>
            <w:pPr>
              <w:ind w:left="140"/>
              <w:spacing w:after="0" w:line="189" w:lineRule="exact"/>
              <w:rPr>
                <w:sz w:val="20"/>
                <w:szCs w:val="20"/>
                <w:color w:val="auto"/>
              </w:rPr>
            </w:pPr>
            <w:r>
              <w:rPr>
                <w:rFonts w:ascii="Arial" w:cs="Arial" w:eastAsia="Arial" w:hAnsi="Arial"/>
                <w:sz w:val="18"/>
                <w:szCs w:val="18"/>
                <w:color w:val="auto"/>
              </w:rPr>
              <w:t>10-K</w:t>
            </w:r>
          </w:p>
        </w:tc>
        <w:tc>
          <w:tcPr>
            <w:tcW w:w="13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97"/>
              </w:rPr>
              <w:t>10.19</w:t>
            </w:r>
          </w:p>
        </w:tc>
        <w:tc>
          <w:tcPr>
            <w:tcW w:w="2160" w:type="dxa"/>
            <w:vAlign w:val="bottom"/>
          </w:tcPr>
          <w:p>
            <w:pPr>
              <w:jc w:val="center"/>
              <w:spacing w:after="0" w:line="189" w:lineRule="exact"/>
              <w:rPr>
                <w:sz w:val="20"/>
                <w:szCs w:val="20"/>
                <w:color w:val="auto"/>
              </w:rPr>
            </w:pPr>
            <w:r>
              <w:rPr>
                <w:rFonts w:ascii="Arial" w:cs="Arial" w:eastAsia="Arial" w:hAnsi="Arial"/>
                <w:sz w:val="18"/>
                <w:szCs w:val="18"/>
                <w:color w:val="auto"/>
                <w:w w:val="99"/>
              </w:rPr>
              <w:t>December 20, 2019</w:t>
            </w:r>
          </w:p>
        </w:tc>
      </w:tr>
      <w:tr>
        <w:trPr>
          <w:trHeight w:val="155"/>
        </w:trPr>
        <w:tc>
          <w:tcPr>
            <w:tcW w:w="1360" w:type="dxa"/>
            <w:vAlign w:val="bottom"/>
          </w:tcPr>
          <w:p>
            <w:pPr>
              <w:spacing w:after="0"/>
              <w:rPr>
                <w:sz w:val="13"/>
                <w:szCs w:val="13"/>
                <w:color w:val="auto"/>
              </w:rPr>
            </w:pPr>
          </w:p>
        </w:tc>
        <w:tc>
          <w:tcPr>
            <w:tcW w:w="42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1"/>
        </w:trPr>
        <w:tc>
          <w:tcPr>
            <w:tcW w:w="1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9"/>
        </w:trPr>
        <w:tc>
          <w:tcPr>
            <w:tcW w:w="1360" w:type="dxa"/>
            <w:vAlign w:val="bottom"/>
            <w:shd w:val="clear" w:color="auto" w:fill="DCE2EF"/>
          </w:tcPr>
          <w:p>
            <w:pPr>
              <w:jc w:val="right"/>
              <w:ind w:right="730"/>
              <w:spacing w:after="0" w:line="189" w:lineRule="exact"/>
              <w:rPr>
                <w:sz w:val="20"/>
                <w:szCs w:val="20"/>
                <w:color w:val="auto"/>
              </w:rPr>
            </w:pPr>
            <w:r>
              <w:rPr>
                <w:rFonts w:ascii="Arial" w:cs="Arial" w:eastAsia="Arial" w:hAnsi="Arial"/>
                <w:sz w:val="18"/>
                <w:szCs w:val="18"/>
                <w:color w:val="auto"/>
                <w:w w:val="99"/>
              </w:rPr>
              <w:t>10.23*</w:t>
            </w:r>
          </w:p>
        </w:tc>
        <w:tc>
          <w:tcPr>
            <w:tcW w:w="4620" w:type="dxa"/>
            <w:vAlign w:val="bottom"/>
            <w:gridSpan w:val="41"/>
            <w:shd w:val="clear" w:color="auto" w:fill="DCE2EF"/>
          </w:tcPr>
          <w:p>
            <w:pPr>
              <w:spacing w:after="0" w:line="189" w:lineRule="exact"/>
              <w:rPr>
                <w:rFonts w:ascii="Arial" w:cs="Arial" w:eastAsia="Arial" w:hAnsi="Arial"/>
                <w:sz w:val="18"/>
                <w:szCs w:val="18"/>
                <w:color w:val="0000FF"/>
              </w:rPr>
            </w:pPr>
            <w:hyperlink r:id="rId195">
              <w:r>
                <w:rPr>
                  <w:rFonts w:ascii="Arial" w:cs="Arial" w:eastAsia="Arial" w:hAnsi="Arial"/>
                  <w:sz w:val="18"/>
                  <w:szCs w:val="18"/>
                  <w:color w:val="0000FF"/>
                </w:rPr>
                <w:t>Executive Stock Option Plan (aka Age-Vested Career</w:t>
              </w:r>
            </w:hyperlink>
          </w:p>
        </w:tc>
        <w:tc>
          <w:tcPr>
            <w:tcW w:w="760" w:type="dxa"/>
            <w:vAlign w:val="bottom"/>
            <w:shd w:val="clear" w:color="auto" w:fill="DCE2EF"/>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shd w:val="clear" w:color="auto" w:fill="DCE2EF"/>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rPr>
              <w:t>10.1</w:t>
            </w:r>
          </w:p>
        </w:tc>
        <w:tc>
          <w:tcPr>
            <w:tcW w:w="216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rPr>
              <w:t>September 6, 2012</w:t>
            </w:r>
          </w:p>
        </w:tc>
      </w:tr>
      <w:tr>
        <w:trPr>
          <w:trHeight w:val="155"/>
        </w:trPr>
        <w:tc>
          <w:tcPr>
            <w:tcW w:w="1360" w:type="dxa"/>
            <w:vAlign w:val="bottom"/>
            <w:tcBorders>
              <w:top w:val="single" w:sz="8" w:color="DCE2EF"/>
              <w:bottom w:val="single" w:sz="8" w:color="DCE2EF"/>
            </w:tcBorders>
            <w:shd w:val="clear" w:color="auto" w:fill="DCE2EF"/>
          </w:tcPr>
          <w:p>
            <w:pPr>
              <w:spacing w:after="0"/>
              <w:rPr>
                <w:sz w:val="13"/>
                <w:szCs w:val="13"/>
                <w:color w:val="auto"/>
              </w:rPr>
            </w:pPr>
          </w:p>
        </w:tc>
        <w:tc>
          <w:tcPr>
            <w:tcW w:w="4280" w:type="dxa"/>
            <w:vAlign w:val="bottom"/>
            <w:tcBorders>
              <w:top w:val="single" w:sz="8" w:color="0000FF"/>
              <w:bottom w:val="single" w:sz="8" w:color="0000FF"/>
            </w:tcBorders>
            <w:gridSpan w:val="26"/>
            <w:shd w:val="clear" w:color="auto" w:fill="DCE2EF"/>
          </w:tcPr>
          <w:p>
            <w:pPr>
              <w:spacing w:after="0" w:line="156" w:lineRule="exact"/>
              <w:rPr>
                <w:rFonts w:ascii="Arial" w:cs="Arial" w:eastAsia="Arial" w:hAnsi="Arial"/>
                <w:sz w:val="18"/>
                <w:szCs w:val="18"/>
                <w:color w:val="0000FF"/>
                <w:w w:val="99"/>
              </w:rPr>
            </w:pPr>
            <w:hyperlink r:id="rId195">
              <w:r>
                <w:rPr>
                  <w:rFonts w:ascii="Arial" w:cs="Arial" w:eastAsia="Arial" w:hAnsi="Arial"/>
                  <w:sz w:val="18"/>
                  <w:szCs w:val="18"/>
                  <w:color w:val="0000FF"/>
                  <w:w w:val="99"/>
                </w:rPr>
                <w:t>Stock Option Plan), as amended and restated June 4,</w:t>
              </w:r>
            </w:hyperlink>
          </w:p>
        </w:tc>
        <w:tc>
          <w:tcPr>
            <w:tcW w:w="0" w:type="dxa"/>
            <w:vAlign w:val="bottom"/>
            <w:tcBorders>
              <w:top w:val="single" w:sz="8" w:color="DCE2EF"/>
              <w:bottom w:val="single" w:sz="8" w:color="0000FF"/>
            </w:tcBorders>
            <w:shd w:val="clear" w:color="auto" w:fill="DCE2EF"/>
          </w:tcPr>
          <w:p>
            <w:pPr>
              <w:spacing w:after="0"/>
              <w:rPr>
                <w:sz w:val="13"/>
                <w:szCs w:val="13"/>
                <w:color w:val="auto"/>
              </w:rPr>
            </w:pPr>
          </w:p>
        </w:tc>
        <w:tc>
          <w:tcPr>
            <w:tcW w:w="20" w:type="dxa"/>
            <w:vAlign w:val="bottom"/>
            <w:tcBorders>
              <w:top w:val="single" w:sz="8" w:color="DCE2EF"/>
              <w:bottom w:val="single" w:sz="8" w:color="0000F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14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760" w:type="dxa"/>
            <w:vAlign w:val="bottom"/>
            <w:tcBorders>
              <w:top w:val="single" w:sz="8" w:color="DCE2EF"/>
              <w:bottom w:val="single" w:sz="8" w:color="DCE2EF"/>
            </w:tcBorders>
            <w:shd w:val="clear" w:color="auto" w:fill="DCE2EF"/>
          </w:tcPr>
          <w:p>
            <w:pPr>
              <w:spacing w:after="0"/>
              <w:rPr>
                <w:sz w:val="13"/>
                <w:szCs w:val="13"/>
                <w:color w:val="auto"/>
              </w:rPr>
            </w:pPr>
          </w:p>
        </w:tc>
        <w:tc>
          <w:tcPr>
            <w:tcW w:w="1340" w:type="dxa"/>
            <w:vAlign w:val="bottom"/>
            <w:tcBorders>
              <w:top w:val="single" w:sz="8" w:color="DCE2EF"/>
              <w:bottom w:val="single" w:sz="8" w:color="DCE2EF"/>
            </w:tcBorders>
            <w:shd w:val="clear" w:color="auto" w:fill="DCE2EF"/>
          </w:tcPr>
          <w:p>
            <w:pPr>
              <w:spacing w:after="0"/>
              <w:rPr>
                <w:sz w:val="13"/>
                <w:szCs w:val="13"/>
                <w:color w:val="auto"/>
              </w:rPr>
            </w:pPr>
          </w:p>
        </w:tc>
        <w:tc>
          <w:tcPr>
            <w:tcW w:w="1000" w:type="dxa"/>
            <w:vAlign w:val="bottom"/>
            <w:tcBorders>
              <w:top w:val="single" w:sz="8" w:color="DCE2EF"/>
              <w:bottom w:val="single" w:sz="8" w:color="DCE2EF"/>
            </w:tcBorders>
            <w:shd w:val="clear" w:color="auto" w:fill="DCE2EF"/>
          </w:tcPr>
          <w:p>
            <w:pPr>
              <w:spacing w:after="0"/>
              <w:rPr>
                <w:sz w:val="13"/>
                <w:szCs w:val="13"/>
                <w:color w:val="auto"/>
              </w:rPr>
            </w:pPr>
          </w:p>
        </w:tc>
        <w:tc>
          <w:tcPr>
            <w:tcW w:w="2160" w:type="dxa"/>
            <w:vAlign w:val="bottom"/>
            <w:tcBorders>
              <w:top w:val="single" w:sz="8" w:color="DCE2EF"/>
              <w:bottom w:val="single" w:sz="8" w:color="DCE2EF"/>
            </w:tcBorders>
            <w:shd w:val="clear" w:color="auto" w:fill="DCE2EF"/>
          </w:tcPr>
          <w:p>
            <w:pPr>
              <w:spacing w:after="0"/>
              <w:rPr>
                <w:sz w:val="13"/>
                <w:szCs w:val="13"/>
                <w:color w:val="auto"/>
              </w:rPr>
            </w:pPr>
          </w:p>
        </w:tc>
      </w:tr>
      <w:tr>
        <w:trPr>
          <w:trHeight w:val="156"/>
        </w:trPr>
        <w:tc>
          <w:tcPr>
            <w:tcW w:w="1360" w:type="dxa"/>
            <w:vAlign w:val="bottom"/>
            <w:shd w:val="clear" w:color="auto" w:fill="DCE2EF"/>
          </w:tcPr>
          <w:p>
            <w:pPr>
              <w:spacing w:after="0"/>
              <w:rPr>
                <w:sz w:val="13"/>
                <w:szCs w:val="13"/>
                <w:color w:val="auto"/>
              </w:rPr>
            </w:pPr>
          </w:p>
        </w:tc>
        <w:tc>
          <w:tcPr>
            <w:tcW w:w="600" w:type="dxa"/>
            <w:vAlign w:val="bottom"/>
            <w:gridSpan w:val="3"/>
            <w:shd w:val="clear" w:color="auto" w:fill="DCE2EF"/>
          </w:tcPr>
          <w:p>
            <w:pPr>
              <w:spacing w:after="0" w:line="156" w:lineRule="exact"/>
              <w:rPr>
                <w:rFonts w:ascii="Arial" w:cs="Arial" w:eastAsia="Arial" w:hAnsi="Arial"/>
                <w:sz w:val="18"/>
                <w:szCs w:val="18"/>
                <w:color w:val="0000FF"/>
              </w:rPr>
            </w:pPr>
            <w:hyperlink r:id="rId195">
              <w:r>
                <w:rPr>
                  <w:rFonts w:ascii="Arial" w:cs="Arial" w:eastAsia="Arial" w:hAnsi="Arial"/>
                  <w:sz w:val="18"/>
                  <w:szCs w:val="18"/>
                  <w:color w:val="0000FF"/>
                </w:rPr>
                <w:t>2012</w:t>
              </w:r>
            </w:hyperlink>
          </w:p>
        </w:tc>
        <w:tc>
          <w:tcPr>
            <w:tcW w:w="180" w:type="dxa"/>
            <w:vAlign w:val="bottom"/>
            <w:shd w:val="clear" w:color="auto" w:fill="DCE2EF"/>
          </w:tcPr>
          <w:p>
            <w:pPr>
              <w:spacing w:after="0"/>
              <w:rPr>
                <w:sz w:val="13"/>
                <w:szCs w:val="13"/>
                <w:color w:val="auto"/>
              </w:rPr>
            </w:pPr>
          </w:p>
        </w:tc>
        <w:tc>
          <w:tcPr>
            <w:tcW w:w="260" w:type="dxa"/>
            <w:vAlign w:val="bottom"/>
            <w:shd w:val="clear" w:color="auto" w:fill="DCE2EF"/>
          </w:tcPr>
          <w:p>
            <w:pPr>
              <w:spacing w:after="0"/>
              <w:rPr>
                <w:sz w:val="13"/>
                <w:szCs w:val="13"/>
                <w:color w:val="auto"/>
              </w:rPr>
            </w:pPr>
          </w:p>
        </w:tc>
        <w:tc>
          <w:tcPr>
            <w:tcW w:w="20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34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160" w:type="dxa"/>
            <w:vAlign w:val="bottom"/>
            <w:shd w:val="clear" w:color="auto" w:fill="DCE2EF"/>
          </w:tcPr>
          <w:p>
            <w:pPr>
              <w:spacing w:after="0"/>
              <w:rPr>
                <w:sz w:val="13"/>
                <w:szCs w:val="13"/>
                <w:color w:val="auto"/>
              </w:rPr>
            </w:pPr>
          </w:p>
        </w:tc>
        <w:tc>
          <w:tcPr>
            <w:tcW w:w="240" w:type="dxa"/>
            <w:vAlign w:val="bottom"/>
            <w:shd w:val="clear" w:color="auto" w:fill="DCE2EF"/>
          </w:tcPr>
          <w:p>
            <w:pPr>
              <w:spacing w:after="0"/>
              <w:rPr>
                <w:sz w:val="13"/>
                <w:szCs w:val="13"/>
                <w:color w:val="auto"/>
              </w:rPr>
            </w:pPr>
          </w:p>
        </w:tc>
        <w:tc>
          <w:tcPr>
            <w:tcW w:w="340" w:type="dxa"/>
            <w:vAlign w:val="bottom"/>
            <w:shd w:val="clear" w:color="auto" w:fill="DCE2EF"/>
          </w:tcPr>
          <w:p>
            <w:pPr>
              <w:spacing w:after="0"/>
              <w:rPr>
                <w:sz w:val="13"/>
                <w:szCs w:val="13"/>
                <w:color w:val="auto"/>
              </w:rPr>
            </w:pPr>
          </w:p>
        </w:tc>
        <w:tc>
          <w:tcPr>
            <w:tcW w:w="200" w:type="dxa"/>
            <w:vAlign w:val="bottom"/>
            <w:shd w:val="clear" w:color="auto" w:fill="DCE2EF"/>
          </w:tcPr>
          <w:p>
            <w:pPr>
              <w:spacing w:after="0"/>
              <w:rPr>
                <w:sz w:val="13"/>
                <w:szCs w:val="13"/>
                <w:color w:val="auto"/>
              </w:rPr>
            </w:pPr>
          </w:p>
        </w:tc>
        <w:tc>
          <w:tcPr>
            <w:tcW w:w="660" w:type="dxa"/>
            <w:vAlign w:val="bottom"/>
            <w:shd w:val="clear" w:color="auto" w:fill="DCE2EF"/>
          </w:tcPr>
          <w:p>
            <w:pPr>
              <w:spacing w:after="0"/>
              <w:rPr>
                <w:sz w:val="13"/>
                <w:szCs w:val="13"/>
                <w:color w:val="auto"/>
              </w:rPr>
            </w:pPr>
          </w:p>
        </w:tc>
        <w:tc>
          <w:tcPr>
            <w:tcW w:w="180" w:type="dxa"/>
            <w:vAlign w:val="bottom"/>
            <w:shd w:val="clear" w:color="auto" w:fill="DCE2EF"/>
          </w:tcPr>
          <w:p>
            <w:pPr>
              <w:spacing w:after="0"/>
              <w:rPr>
                <w:sz w:val="13"/>
                <w:szCs w:val="13"/>
                <w:color w:val="auto"/>
              </w:rPr>
            </w:pPr>
          </w:p>
        </w:tc>
        <w:tc>
          <w:tcPr>
            <w:tcW w:w="28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4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4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4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4294967277"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760" w:type="dxa"/>
            <w:vAlign w:val="bottom"/>
            <w:shd w:val="clear" w:color="auto" w:fill="DCE2EF"/>
          </w:tcPr>
          <w:p>
            <w:pPr>
              <w:spacing w:after="0"/>
              <w:rPr>
                <w:sz w:val="13"/>
                <w:szCs w:val="13"/>
                <w:color w:val="auto"/>
              </w:rPr>
            </w:pPr>
          </w:p>
        </w:tc>
        <w:tc>
          <w:tcPr>
            <w:tcW w:w="1340" w:type="dxa"/>
            <w:vAlign w:val="bottom"/>
            <w:shd w:val="clear" w:color="auto" w:fill="DCE2EF"/>
          </w:tcPr>
          <w:p>
            <w:pPr>
              <w:spacing w:after="0"/>
              <w:rPr>
                <w:sz w:val="13"/>
                <w:szCs w:val="13"/>
                <w:color w:val="auto"/>
              </w:rPr>
            </w:pPr>
          </w:p>
        </w:tc>
        <w:tc>
          <w:tcPr>
            <w:tcW w:w="1000" w:type="dxa"/>
            <w:vAlign w:val="bottom"/>
            <w:shd w:val="clear" w:color="auto" w:fill="DCE2EF"/>
          </w:tcPr>
          <w:p>
            <w:pPr>
              <w:spacing w:after="0"/>
              <w:rPr>
                <w:sz w:val="13"/>
                <w:szCs w:val="13"/>
                <w:color w:val="auto"/>
              </w:rPr>
            </w:pPr>
          </w:p>
        </w:tc>
        <w:tc>
          <w:tcPr>
            <w:tcW w:w="2160" w:type="dxa"/>
            <w:vAlign w:val="bottom"/>
            <w:shd w:val="clear" w:color="auto" w:fill="DCE2EF"/>
          </w:tcPr>
          <w:p>
            <w:pPr>
              <w:spacing w:after="0"/>
              <w:rPr>
                <w:sz w:val="13"/>
                <w:szCs w:val="13"/>
                <w:color w:val="auto"/>
              </w:rPr>
            </w:pPr>
          </w:p>
        </w:tc>
      </w:tr>
      <w:tr>
        <w:trPr>
          <w:trHeight w:val="20"/>
        </w:trPr>
        <w:tc>
          <w:tcPr>
            <w:tcW w:w="1360" w:type="dxa"/>
            <w:vAlign w:val="bottom"/>
            <w:tcBorders>
              <w:top w:val="single" w:sz="8" w:color="DCE2EF"/>
            </w:tcBorders>
            <w:shd w:val="clear" w:color="auto" w:fill="DCE2EF"/>
          </w:tcPr>
          <w:p>
            <w:pPr>
              <w:spacing w:after="0" w:line="20" w:lineRule="exact"/>
              <w:rPr>
                <w:sz w:val="1"/>
                <w:szCs w:val="1"/>
                <w:color w:val="auto"/>
              </w:rPr>
            </w:pPr>
          </w:p>
        </w:tc>
        <w:tc>
          <w:tcPr>
            <w:tcW w:w="360" w:type="dxa"/>
            <w:vAlign w:val="bottom"/>
            <w:tcBorders>
              <w:top w:val="single" w:sz="8" w:color="0000FF"/>
            </w:tcBorders>
            <w:shd w:val="clear" w:color="auto" w:fill="DCE2EF"/>
          </w:tcPr>
          <w:p>
            <w:pPr>
              <w:spacing w:after="0" w:line="20" w:lineRule="exact"/>
              <w:rPr>
                <w:sz w:val="1"/>
                <w:szCs w:val="1"/>
                <w:color w:val="auto"/>
              </w:rPr>
            </w:pPr>
          </w:p>
        </w:tc>
        <w:tc>
          <w:tcPr>
            <w:tcW w:w="40" w:type="dxa"/>
            <w:vAlign w:val="bottom"/>
            <w:tcBorders>
              <w:top w:val="single" w:sz="8" w:color="0000FF"/>
            </w:tcBorders>
            <w:shd w:val="clear" w:color="auto" w:fill="DCE2EF"/>
          </w:tcPr>
          <w:p>
            <w:pPr>
              <w:spacing w:after="0" w:line="20" w:lineRule="exact"/>
              <w:rPr>
                <w:sz w:val="1"/>
                <w:szCs w:val="1"/>
                <w:color w:val="auto"/>
              </w:rPr>
            </w:pPr>
          </w:p>
        </w:tc>
        <w:tc>
          <w:tcPr>
            <w:tcW w:w="200" w:type="dxa"/>
            <w:vAlign w:val="bottom"/>
            <w:tcBorders>
              <w:top w:val="single" w:sz="8" w:color="DCE2EF"/>
            </w:tcBorders>
            <w:shd w:val="clear" w:color="auto" w:fill="DCE2EF"/>
          </w:tcPr>
          <w:p>
            <w:pPr>
              <w:spacing w:after="0" w:line="20" w:lineRule="exact"/>
              <w:rPr>
                <w:sz w:val="1"/>
                <w:szCs w:val="1"/>
                <w:color w:val="auto"/>
              </w:rPr>
            </w:pPr>
          </w:p>
        </w:tc>
        <w:tc>
          <w:tcPr>
            <w:tcW w:w="180" w:type="dxa"/>
            <w:vAlign w:val="bottom"/>
            <w:tcBorders>
              <w:top w:val="single" w:sz="8" w:color="DCE2EF"/>
            </w:tcBorders>
            <w:shd w:val="clear" w:color="auto" w:fill="DCE2EF"/>
          </w:tcPr>
          <w:p>
            <w:pPr>
              <w:spacing w:after="0" w:line="20" w:lineRule="exact"/>
              <w:rPr>
                <w:sz w:val="1"/>
                <w:szCs w:val="1"/>
                <w:color w:val="auto"/>
              </w:rPr>
            </w:pPr>
          </w:p>
        </w:tc>
        <w:tc>
          <w:tcPr>
            <w:tcW w:w="260" w:type="dxa"/>
            <w:vAlign w:val="bottom"/>
            <w:tcBorders>
              <w:top w:val="single" w:sz="8" w:color="DCE2EF"/>
            </w:tcBorders>
            <w:shd w:val="clear" w:color="auto" w:fill="DCE2EF"/>
          </w:tcPr>
          <w:p>
            <w:pPr>
              <w:spacing w:after="0" w:line="20" w:lineRule="exact"/>
              <w:rPr>
                <w:sz w:val="1"/>
                <w:szCs w:val="1"/>
                <w:color w:val="auto"/>
              </w:rPr>
            </w:pPr>
          </w:p>
        </w:tc>
        <w:tc>
          <w:tcPr>
            <w:tcW w:w="20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340" w:type="dxa"/>
            <w:vAlign w:val="bottom"/>
            <w:tcBorders>
              <w:top w:val="single" w:sz="8" w:color="DCE2EF"/>
            </w:tcBorders>
            <w:shd w:val="clear" w:color="auto" w:fill="DCE2EF"/>
          </w:tcPr>
          <w:p>
            <w:pPr>
              <w:spacing w:after="0" w:line="20" w:lineRule="exact"/>
              <w:rPr>
                <w:sz w:val="1"/>
                <w:szCs w:val="1"/>
                <w:color w:val="auto"/>
              </w:rPr>
            </w:pPr>
          </w:p>
        </w:tc>
        <w:tc>
          <w:tcPr>
            <w:tcW w:w="100" w:type="dxa"/>
            <w:vAlign w:val="bottom"/>
            <w:tcBorders>
              <w:top w:val="single" w:sz="8" w:color="DCE2EF"/>
            </w:tcBorders>
            <w:shd w:val="clear" w:color="auto" w:fill="DCE2EF"/>
          </w:tcPr>
          <w:p>
            <w:pPr>
              <w:spacing w:after="0" w:line="20" w:lineRule="exact"/>
              <w:rPr>
                <w:sz w:val="1"/>
                <w:szCs w:val="1"/>
                <w:color w:val="auto"/>
              </w:rPr>
            </w:pPr>
          </w:p>
        </w:tc>
        <w:tc>
          <w:tcPr>
            <w:tcW w:w="160" w:type="dxa"/>
            <w:vAlign w:val="bottom"/>
            <w:tcBorders>
              <w:top w:val="single" w:sz="8" w:color="DCE2EF"/>
            </w:tcBorders>
            <w:shd w:val="clear" w:color="auto" w:fill="DCE2EF"/>
          </w:tcPr>
          <w:p>
            <w:pPr>
              <w:spacing w:after="0" w:line="20" w:lineRule="exact"/>
              <w:rPr>
                <w:sz w:val="1"/>
                <w:szCs w:val="1"/>
                <w:color w:val="auto"/>
              </w:rPr>
            </w:pPr>
          </w:p>
        </w:tc>
        <w:tc>
          <w:tcPr>
            <w:tcW w:w="240" w:type="dxa"/>
            <w:vAlign w:val="bottom"/>
            <w:tcBorders>
              <w:top w:val="single" w:sz="8" w:color="DCE2EF"/>
            </w:tcBorders>
            <w:shd w:val="clear" w:color="auto" w:fill="DCE2EF"/>
          </w:tcPr>
          <w:p>
            <w:pPr>
              <w:spacing w:after="0" w:line="20" w:lineRule="exact"/>
              <w:rPr>
                <w:sz w:val="1"/>
                <w:szCs w:val="1"/>
                <w:color w:val="auto"/>
              </w:rPr>
            </w:pPr>
          </w:p>
        </w:tc>
        <w:tc>
          <w:tcPr>
            <w:tcW w:w="340" w:type="dxa"/>
            <w:vAlign w:val="bottom"/>
            <w:tcBorders>
              <w:top w:val="single" w:sz="8" w:color="DCE2EF"/>
            </w:tcBorders>
            <w:shd w:val="clear" w:color="auto" w:fill="DCE2EF"/>
          </w:tcPr>
          <w:p>
            <w:pPr>
              <w:spacing w:after="0" w:line="20" w:lineRule="exact"/>
              <w:rPr>
                <w:sz w:val="1"/>
                <w:szCs w:val="1"/>
                <w:color w:val="auto"/>
              </w:rPr>
            </w:pPr>
          </w:p>
        </w:tc>
        <w:tc>
          <w:tcPr>
            <w:tcW w:w="200" w:type="dxa"/>
            <w:vAlign w:val="bottom"/>
            <w:tcBorders>
              <w:top w:val="single" w:sz="8" w:color="DCE2EF"/>
            </w:tcBorders>
            <w:shd w:val="clear" w:color="auto" w:fill="DCE2EF"/>
          </w:tcPr>
          <w:p>
            <w:pPr>
              <w:spacing w:after="0" w:line="20" w:lineRule="exact"/>
              <w:rPr>
                <w:sz w:val="1"/>
                <w:szCs w:val="1"/>
                <w:color w:val="auto"/>
              </w:rPr>
            </w:pPr>
          </w:p>
        </w:tc>
        <w:tc>
          <w:tcPr>
            <w:tcW w:w="660" w:type="dxa"/>
            <w:vAlign w:val="bottom"/>
            <w:tcBorders>
              <w:top w:val="single" w:sz="8" w:color="DCE2EF"/>
            </w:tcBorders>
            <w:shd w:val="clear" w:color="auto" w:fill="DCE2EF"/>
          </w:tcPr>
          <w:p>
            <w:pPr>
              <w:spacing w:after="0" w:line="20" w:lineRule="exact"/>
              <w:rPr>
                <w:sz w:val="1"/>
                <w:szCs w:val="1"/>
                <w:color w:val="auto"/>
              </w:rPr>
            </w:pPr>
          </w:p>
        </w:tc>
        <w:tc>
          <w:tcPr>
            <w:tcW w:w="180" w:type="dxa"/>
            <w:vAlign w:val="bottom"/>
            <w:tcBorders>
              <w:top w:val="single" w:sz="8" w:color="DCE2EF"/>
            </w:tcBorders>
            <w:shd w:val="clear" w:color="auto" w:fill="DCE2EF"/>
          </w:tcPr>
          <w:p>
            <w:pPr>
              <w:spacing w:after="0" w:line="20" w:lineRule="exact"/>
              <w:rPr>
                <w:sz w:val="1"/>
                <w:szCs w:val="1"/>
                <w:color w:val="auto"/>
              </w:rPr>
            </w:pPr>
          </w:p>
        </w:tc>
        <w:tc>
          <w:tcPr>
            <w:tcW w:w="28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10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4294967277"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120" w:type="dxa"/>
            <w:vAlign w:val="bottom"/>
            <w:tcBorders>
              <w:top w:val="single" w:sz="8" w:color="DCE2EF"/>
            </w:tcBorders>
            <w:shd w:val="clear" w:color="auto" w:fill="DCE2EF"/>
          </w:tcPr>
          <w:p>
            <w:pPr>
              <w:spacing w:after="0" w:line="20" w:lineRule="exact"/>
              <w:rPr>
                <w:sz w:val="1"/>
                <w:szCs w:val="1"/>
                <w:color w:val="auto"/>
              </w:rPr>
            </w:pPr>
          </w:p>
        </w:tc>
        <w:tc>
          <w:tcPr>
            <w:tcW w:w="760" w:type="dxa"/>
            <w:vAlign w:val="bottom"/>
            <w:tcBorders>
              <w:top w:val="single" w:sz="8" w:color="DCE2EF"/>
            </w:tcBorders>
            <w:shd w:val="clear" w:color="auto" w:fill="DCE2EF"/>
          </w:tcPr>
          <w:p>
            <w:pPr>
              <w:spacing w:after="0" w:line="20" w:lineRule="exact"/>
              <w:rPr>
                <w:sz w:val="1"/>
                <w:szCs w:val="1"/>
                <w:color w:val="auto"/>
              </w:rPr>
            </w:pPr>
          </w:p>
        </w:tc>
        <w:tc>
          <w:tcPr>
            <w:tcW w:w="1340" w:type="dxa"/>
            <w:vAlign w:val="bottom"/>
            <w:tcBorders>
              <w:top w:val="single" w:sz="8" w:color="DCE2EF"/>
            </w:tcBorders>
            <w:shd w:val="clear" w:color="auto" w:fill="DCE2EF"/>
          </w:tcPr>
          <w:p>
            <w:pPr>
              <w:spacing w:after="0" w:line="20" w:lineRule="exact"/>
              <w:rPr>
                <w:sz w:val="1"/>
                <w:szCs w:val="1"/>
                <w:color w:val="auto"/>
              </w:rPr>
            </w:pPr>
          </w:p>
        </w:tc>
        <w:tc>
          <w:tcPr>
            <w:tcW w:w="1000" w:type="dxa"/>
            <w:vAlign w:val="bottom"/>
            <w:tcBorders>
              <w:top w:val="single" w:sz="8" w:color="DCE2EF"/>
            </w:tcBorders>
            <w:shd w:val="clear" w:color="auto" w:fill="DCE2EF"/>
          </w:tcPr>
          <w:p>
            <w:pPr>
              <w:spacing w:after="0" w:line="20" w:lineRule="exact"/>
              <w:rPr>
                <w:sz w:val="1"/>
                <w:szCs w:val="1"/>
                <w:color w:val="auto"/>
              </w:rPr>
            </w:pPr>
          </w:p>
        </w:tc>
        <w:tc>
          <w:tcPr>
            <w:tcW w:w="2160" w:type="dxa"/>
            <w:vAlign w:val="bottom"/>
            <w:tcBorders>
              <w:top w:val="single" w:sz="8" w:color="DCE2EF"/>
            </w:tcBorders>
            <w:shd w:val="clear" w:color="auto" w:fill="DCE2EF"/>
          </w:tcPr>
          <w:p>
            <w:pPr>
              <w:spacing w:after="0" w:line="20" w:lineRule="exact"/>
              <w:rPr>
                <w:sz w:val="1"/>
                <w:szCs w:val="1"/>
                <w:color w:val="auto"/>
              </w:rPr>
            </w:pPr>
          </w:p>
        </w:tc>
      </w:tr>
      <w:tr>
        <w:trPr>
          <w:trHeight w:val="189"/>
        </w:trPr>
        <w:tc>
          <w:tcPr>
            <w:tcW w:w="1360" w:type="dxa"/>
            <w:vAlign w:val="bottom"/>
          </w:tcPr>
          <w:p>
            <w:pPr>
              <w:jc w:val="right"/>
              <w:ind w:right="730"/>
              <w:spacing w:after="0" w:line="189" w:lineRule="exact"/>
              <w:rPr>
                <w:sz w:val="20"/>
                <w:szCs w:val="20"/>
                <w:color w:val="auto"/>
              </w:rPr>
            </w:pPr>
            <w:r>
              <w:rPr>
                <w:rFonts w:ascii="Arial" w:cs="Arial" w:eastAsia="Arial" w:hAnsi="Arial"/>
                <w:sz w:val="18"/>
                <w:szCs w:val="18"/>
                <w:color w:val="auto"/>
                <w:w w:val="99"/>
              </w:rPr>
              <w:t>10.24*</w:t>
            </w:r>
          </w:p>
        </w:tc>
        <w:tc>
          <w:tcPr>
            <w:tcW w:w="4620" w:type="dxa"/>
            <w:vAlign w:val="bottom"/>
            <w:gridSpan w:val="41"/>
          </w:tcPr>
          <w:p>
            <w:pPr>
              <w:spacing w:after="0" w:line="189" w:lineRule="exact"/>
              <w:rPr>
                <w:rFonts w:ascii="Arial" w:cs="Arial" w:eastAsia="Arial" w:hAnsi="Arial"/>
                <w:sz w:val="18"/>
                <w:szCs w:val="18"/>
                <w:color w:val="0000FF"/>
              </w:rPr>
            </w:pPr>
            <w:hyperlink r:id="rId196">
              <w:r>
                <w:rPr>
                  <w:rFonts w:ascii="Arial" w:cs="Arial" w:eastAsia="Arial" w:hAnsi="Arial"/>
                  <w:sz w:val="18"/>
                  <w:szCs w:val="18"/>
                  <w:color w:val="0000FF"/>
                </w:rPr>
                <w:t>Deferred Compensation Plan for Executives, amended</w:t>
              </w:r>
            </w:hyperlink>
          </w:p>
        </w:tc>
        <w:tc>
          <w:tcPr>
            <w:tcW w:w="760" w:type="dxa"/>
            <w:vAlign w:val="bottom"/>
          </w:tcPr>
          <w:p>
            <w:pPr>
              <w:ind w:left="140"/>
              <w:spacing w:after="0" w:line="189" w:lineRule="exact"/>
              <w:rPr>
                <w:sz w:val="20"/>
                <w:szCs w:val="20"/>
                <w:color w:val="auto"/>
              </w:rPr>
            </w:pPr>
            <w:r>
              <w:rPr>
                <w:rFonts w:ascii="Arial" w:cs="Arial" w:eastAsia="Arial" w:hAnsi="Arial"/>
                <w:sz w:val="18"/>
                <w:szCs w:val="18"/>
                <w:color w:val="auto"/>
              </w:rPr>
              <w:t>10-K</w:t>
            </w:r>
          </w:p>
        </w:tc>
        <w:tc>
          <w:tcPr>
            <w:tcW w:w="13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97"/>
              </w:rPr>
              <w:t>10.22</w:t>
            </w:r>
          </w:p>
        </w:tc>
        <w:tc>
          <w:tcPr>
            <w:tcW w:w="2160" w:type="dxa"/>
            <w:vAlign w:val="bottom"/>
          </w:tcPr>
          <w:p>
            <w:pPr>
              <w:jc w:val="center"/>
              <w:spacing w:after="0" w:line="189" w:lineRule="exact"/>
              <w:rPr>
                <w:sz w:val="20"/>
                <w:szCs w:val="20"/>
                <w:color w:val="auto"/>
              </w:rPr>
            </w:pPr>
            <w:r>
              <w:rPr>
                <w:rFonts w:ascii="Arial" w:cs="Arial" w:eastAsia="Arial" w:hAnsi="Arial"/>
                <w:sz w:val="18"/>
                <w:szCs w:val="18"/>
                <w:color w:val="auto"/>
                <w:w w:val="99"/>
              </w:rPr>
              <w:t>December 23, 2010</w:t>
            </w:r>
          </w:p>
        </w:tc>
      </w:tr>
      <w:tr>
        <w:trPr>
          <w:trHeight w:val="156"/>
        </w:trPr>
        <w:tc>
          <w:tcPr>
            <w:tcW w:w="1360" w:type="dxa"/>
            <w:vAlign w:val="bottom"/>
          </w:tcPr>
          <w:p>
            <w:pPr>
              <w:spacing w:after="0"/>
              <w:rPr>
                <w:sz w:val="13"/>
                <w:szCs w:val="13"/>
                <w:color w:val="auto"/>
              </w:rPr>
            </w:pPr>
          </w:p>
        </w:tc>
        <w:tc>
          <w:tcPr>
            <w:tcW w:w="43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and restated October 25, 2010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1"/>
        </w:trPr>
        <w:tc>
          <w:tcPr>
            <w:tcW w:w="1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9"/>
        </w:trPr>
        <w:tc>
          <w:tcPr>
            <w:tcW w:w="1360" w:type="dxa"/>
            <w:vAlign w:val="bottom"/>
            <w:shd w:val="clear" w:color="auto" w:fill="DCE2EF"/>
          </w:tcPr>
          <w:p>
            <w:pPr>
              <w:jc w:val="right"/>
              <w:ind w:right="730"/>
              <w:spacing w:after="0" w:line="189" w:lineRule="exact"/>
              <w:rPr>
                <w:sz w:val="20"/>
                <w:szCs w:val="20"/>
                <w:color w:val="auto"/>
              </w:rPr>
            </w:pPr>
            <w:r>
              <w:rPr>
                <w:rFonts w:ascii="Arial" w:cs="Arial" w:eastAsia="Arial" w:hAnsi="Arial"/>
                <w:sz w:val="18"/>
                <w:szCs w:val="18"/>
                <w:color w:val="auto"/>
                <w:w w:val="99"/>
              </w:rPr>
              <w:t>10.25*</w:t>
            </w:r>
          </w:p>
        </w:tc>
        <w:tc>
          <w:tcPr>
            <w:tcW w:w="4620" w:type="dxa"/>
            <w:vAlign w:val="bottom"/>
            <w:gridSpan w:val="41"/>
            <w:shd w:val="clear" w:color="auto" w:fill="DCE2EF"/>
          </w:tcPr>
          <w:p>
            <w:pPr>
              <w:spacing w:after="0" w:line="189" w:lineRule="exact"/>
              <w:rPr>
                <w:rFonts w:ascii="Arial" w:cs="Arial" w:eastAsia="Arial" w:hAnsi="Arial"/>
                <w:sz w:val="18"/>
                <w:szCs w:val="18"/>
                <w:color w:val="0000FF"/>
              </w:rPr>
            </w:pPr>
            <w:hyperlink r:id="rId197">
              <w:r>
                <w:rPr>
                  <w:rFonts w:ascii="Arial" w:cs="Arial" w:eastAsia="Arial" w:hAnsi="Arial"/>
                  <w:sz w:val="18"/>
                  <w:szCs w:val="18"/>
                  <w:color w:val="0000FF"/>
                </w:rPr>
                <w:t>Supplemental Executive Retirement Plan, as amended</w:t>
              </w:r>
            </w:hyperlink>
          </w:p>
        </w:tc>
        <w:tc>
          <w:tcPr>
            <w:tcW w:w="760" w:type="dxa"/>
            <w:vAlign w:val="bottom"/>
            <w:shd w:val="clear" w:color="auto" w:fill="DCE2EF"/>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shd w:val="clear" w:color="auto" w:fill="DCE2EF"/>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rPr>
              <w:t>10.4</w:t>
            </w:r>
          </w:p>
        </w:tc>
        <w:tc>
          <w:tcPr>
            <w:tcW w:w="216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rPr>
              <w:t>September 8, 2008</w:t>
            </w:r>
          </w:p>
        </w:tc>
      </w:tr>
      <w:tr>
        <w:trPr>
          <w:trHeight w:val="176"/>
        </w:trPr>
        <w:tc>
          <w:tcPr>
            <w:tcW w:w="1360" w:type="dxa"/>
            <w:vAlign w:val="bottom"/>
            <w:tcBorders>
              <w:top w:val="single" w:sz="8" w:color="DCE2EF"/>
              <w:bottom w:val="single" w:sz="8" w:color="DCE2EF"/>
            </w:tcBorders>
            <w:shd w:val="clear" w:color="auto" w:fill="DCE2EF"/>
          </w:tcPr>
          <w:p>
            <w:pPr>
              <w:spacing w:after="0"/>
              <w:rPr>
                <w:sz w:val="15"/>
                <w:szCs w:val="15"/>
                <w:color w:val="auto"/>
              </w:rPr>
            </w:pPr>
          </w:p>
        </w:tc>
        <w:tc>
          <w:tcPr>
            <w:tcW w:w="2100" w:type="dxa"/>
            <w:vAlign w:val="bottom"/>
            <w:tcBorders>
              <w:top w:val="single" w:sz="8" w:color="0000FF"/>
              <w:bottom w:val="single" w:sz="8" w:color="0000FF"/>
            </w:tcBorders>
            <w:gridSpan w:val="11"/>
            <w:shd w:val="clear" w:color="auto" w:fill="DCE2EF"/>
          </w:tcPr>
          <w:p>
            <w:pPr>
              <w:spacing w:after="0" w:line="156" w:lineRule="exact"/>
              <w:rPr>
                <w:rFonts w:ascii="Arial" w:cs="Arial" w:eastAsia="Arial" w:hAnsi="Arial"/>
                <w:sz w:val="18"/>
                <w:szCs w:val="18"/>
                <w:color w:val="0000FF"/>
                <w:w w:val="99"/>
              </w:rPr>
            </w:pPr>
            <w:hyperlink r:id="rId197">
              <w:r>
                <w:rPr>
                  <w:rFonts w:ascii="Arial" w:cs="Arial" w:eastAsia="Arial" w:hAnsi="Arial"/>
                  <w:sz w:val="18"/>
                  <w:szCs w:val="18"/>
                  <w:color w:val="0000FF"/>
                  <w:w w:val="99"/>
                </w:rPr>
                <w:t>and restated June 3, 2008</w:t>
              </w:r>
            </w:hyperlink>
          </w:p>
        </w:tc>
        <w:tc>
          <w:tcPr>
            <w:tcW w:w="2280" w:type="dxa"/>
            <w:vAlign w:val="bottom"/>
            <w:tcBorders>
              <w:top w:val="single" w:sz="8" w:color="0000FF"/>
              <w:bottom w:val="single" w:sz="8" w:color="DCE2EF"/>
            </w:tcBorders>
            <w:gridSpan w:val="21"/>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14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760" w:type="dxa"/>
            <w:vAlign w:val="bottom"/>
            <w:tcBorders>
              <w:top w:val="single" w:sz="8" w:color="DCE2EF"/>
              <w:bottom w:val="single" w:sz="8" w:color="DCE2EF"/>
            </w:tcBorders>
            <w:shd w:val="clear" w:color="auto" w:fill="DCE2EF"/>
          </w:tcPr>
          <w:p>
            <w:pPr>
              <w:spacing w:after="0"/>
              <w:rPr>
                <w:sz w:val="15"/>
                <w:szCs w:val="15"/>
                <w:color w:val="auto"/>
              </w:rPr>
            </w:pPr>
          </w:p>
        </w:tc>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1000" w:type="dxa"/>
            <w:vAlign w:val="bottom"/>
            <w:tcBorders>
              <w:top w:val="single" w:sz="8" w:color="DCE2EF"/>
              <w:bottom w:val="single" w:sz="8" w:color="DCE2EF"/>
            </w:tcBorders>
            <w:shd w:val="clear" w:color="auto" w:fill="DCE2EF"/>
          </w:tcPr>
          <w:p>
            <w:pPr>
              <w:spacing w:after="0"/>
              <w:rPr>
                <w:sz w:val="15"/>
                <w:szCs w:val="15"/>
                <w:color w:val="auto"/>
              </w:rPr>
            </w:pPr>
          </w:p>
        </w:tc>
        <w:tc>
          <w:tcPr>
            <w:tcW w:w="216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9"/>
        </w:trPr>
        <w:tc>
          <w:tcPr>
            <w:tcW w:w="1360" w:type="dxa"/>
            <w:vAlign w:val="bottom"/>
          </w:tcPr>
          <w:p>
            <w:pPr>
              <w:jc w:val="right"/>
              <w:ind w:right="730"/>
              <w:spacing w:after="0" w:line="189" w:lineRule="exact"/>
              <w:rPr>
                <w:sz w:val="20"/>
                <w:szCs w:val="20"/>
                <w:color w:val="auto"/>
              </w:rPr>
            </w:pPr>
            <w:r>
              <w:rPr>
                <w:rFonts w:ascii="Arial" w:cs="Arial" w:eastAsia="Arial" w:hAnsi="Arial"/>
                <w:sz w:val="18"/>
                <w:szCs w:val="18"/>
                <w:color w:val="auto"/>
                <w:w w:val="99"/>
              </w:rPr>
              <w:t>10.26*</w:t>
            </w:r>
          </w:p>
        </w:tc>
        <w:tc>
          <w:tcPr>
            <w:tcW w:w="4620" w:type="dxa"/>
            <w:vAlign w:val="bottom"/>
            <w:gridSpan w:val="41"/>
          </w:tcPr>
          <w:p>
            <w:pPr>
              <w:spacing w:after="0" w:line="189" w:lineRule="exact"/>
              <w:rPr>
                <w:rFonts w:ascii="Arial" w:cs="Arial" w:eastAsia="Arial" w:hAnsi="Arial"/>
                <w:sz w:val="18"/>
                <w:szCs w:val="18"/>
                <w:color w:val="0000FF"/>
              </w:rPr>
            </w:pPr>
            <w:hyperlink r:id="rId198">
              <w:r>
                <w:rPr>
                  <w:rFonts w:ascii="Arial" w:cs="Arial" w:eastAsia="Arial" w:hAnsi="Arial"/>
                  <w:sz w:val="18"/>
                  <w:szCs w:val="18"/>
                  <w:color w:val="0000FF"/>
                </w:rPr>
                <w:t>Service Award Benefit Plan, as amended and restated</w:t>
              </w:r>
            </w:hyperlink>
          </w:p>
        </w:tc>
        <w:tc>
          <w:tcPr>
            <w:tcW w:w="760" w:type="dxa"/>
            <w:vAlign w:val="bottom"/>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rPr>
              <w:t>10.5</w:t>
            </w:r>
          </w:p>
        </w:tc>
        <w:tc>
          <w:tcPr>
            <w:tcW w:w="2160" w:type="dxa"/>
            <w:vAlign w:val="bottom"/>
          </w:tcPr>
          <w:p>
            <w:pPr>
              <w:jc w:val="center"/>
              <w:spacing w:after="0" w:line="189" w:lineRule="exact"/>
              <w:rPr>
                <w:sz w:val="20"/>
                <w:szCs w:val="20"/>
                <w:color w:val="auto"/>
              </w:rPr>
            </w:pPr>
            <w:r>
              <w:rPr>
                <w:rFonts w:ascii="Arial" w:cs="Arial" w:eastAsia="Arial" w:hAnsi="Arial"/>
                <w:sz w:val="18"/>
                <w:szCs w:val="18"/>
                <w:color w:val="auto"/>
              </w:rPr>
              <w:t>September 8, 2008</w:t>
            </w:r>
          </w:p>
        </w:tc>
      </w:tr>
      <w:tr>
        <w:trPr>
          <w:trHeight w:val="156"/>
        </w:trPr>
        <w:tc>
          <w:tcPr>
            <w:tcW w:w="1360" w:type="dxa"/>
            <w:vAlign w:val="bottom"/>
          </w:tcPr>
          <w:p>
            <w:pPr>
              <w:spacing w:after="0"/>
              <w:rPr>
                <w:sz w:val="13"/>
                <w:szCs w:val="13"/>
                <w:color w:val="auto"/>
              </w:rPr>
            </w:pPr>
          </w:p>
        </w:tc>
        <w:tc>
          <w:tcPr>
            <w:tcW w:w="43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98">
              <w:r>
                <w:rPr>
                  <w:rFonts w:ascii="Arial" w:cs="Arial" w:eastAsia="Arial" w:hAnsi="Arial"/>
                  <w:sz w:val="18"/>
                  <w:szCs w:val="18"/>
                  <w:color w:val="0000FF"/>
                </w:rPr>
                <w:t>June 3, 2008</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1"/>
        </w:trPr>
        <w:tc>
          <w:tcPr>
            <w:tcW w:w="1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9"/>
        </w:trPr>
        <w:tc>
          <w:tcPr>
            <w:tcW w:w="1360" w:type="dxa"/>
            <w:vAlign w:val="bottom"/>
            <w:shd w:val="clear" w:color="auto" w:fill="DCE2EF"/>
          </w:tcPr>
          <w:p>
            <w:pPr>
              <w:jc w:val="right"/>
              <w:ind w:right="730"/>
              <w:spacing w:after="0" w:line="189" w:lineRule="exact"/>
              <w:rPr>
                <w:sz w:val="20"/>
                <w:szCs w:val="20"/>
                <w:color w:val="auto"/>
              </w:rPr>
            </w:pPr>
            <w:r>
              <w:rPr>
                <w:rFonts w:ascii="Arial" w:cs="Arial" w:eastAsia="Arial" w:hAnsi="Arial"/>
                <w:sz w:val="18"/>
                <w:szCs w:val="18"/>
                <w:color w:val="auto"/>
                <w:w w:val="99"/>
              </w:rPr>
              <w:t>10.27*</w:t>
            </w:r>
          </w:p>
        </w:tc>
        <w:tc>
          <w:tcPr>
            <w:tcW w:w="4620" w:type="dxa"/>
            <w:vAlign w:val="bottom"/>
            <w:gridSpan w:val="41"/>
            <w:shd w:val="clear" w:color="auto" w:fill="DCE2EF"/>
          </w:tcPr>
          <w:p>
            <w:pPr>
              <w:spacing w:after="0" w:line="189" w:lineRule="exact"/>
              <w:rPr>
                <w:rFonts w:ascii="Arial" w:cs="Arial" w:eastAsia="Arial" w:hAnsi="Arial"/>
                <w:sz w:val="18"/>
                <w:szCs w:val="18"/>
                <w:color w:val="0000FF"/>
              </w:rPr>
            </w:pPr>
            <w:hyperlink r:id="rId199">
              <w:r>
                <w:rPr>
                  <w:rFonts w:ascii="Arial" w:cs="Arial" w:eastAsia="Arial" w:hAnsi="Arial"/>
                  <w:sz w:val="18"/>
                  <w:szCs w:val="18"/>
                  <w:color w:val="0000FF"/>
                </w:rPr>
                <w:t>Executive Severance Pay Policy, as amended and</w:t>
              </w:r>
            </w:hyperlink>
          </w:p>
        </w:tc>
        <w:tc>
          <w:tcPr>
            <w:tcW w:w="760" w:type="dxa"/>
            <w:vAlign w:val="bottom"/>
            <w:shd w:val="clear" w:color="auto" w:fill="DCE2EF"/>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shd w:val="clear" w:color="auto" w:fill="DCE2EF"/>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rPr>
              <w:t>10.1</w:t>
            </w:r>
          </w:p>
        </w:tc>
        <w:tc>
          <w:tcPr>
            <w:tcW w:w="216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rPr>
              <w:t>March 10, 2011</w:t>
            </w:r>
          </w:p>
        </w:tc>
      </w:tr>
      <w:tr>
        <w:trPr>
          <w:trHeight w:val="176"/>
        </w:trPr>
        <w:tc>
          <w:tcPr>
            <w:tcW w:w="1360" w:type="dxa"/>
            <w:vAlign w:val="bottom"/>
            <w:tcBorders>
              <w:top w:val="single" w:sz="8" w:color="DCE2EF"/>
              <w:bottom w:val="single" w:sz="8" w:color="DCE2EF"/>
            </w:tcBorders>
            <w:shd w:val="clear" w:color="auto" w:fill="DCE2EF"/>
          </w:tcPr>
          <w:p>
            <w:pPr>
              <w:spacing w:after="0"/>
              <w:rPr>
                <w:sz w:val="15"/>
                <w:szCs w:val="15"/>
                <w:color w:val="auto"/>
              </w:rPr>
            </w:pPr>
          </w:p>
        </w:tc>
        <w:tc>
          <w:tcPr>
            <w:tcW w:w="1860" w:type="dxa"/>
            <w:vAlign w:val="bottom"/>
            <w:tcBorders>
              <w:top w:val="single" w:sz="8" w:color="0000FF"/>
              <w:bottom w:val="single" w:sz="8" w:color="0000FF"/>
            </w:tcBorders>
            <w:gridSpan w:val="10"/>
            <w:shd w:val="clear" w:color="auto" w:fill="DCE2EF"/>
          </w:tcPr>
          <w:p>
            <w:pPr>
              <w:spacing w:after="0" w:line="156" w:lineRule="exact"/>
              <w:rPr>
                <w:rFonts w:ascii="Arial" w:cs="Arial" w:eastAsia="Arial" w:hAnsi="Arial"/>
                <w:sz w:val="18"/>
                <w:szCs w:val="18"/>
                <w:color w:val="0000FF"/>
                <w:w w:val="99"/>
              </w:rPr>
            </w:pPr>
            <w:hyperlink r:id="rId199">
              <w:r>
                <w:rPr>
                  <w:rFonts w:ascii="Arial" w:cs="Arial" w:eastAsia="Arial" w:hAnsi="Arial"/>
                  <w:sz w:val="18"/>
                  <w:szCs w:val="18"/>
                  <w:color w:val="0000FF"/>
                  <w:w w:val="99"/>
                </w:rPr>
                <w:t>restated March 7, 2011</w:t>
              </w:r>
            </w:hyperlink>
          </w:p>
        </w:tc>
        <w:tc>
          <w:tcPr>
            <w:tcW w:w="2140" w:type="dxa"/>
            <w:vAlign w:val="bottom"/>
            <w:tcBorders>
              <w:top w:val="single" w:sz="8" w:color="0000FF"/>
              <w:bottom w:val="single" w:sz="8" w:color="DCE2EF"/>
            </w:tcBorders>
            <w:gridSpan w:val="10"/>
            <w:shd w:val="clear" w:color="auto" w:fill="DCE2EF"/>
          </w:tcPr>
          <w:p>
            <w:pPr>
              <w:spacing w:after="0"/>
              <w:rPr>
                <w:sz w:val="15"/>
                <w:szCs w:val="15"/>
                <w:color w:val="auto"/>
              </w:rPr>
            </w:pPr>
          </w:p>
        </w:tc>
        <w:tc>
          <w:tcPr>
            <w:tcW w:w="40" w:type="dxa"/>
            <w:vAlign w:val="bottom"/>
            <w:tcBorders>
              <w:top w:val="single" w:sz="8" w:color="DCE2EF"/>
              <w:bottom w:val="single" w:sz="8" w:color="DCE2EF"/>
            </w:tcBorders>
            <w:shd w:val="clear" w:color="auto" w:fill="DCE2EF"/>
          </w:tcPr>
          <w:p>
            <w:pPr>
              <w:spacing w:after="0"/>
              <w:rPr>
                <w:sz w:val="15"/>
                <w:szCs w:val="15"/>
                <w:color w:val="auto"/>
              </w:rPr>
            </w:pPr>
          </w:p>
        </w:tc>
        <w:tc>
          <w:tcPr>
            <w:tcW w:w="80" w:type="dxa"/>
            <w:vAlign w:val="bottom"/>
            <w:tcBorders>
              <w:top w:val="single" w:sz="8" w:color="DCE2EF"/>
              <w:bottom w:val="single" w:sz="8" w:color="DCE2EF"/>
            </w:tcBorders>
            <w:shd w:val="clear" w:color="auto" w:fill="DCE2EF"/>
          </w:tcPr>
          <w:p>
            <w:pPr>
              <w:spacing w:after="0"/>
              <w:rPr>
                <w:sz w:val="15"/>
                <w:szCs w:val="15"/>
                <w:color w:val="auto"/>
              </w:rPr>
            </w:pPr>
          </w:p>
        </w:tc>
        <w:tc>
          <w:tcPr>
            <w:tcW w:w="80" w:type="dxa"/>
            <w:vAlign w:val="bottom"/>
            <w:tcBorders>
              <w:top w:val="single" w:sz="8" w:color="DCE2EF"/>
              <w:bottom w:val="single" w:sz="8" w:color="DCE2EF"/>
            </w:tcBorders>
            <w:shd w:val="clear" w:color="auto" w:fill="DCE2EF"/>
          </w:tcPr>
          <w:p>
            <w:pPr>
              <w:spacing w:after="0"/>
              <w:rPr>
                <w:sz w:val="15"/>
                <w:szCs w:val="15"/>
                <w:color w:val="auto"/>
              </w:rPr>
            </w:pPr>
          </w:p>
        </w:tc>
        <w:tc>
          <w:tcPr>
            <w:tcW w:w="40" w:type="dxa"/>
            <w:vAlign w:val="bottom"/>
            <w:tcBorders>
              <w:top w:val="single" w:sz="8" w:color="DCE2EF"/>
              <w:bottom w:val="single" w:sz="8" w:color="DCE2EF"/>
            </w:tcBorders>
            <w:shd w:val="clear" w:color="auto" w:fill="DCE2EF"/>
          </w:tcPr>
          <w:p>
            <w:pPr>
              <w:spacing w:after="0"/>
              <w:rPr>
                <w:sz w:val="15"/>
                <w:szCs w:val="15"/>
                <w:color w:val="auto"/>
              </w:rPr>
            </w:pPr>
          </w:p>
        </w:tc>
        <w:tc>
          <w:tcPr>
            <w:tcW w:w="40" w:type="dxa"/>
            <w:vAlign w:val="bottom"/>
            <w:tcBorders>
              <w:top w:val="single" w:sz="8" w:color="DCE2EF"/>
              <w:bottom w:val="single" w:sz="8" w:color="DCE2EF"/>
            </w:tcBorders>
            <w:gridSpan w:val="3"/>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80" w:type="dxa"/>
            <w:vAlign w:val="bottom"/>
            <w:tcBorders>
              <w:top w:val="single" w:sz="8" w:color="DCE2EF"/>
              <w:bottom w:val="single" w:sz="8" w:color="DCE2EF"/>
            </w:tcBorders>
            <w:gridSpan w:val="4"/>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14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760" w:type="dxa"/>
            <w:vAlign w:val="bottom"/>
            <w:tcBorders>
              <w:top w:val="single" w:sz="8" w:color="DCE2EF"/>
              <w:bottom w:val="single" w:sz="8" w:color="DCE2EF"/>
            </w:tcBorders>
            <w:shd w:val="clear" w:color="auto" w:fill="DCE2EF"/>
          </w:tcPr>
          <w:p>
            <w:pPr>
              <w:spacing w:after="0"/>
              <w:rPr>
                <w:sz w:val="15"/>
                <w:szCs w:val="15"/>
                <w:color w:val="auto"/>
              </w:rPr>
            </w:pPr>
          </w:p>
        </w:tc>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1000" w:type="dxa"/>
            <w:vAlign w:val="bottom"/>
            <w:tcBorders>
              <w:top w:val="single" w:sz="8" w:color="DCE2EF"/>
              <w:bottom w:val="single" w:sz="8" w:color="DCE2EF"/>
            </w:tcBorders>
            <w:shd w:val="clear" w:color="auto" w:fill="DCE2EF"/>
          </w:tcPr>
          <w:p>
            <w:pPr>
              <w:spacing w:after="0"/>
              <w:rPr>
                <w:sz w:val="15"/>
                <w:szCs w:val="15"/>
                <w:color w:val="auto"/>
              </w:rPr>
            </w:pPr>
          </w:p>
        </w:tc>
        <w:tc>
          <w:tcPr>
            <w:tcW w:w="216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9"/>
        </w:trPr>
        <w:tc>
          <w:tcPr>
            <w:tcW w:w="1360" w:type="dxa"/>
            <w:vAlign w:val="bottom"/>
          </w:tcPr>
          <w:p>
            <w:pPr>
              <w:jc w:val="right"/>
              <w:ind w:right="730"/>
              <w:spacing w:after="0" w:line="189" w:lineRule="exact"/>
              <w:rPr>
                <w:sz w:val="20"/>
                <w:szCs w:val="20"/>
                <w:color w:val="auto"/>
              </w:rPr>
            </w:pPr>
            <w:r>
              <w:rPr>
                <w:rFonts w:ascii="Arial" w:cs="Arial" w:eastAsia="Arial" w:hAnsi="Arial"/>
                <w:sz w:val="18"/>
                <w:szCs w:val="18"/>
                <w:color w:val="auto"/>
                <w:w w:val="99"/>
              </w:rPr>
              <w:t>10.28*</w:t>
            </w:r>
          </w:p>
        </w:tc>
        <w:tc>
          <w:tcPr>
            <w:tcW w:w="3780" w:type="dxa"/>
            <w:vAlign w:val="bottom"/>
            <w:tcBorders>
              <w:bottom w:val="single" w:sz="8" w:color="0000FF"/>
            </w:tcBorders>
            <w:gridSpan w:val="17"/>
          </w:tcPr>
          <w:p>
            <w:pPr>
              <w:spacing w:after="0" w:line="189" w:lineRule="exact"/>
              <w:rPr>
                <w:rFonts w:ascii="Arial" w:cs="Arial" w:eastAsia="Arial" w:hAnsi="Arial"/>
                <w:sz w:val="18"/>
                <w:szCs w:val="18"/>
                <w:color w:val="0000FF"/>
                <w:w w:val="99"/>
              </w:rPr>
            </w:pPr>
            <w:hyperlink r:id="rId200">
              <w:r>
                <w:rPr>
                  <w:rFonts w:ascii="Arial" w:cs="Arial" w:eastAsia="Arial" w:hAnsi="Arial"/>
                  <w:sz w:val="18"/>
                  <w:szCs w:val="18"/>
                  <w:color w:val="0000FF"/>
                  <w:w w:val="99"/>
                </w:rPr>
                <w:t>Amended and Restated Executive Employment</w:t>
              </w:r>
            </w:hyperlink>
          </w:p>
        </w:tc>
        <w:tc>
          <w:tcPr>
            <w:tcW w:w="840" w:type="dxa"/>
            <w:vAlign w:val="bottom"/>
            <w:gridSpan w:val="24"/>
          </w:tcPr>
          <w:p>
            <w:pPr>
              <w:spacing w:after="0"/>
              <w:rPr>
                <w:sz w:val="16"/>
                <w:szCs w:val="16"/>
                <w:color w:val="auto"/>
              </w:rPr>
            </w:pPr>
          </w:p>
        </w:tc>
        <w:tc>
          <w:tcPr>
            <w:tcW w:w="760" w:type="dxa"/>
            <w:vAlign w:val="bottom"/>
          </w:tcPr>
          <w:p>
            <w:pPr>
              <w:ind w:left="140"/>
              <w:spacing w:after="0" w:line="189" w:lineRule="exact"/>
              <w:rPr>
                <w:sz w:val="20"/>
                <w:szCs w:val="20"/>
                <w:color w:val="auto"/>
              </w:rPr>
            </w:pPr>
            <w:r>
              <w:rPr>
                <w:rFonts w:ascii="Arial" w:cs="Arial" w:eastAsia="Arial" w:hAnsi="Arial"/>
                <w:sz w:val="18"/>
                <w:szCs w:val="18"/>
                <w:color w:val="auto"/>
              </w:rPr>
              <w:t>10-K</w:t>
            </w:r>
          </w:p>
        </w:tc>
        <w:tc>
          <w:tcPr>
            <w:tcW w:w="13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97"/>
              </w:rPr>
              <w:t>10.28</w:t>
            </w:r>
          </w:p>
        </w:tc>
        <w:tc>
          <w:tcPr>
            <w:tcW w:w="2160" w:type="dxa"/>
            <w:vAlign w:val="bottom"/>
          </w:tcPr>
          <w:p>
            <w:pPr>
              <w:jc w:val="center"/>
              <w:spacing w:after="0" w:line="189" w:lineRule="exact"/>
              <w:rPr>
                <w:sz w:val="20"/>
                <w:szCs w:val="20"/>
                <w:color w:val="auto"/>
              </w:rPr>
            </w:pPr>
            <w:r>
              <w:rPr>
                <w:rFonts w:ascii="Arial" w:cs="Arial" w:eastAsia="Arial" w:hAnsi="Arial"/>
                <w:sz w:val="18"/>
                <w:szCs w:val="18"/>
                <w:color w:val="auto"/>
                <w:w w:val="99"/>
              </w:rPr>
              <w:t>December 22, 2017</w:t>
            </w:r>
          </w:p>
        </w:tc>
      </w:tr>
      <w:tr>
        <w:trPr>
          <w:trHeight w:val="155"/>
        </w:trPr>
        <w:tc>
          <w:tcPr>
            <w:tcW w:w="1360" w:type="dxa"/>
            <w:vAlign w:val="bottom"/>
          </w:tcPr>
          <w:p>
            <w:pPr>
              <w:spacing w:after="0"/>
              <w:rPr>
                <w:sz w:val="13"/>
                <w:szCs w:val="13"/>
                <w:color w:val="auto"/>
              </w:rPr>
            </w:pPr>
          </w:p>
        </w:tc>
        <w:tc>
          <w:tcPr>
            <w:tcW w:w="4200" w:type="dxa"/>
            <w:vAlign w:val="bottom"/>
            <w:tcBorders>
              <w:bottom w:val="single" w:sz="8" w:color="0000FF"/>
            </w:tcBorders>
            <w:gridSpan w:val="23"/>
          </w:tcPr>
          <w:p>
            <w:pPr>
              <w:spacing w:after="0" w:line="156" w:lineRule="exact"/>
              <w:rPr>
                <w:rFonts w:ascii="Arial" w:cs="Arial" w:eastAsia="Arial" w:hAnsi="Arial"/>
                <w:sz w:val="18"/>
                <w:szCs w:val="18"/>
                <w:color w:val="0000FF"/>
                <w:w w:val="99"/>
              </w:rPr>
            </w:pPr>
            <w:hyperlink r:id="rId200">
              <w:r>
                <w:rPr>
                  <w:rFonts w:ascii="Arial" w:cs="Arial" w:eastAsia="Arial" w:hAnsi="Arial"/>
                  <w:sz w:val="18"/>
                  <w:szCs w:val="18"/>
                  <w:color w:val="0000FF"/>
                  <w:w w:val="99"/>
                </w:rPr>
                <w:t>Agreement, dated as of September 22, 2017, by and</w:t>
              </w:r>
            </w:hyperlink>
          </w:p>
        </w:tc>
        <w:tc>
          <w:tcPr>
            <w:tcW w:w="420" w:type="dxa"/>
            <w:vAlign w:val="bottom"/>
            <w:gridSpan w:val="18"/>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4620" w:type="dxa"/>
            <w:vAlign w:val="bottom"/>
            <w:gridSpan w:val="41"/>
          </w:tcPr>
          <w:p>
            <w:pPr>
              <w:spacing w:after="0" w:line="156" w:lineRule="exact"/>
              <w:rPr>
                <w:rFonts w:ascii="Arial" w:cs="Arial" w:eastAsia="Arial" w:hAnsi="Arial"/>
                <w:sz w:val="18"/>
                <w:szCs w:val="18"/>
                <w:color w:val="0000FF"/>
              </w:rPr>
            </w:pPr>
            <w:hyperlink r:id="rId200">
              <w:r>
                <w:rPr>
                  <w:rFonts w:ascii="Arial" w:cs="Arial" w:eastAsia="Arial" w:hAnsi="Arial"/>
                  <w:sz w:val="18"/>
                  <w:szCs w:val="18"/>
                  <w:color w:val="0000FF"/>
                </w:rPr>
                <w:t>between ABM Industries Incorporated and Scott Salmirs</w:t>
              </w:r>
            </w:hyperlink>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94967277"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9"/>
        </w:trPr>
        <w:tc>
          <w:tcPr>
            <w:tcW w:w="1360" w:type="dxa"/>
            <w:vAlign w:val="bottom"/>
            <w:shd w:val="clear" w:color="auto" w:fill="DCE2EF"/>
          </w:tcPr>
          <w:p>
            <w:pPr>
              <w:jc w:val="right"/>
              <w:ind w:right="730"/>
              <w:spacing w:after="0" w:line="189" w:lineRule="exact"/>
              <w:rPr>
                <w:sz w:val="20"/>
                <w:szCs w:val="20"/>
                <w:color w:val="auto"/>
              </w:rPr>
            </w:pPr>
            <w:r>
              <w:rPr>
                <w:rFonts w:ascii="Arial" w:cs="Arial" w:eastAsia="Arial" w:hAnsi="Arial"/>
                <w:sz w:val="18"/>
                <w:szCs w:val="18"/>
                <w:color w:val="auto"/>
                <w:w w:val="99"/>
              </w:rPr>
              <w:t>10.29*</w:t>
            </w:r>
          </w:p>
        </w:tc>
        <w:tc>
          <w:tcPr>
            <w:tcW w:w="4620" w:type="dxa"/>
            <w:vAlign w:val="bottom"/>
            <w:gridSpan w:val="41"/>
            <w:shd w:val="clear" w:color="auto" w:fill="DCE2EF"/>
          </w:tcPr>
          <w:p>
            <w:pPr>
              <w:spacing w:after="0" w:line="189" w:lineRule="exact"/>
              <w:rPr>
                <w:rFonts w:ascii="Arial" w:cs="Arial" w:eastAsia="Arial" w:hAnsi="Arial"/>
                <w:sz w:val="18"/>
                <w:szCs w:val="18"/>
                <w:color w:val="0000FF"/>
              </w:rPr>
            </w:pPr>
            <w:hyperlink r:id="rId201">
              <w:r>
                <w:rPr>
                  <w:rFonts w:ascii="Arial" w:cs="Arial" w:eastAsia="Arial" w:hAnsi="Arial"/>
                  <w:sz w:val="18"/>
                  <w:szCs w:val="18"/>
                  <w:color w:val="0000FF"/>
                </w:rPr>
                <w:t>Amended and Restated Change in Control Agreement,</w:t>
              </w:r>
            </w:hyperlink>
          </w:p>
        </w:tc>
        <w:tc>
          <w:tcPr>
            <w:tcW w:w="760" w:type="dxa"/>
            <w:vAlign w:val="bottom"/>
            <w:shd w:val="clear" w:color="auto" w:fill="DCE2EF"/>
          </w:tcPr>
          <w:p>
            <w:pPr>
              <w:ind w:left="140"/>
              <w:spacing w:after="0" w:line="189" w:lineRule="exact"/>
              <w:rPr>
                <w:sz w:val="20"/>
                <w:szCs w:val="20"/>
                <w:color w:val="auto"/>
              </w:rPr>
            </w:pPr>
            <w:r>
              <w:rPr>
                <w:rFonts w:ascii="Arial" w:cs="Arial" w:eastAsia="Arial" w:hAnsi="Arial"/>
                <w:sz w:val="18"/>
                <w:szCs w:val="18"/>
                <w:color w:val="auto"/>
              </w:rPr>
              <w:t>10-K</w:t>
            </w:r>
          </w:p>
        </w:tc>
        <w:tc>
          <w:tcPr>
            <w:tcW w:w="1340" w:type="dxa"/>
            <w:vAlign w:val="bottom"/>
            <w:shd w:val="clear" w:color="auto" w:fill="DCE2EF"/>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7"/>
              </w:rPr>
              <w:t>10.29</w:t>
            </w:r>
          </w:p>
        </w:tc>
        <w:tc>
          <w:tcPr>
            <w:tcW w:w="216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December 22, 2017</w:t>
            </w:r>
          </w:p>
        </w:tc>
      </w:tr>
      <w:tr>
        <w:trPr>
          <w:trHeight w:val="156"/>
        </w:trPr>
        <w:tc>
          <w:tcPr>
            <w:tcW w:w="1360" w:type="dxa"/>
            <w:vAlign w:val="bottom"/>
            <w:tcBorders>
              <w:top w:val="single" w:sz="8" w:color="DCE2EF"/>
              <w:bottom w:val="single" w:sz="8" w:color="DCE2EF"/>
            </w:tcBorders>
            <w:shd w:val="clear" w:color="auto" w:fill="DCE2EF"/>
          </w:tcPr>
          <w:p>
            <w:pPr>
              <w:spacing w:after="0"/>
              <w:rPr>
                <w:sz w:val="13"/>
                <w:szCs w:val="13"/>
                <w:color w:val="auto"/>
              </w:rPr>
            </w:pPr>
          </w:p>
        </w:tc>
        <w:tc>
          <w:tcPr>
            <w:tcW w:w="4420" w:type="dxa"/>
            <w:vAlign w:val="bottom"/>
            <w:tcBorders>
              <w:top w:val="single" w:sz="8" w:color="0000FF"/>
              <w:bottom w:val="single" w:sz="8" w:color="0000FF"/>
            </w:tcBorders>
            <w:gridSpan w:val="34"/>
            <w:shd w:val="clear" w:color="auto" w:fill="DCE2EF"/>
          </w:tcPr>
          <w:p>
            <w:pPr>
              <w:spacing w:after="0" w:line="156" w:lineRule="exact"/>
              <w:rPr>
                <w:rFonts w:ascii="Arial" w:cs="Arial" w:eastAsia="Arial" w:hAnsi="Arial"/>
                <w:sz w:val="18"/>
                <w:szCs w:val="18"/>
                <w:color w:val="0000FF"/>
              </w:rPr>
            </w:pPr>
            <w:hyperlink r:id="rId201">
              <w:r>
                <w:rPr>
                  <w:rFonts w:ascii="Arial" w:cs="Arial" w:eastAsia="Arial" w:hAnsi="Arial"/>
                  <w:sz w:val="18"/>
                  <w:szCs w:val="18"/>
                  <w:color w:val="0000FF"/>
                </w:rPr>
                <w:t>dated as of September 22, 2017, by and between ABM</w:t>
              </w:r>
            </w:hyperlink>
          </w:p>
        </w:tc>
        <w:tc>
          <w:tcPr>
            <w:tcW w:w="20" w:type="dxa"/>
            <w:vAlign w:val="bottom"/>
            <w:tcBorders>
              <w:top w:val="single" w:sz="8" w:color="DCE2EF"/>
              <w:bottom w:val="single" w:sz="8" w:color="0000FF"/>
            </w:tcBorders>
            <w:shd w:val="clear" w:color="auto" w:fill="DCE2EF"/>
          </w:tcPr>
          <w:p>
            <w:pPr>
              <w:spacing w:after="0"/>
              <w:rPr>
                <w:sz w:val="13"/>
                <w:szCs w:val="13"/>
                <w:color w:val="auto"/>
              </w:rPr>
            </w:pPr>
          </w:p>
        </w:tc>
        <w:tc>
          <w:tcPr>
            <w:tcW w:w="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14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760" w:type="dxa"/>
            <w:vAlign w:val="bottom"/>
            <w:tcBorders>
              <w:top w:val="single" w:sz="8" w:color="DCE2EF"/>
              <w:bottom w:val="single" w:sz="8" w:color="DCE2EF"/>
            </w:tcBorders>
            <w:shd w:val="clear" w:color="auto" w:fill="DCE2EF"/>
          </w:tcPr>
          <w:p>
            <w:pPr>
              <w:spacing w:after="0"/>
              <w:rPr>
                <w:sz w:val="13"/>
                <w:szCs w:val="13"/>
                <w:color w:val="auto"/>
              </w:rPr>
            </w:pPr>
          </w:p>
        </w:tc>
        <w:tc>
          <w:tcPr>
            <w:tcW w:w="1340" w:type="dxa"/>
            <w:vAlign w:val="bottom"/>
            <w:tcBorders>
              <w:top w:val="single" w:sz="8" w:color="DCE2EF"/>
              <w:bottom w:val="single" w:sz="8" w:color="DCE2EF"/>
            </w:tcBorders>
            <w:shd w:val="clear" w:color="auto" w:fill="DCE2EF"/>
          </w:tcPr>
          <w:p>
            <w:pPr>
              <w:spacing w:after="0"/>
              <w:rPr>
                <w:sz w:val="13"/>
                <w:szCs w:val="13"/>
                <w:color w:val="auto"/>
              </w:rPr>
            </w:pPr>
          </w:p>
        </w:tc>
        <w:tc>
          <w:tcPr>
            <w:tcW w:w="1000" w:type="dxa"/>
            <w:vAlign w:val="bottom"/>
            <w:tcBorders>
              <w:top w:val="single" w:sz="8" w:color="DCE2EF"/>
              <w:bottom w:val="single" w:sz="8" w:color="DCE2EF"/>
            </w:tcBorders>
            <w:shd w:val="clear" w:color="auto" w:fill="DCE2EF"/>
          </w:tcPr>
          <w:p>
            <w:pPr>
              <w:spacing w:after="0"/>
              <w:rPr>
                <w:sz w:val="13"/>
                <w:szCs w:val="13"/>
                <w:color w:val="auto"/>
              </w:rPr>
            </w:pPr>
          </w:p>
        </w:tc>
        <w:tc>
          <w:tcPr>
            <w:tcW w:w="2160" w:type="dxa"/>
            <w:vAlign w:val="bottom"/>
            <w:tcBorders>
              <w:top w:val="single" w:sz="8" w:color="DCE2EF"/>
              <w:bottom w:val="single" w:sz="8" w:color="DCE2EF"/>
            </w:tcBorders>
            <w:shd w:val="clear" w:color="auto" w:fill="DCE2EF"/>
          </w:tcPr>
          <w:p>
            <w:pPr>
              <w:spacing w:after="0"/>
              <w:rPr>
                <w:sz w:val="13"/>
                <w:szCs w:val="13"/>
                <w:color w:val="auto"/>
              </w:rPr>
            </w:pPr>
          </w:p>
        </w:tc>
      </w:tr>
      <w:tr>
        <w:trPr>
          <w:trHeight w:val="156"/>
        </w:trPr>
        <w:tc>
          <w:tcPr>
            <w:tcW w:w="1360" w:type="dxa"/>
            <w:vAlign w:val="bottom"/>
            <w:shd w:val="clear" w:color="auto" w:fill="DCE2EF"/>
          </w:tcPr>
          <w:p>
            <w:pPr>
              <w:spacing w:after="0"/>
              <w:rPr>
                <w:sz w:val="13"/>
                <w:szCs w:val="13"/>
                <w:color w:val="auto"/>
              </w:rPr>
            </w:pPr>
          </w:p>
        </w:tc>
        <w:tc>
          <w:tcPr>
            <w:tcW w:w="4440" w:type="dxa"/>
            <w:vAlign w:val="bottom"/>
            <w:gridSpan w:val="35"/>
            <w:shd w:val="clear" w:color="auto" w:fill="DCE2EF"/>
          </w:tcPr>
          <w:p>
            <w:pPr>
              <w:spacing w:after="0" w:line="156" w:lineRule="exact"/>
              <w:rPr>
                <w:rFonts w:ascii="Arial" w:cs="Arial" w:eastAsia="Arial" w:hAnsi="Arial"/>
                <w:sz w:val="18"/>
                <w:szCs w:val="18"/>
                <w:color w:val="0000FF"/>
              </w:rPr>
            </w:pPr>
            <w:hyperlink r:id="rId201">
              <w:r>
                <w:rPr>
                  <w:rFonts w:ascii="Arial" w:cs="Arial" w:eastAsia="Arial" w:hAnsi="Arial"/>
                  <w:sz w:val="18"/>
                  <w:szCs w:val="18"/>
                  <w:color w:val="0000FF"/>
                </w:rPr>
                <w:t>Industries Incorporated and Scott Salmirs</w:t>
              </w:r>
            </w:hyperlink>
          </w:p>
        </w:tc>
        <w:tc>
          <w:tcPr>
            <w:tcW w:w="0" w:type="dxa"/>
            <w:vAlign w:val="bottom"/>
            <w:gridSpan w:val="2"/>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140" w:type="dxa"/>
            <w:vAlign w:val="bottom"/>
            <w:gridSpan w:val="2"/>
            <w:shd w:val="clear" w:color="auto" w:fill="DCE2EF"/>
          </w:tcPr>
          <w:p>
            <w:pPr>
              <w:spacing w:after="0"/>
              <w:rPr>
                <w:sz w:val="13"/>
                <w:szCs w:val="13"/>
                <w:color w:val="auto"/>
              </w:rPr>
            </w:pPr>
          </w:p>
        </w:tc>
        <w:tc>
          <w:tcPr>
            <w:tcW w:w="760" w:type="dxa"/>
            <w:vAlign w:val="bottom"/>
            <w:shd w:val="clear" w:color="auto" w:fill="DCE2EF"/>
          </w:tcPr>
          <w:p>
            <w:pPr>
              <w:spacing w:after="0"/>
              <w:rPr>
                <w:sz w:val="13"/>
                <w:szCs w:val="13"/>
                <w:color w:val="auto"/>
              </w:rPr>
            </w:pPr>
          </w:p>
        </w:tc>
        <w:tc>
          <w:tcPr>
            <w:tcW w:w="1340" w:type="dxa"/>
            <w:vAlign w:val="bottom"/>
            <w:shd w:val="clear" w:color="auto" w:fill="DCE2EF"/>
          </w:tcPr>
          <w:p>
            <w:pPr>
              <w:spacing w:after="0"/>
              <w:rPr>
                <w:sz w:val="13"/>
                <w:szCs w:val="13"/>
                <w:color w:val="auto"/>
              </w:rPr>
            </w:pPr>
          </w:p>
        </w:tc>
        <w:tc>
          <w:tcPr>
            <w:tcW w:w="1000" w:type="dxa"/>
            <w:vAlign w:val="bottom"/>
            <w:shd w:val="clear" w:color="auto" w:fill="DCE2EF"/>
          </w:tcPr>
          <w:p>
            <w:pPr>
              <w:spacing w:after="0"/>
              <w:rPr>
                <w:sz w:val="13"/>
                <w:szCs w:val="13"/>
                <w:color w:val="auto"/>
              </w:rPr>
            </w:pPr>
          </w:p>
        </w:tc>
        <w:tc>
          <w:tcPr>
            <w:tcW w:w="2160" w:type="dxa"/>
            <w:vAlign w:val="bottom"/>
            <w:shd w:val="clear" w:color="auto" w:fill="DCE2EF"/>
          </w:tcPr>
          <w:p>
            <w:pPr>
              <w:spacing w:after="0"/>
              <w:rPr>
                <w:sz w:val="13"/>
                <w:szCs w:val="13"/>
                <w:color w:val="auto"/>
              </w:rPr>
            </w:pPr>
          </w:p>
        </w:tc>
      </w:tr>
      <w:tr>
        <w:trPr>
          <w:trHeight w:val="20"/>
        </w:trPr>
        <w:tc>
          <w:tcPr>
            <w:tcW w:w="1360" w:type="dxa"/>
            <w:vAlign w:val="bottom"/>
            <w:tcBorders>
              <w:top w:val="single" w:sz="8" w:color="DCE2EF"/>
            </w:tcBorders>
            <w:shd w:val="clear" w:color="auto" w:fill="DCE2EF"/>
          </w:tcPr>
          <w:p>
            <w:pPr>
              <w:spacing w:after="0" w:line="20" w:lineRule="exact"/>
              <w:rPr>
                <w:sz w:val="1"/>
                <w:szCs w:val="1"/>
                <w:color w:val="auto"/>
              </w:rPr>
            </w:pPr>
          </w:p>
        </w:tc>
        <w:tc>
          <w:tcPr>
            <w:tcW w:w="360" w:type="dxa"/>
            <w:vAlign w:val="bottom"/>
            <w:tcBorders>
              <w:top w:val="single" w:sz="8" w:color="0000FF"/>
            </w:tcBorders>
            <w:shd w:val="clear" w:color="auto" w:fill="DCE2EF"/>
          </w:tcPr>
          <w:p>
            <w:pPr>
              <w:spacing w:after="0" w:line="20" w:lineRule="exact"/>
              <w:rPr>
                <w:sz w:val="1"/>
                <w:szCs w:val="1"/>
                <w:color w:val="auto"/>
              </w:rPr>
            </w:pPr>
          </w:p>
        </w:tc>
        <w:tc>
          <w:tcPr>
            <w:tcW w:w="40" w:type="dxa"/>
            <w:vAlign w:val="bottom"/>
            <w:tcBorders>
              <w:top w:val="single" w:sz="8" w:color="0000FF"/>
            </w:tcBorders>
            <w:shd w:val="clear" w:color="auto" w:fill="DCE2EF"/>
          </w:tcPr>
          <w:p>
            <w:pPr>
              <w:spacing w:after="0" w:line="20" w:lineRule="exact"/>
              <w:rPr>
                <w:sz w:val="1"/>
                <w:szCs w:val="1"/>
                <w:color w:val="auto"/>
              </w:rPr>
            </w:pPr>
          </w:p>
        </w:tc>
        <w:tc>
          <w:tcPr>
            <w:tcW w:w="200" w:type="dxa"/>
            <w:vAlign w:val="bottom"/>
            <w:tcBorders>
              <w:top w:val="single" w:sz="8" w:color="0000FF"/>
            </w:tcBorders>
            <w:shd w:val="clear" w:color="auto" w:fill="DCE2EF"/>
          </w:tcPr>
          <w:p>
            <w:pPr>
              <w:spacing w:after="0" w:line="20" w:lineRule="exact"/>
              <w:rPr>
                <w:sz w:val="1"/>
                <w:szCs w:val="1"/>
                <w:color w:val="auto"/>
              </w:rPr>
            </w:pPr>
          </w:p>
        </w:tc>
        <w:tc>
          <w:tcPr>
            <w:tcW w:w="180" w:type="dxa"/>
            <w:vAlign w:val="bottom"/>
            <w:tcBorders>
              <w:top w:val="single" w:sz="8" w:color="0000FF"/>
            </w:tcBorders>
            <w:shd w:val="clear" w:color="auto" w:fill="DCE2EF"/>
          </w:tcPr>
          <w:p>
            <w:pPr>
              <w:spacing w:after="0" w:line="20" w:lineRule="exact"/>
              <w:rPr>
                <w:sz w:val="1"/>
                <w:szCs w:val="1"/>
                <w:color w:val="auto"/>
              </w:rPr>
            </w:pPr>
          </w:p>
        </w:tc>
        <w:tc>
          <w:tcPr>
            <w:tcW w:w="260" w:type="dxa"/>
            <w:vAlign w:val="bottom"/>
            <w:tcBorders>
              <w:top w:val="single" w:sz="8" w:color="0000FF"/>
            </w:tcBorders>
            <w:shd w:val="clear" w:color="auto" w:fill="DCE2EF"/>
          </w:tcPr>
          <w:p>
            <w:pPr>
              <w:spacing w:after="0" w:line="20" w:lineRule="exact"/>
              <w:rPr>
                <w:sz w:val="1"/>
                <w:szCs w:val="1"/>
                <w:color w:val="auto"/>
              </w:rPr>
            </w:pPr>
          </w:p>
        </w:tc>
        <w:tc>
          <w:tcPr>
            <w:tcW w:w="200" w:type="dxa"/>
            <w:vAlign w:val="bottom"/>
            <w:tcBorders>
              <w:top w:val="single" w:sz="8" w:color="0000FF"/>
            </w:tcBorders>
            <w:shd w:val="clear" w:color="auto" w:fill="DCE2EF"/>
          </w:tcPr>
          <w:p>
            <w:pPr>
              <w:spacing w:after="0" w:line="20" w:lineRule="exact"/>
              <w:rPr>
                <w:sz w:val="1"/>
                <w:szCs w:val="1"/>
                <w:color w:val="auto"/>
              </w:rPr>
            </w:pPr>
          </w:p>
        </w:tc>
        <w:tc>
          <w:tcPr>
            <w:tcW w:w="20" w:type="dxa"/>
            <w:vAlign w:val="bottom"/>
            <w:tcBorders>
              <w:top w:val="single" w:sz="8" w:color="0000FF"/>
            </w:tcBorders>
            <w:shd w:val="clear" w:color="auto" w:fill="DCE2EF"/>
          </w:tcPr>
          <w:p>
            <w:pPr>
              <w:spacing w:after="0" w:line="20" w:lineRule="exact"/>
              <w:rPr>
                <w:sz w:val="1"/>
                <w:szCs w:val="1"/>
                <w:color w:val="auto"/>
              </w:rPr>
            </w:pPr>
          </w:p>
        </w:tc>
        <w:tc>
          <w:tcPr>
            <w:tcW w:w="340" w:type="dxa"/>
            <w:vAlign w:val="bottom"/>
            <w:tcBorders>
              <w:top w:val="single" w:sz="8" w:color="0000FF"/>
            </w:tcBorders>
            <w:shd w:val="clear" w:color="auto" w:fill="DCE2EF"/>
          </w:tcPr>
          <w:p>
            <w:pPr>
              <w:spacing w:after="0" w:line="20" w:lineRule="exact"/>
              <w:rPr>
                <w:sz w:val="1"/>
                <w:szCs w:val="1"/>
                <w:color w:val="auto"/>
              </w:rPr>
            </w:pPr>
          </w:p>
        </w:tc>
        <w:tc>
          <w:tcPr>
            <w:tcW w:w="100" w:type="dxa"/>
            <w:vAlign w:val="bottom"/>
            <w:tcBorders>
              <w:top w:val="single" w:sz="8" w:color="0000FF"/>
            </w:tcBorders>
            <w:shd w:val="clear" w:color="auto" w:fill="DCE2EF"/>
          </w:tcPr>
          <w:p>
            <w:pPr>
              <w:spacing w:after="0" w:line="20" w:lineRule="exact"/>
              <w:rPr>
                <w:sz w:val="1"/>
                <w:szCs w:val="1"/>
                <w:color w:val="auto"/>
              </w:rPr>
            </w:pPr>
          </w:p>
        </w:tc>
        <w:tc>
          <w:tcPr>
            <w:tcW w:w="160" w:type="dxa"/>
            <w:vAlign w:val="bottom"/>
            <w:tcBorders>
              <w:top w:val="single" w:sz="8" w:color="0000FF"/>
            </w:tcBorders>
            <w:shd w:val="clear" w:color="auto" w:fill="DCE2EF"/>
          </w:tcPr>
          <w:p>
            <w:pPr>
              <w:spacing w:after="0" w:line="20" w:lineRule="exact"/>
              <w:rPr>
                <w:sz w:val="1"/>
                <w:szCs w:val="1"/>
                <w:color w:val="auto"/>
              </w:rPr>
            </w:pPr>
          </w:p>
        </w:tc>
        <w:tc>
          <w:tcPr>
            <w:tcW w:w="240" w:type="dxa"/>
            <w:vAlign w:val="bottom"/>
            <w:tcBorders>
              <w:top w:val="single" w:sz="8" w:color="0000FF"/>
            </w:tcBorders>
            <w:shd w:val="clear" w:color="auto" w:fill="DCE2EF"/>
          </w:tcPr>
          <w:p>
            <w:pPr>
              <w:spacing w:after="0" w:line="20" w:lineRule="exact"/>
              <w:rPr>
                <w:sz w:val="1"/>
                <w:szCs w:val="1"/>
                <w:color w:val="auto"/>
              </w:rPr>
            </w:pPr>
          </w:p>
        </w:tc>
        <w:tc>
          <w:tcPr>
            <w:tcW w:w="340" w:type="dxa"/>
            <w:vAlign w:val="bottom"/>
            <w:tcBorders>
              <w:top w:val="single" w:sz="8" w:color="0000FF"/>
            </w:tcBorders>
            <w:shd w:val="clear" w:color="auto" w:fill="DCE2EF"/>
          </w:tcPr>
          <w:p>
            <w:pPr>
              <w:spacing w:after="0" w:line="20" w:lineRule="exact"/>
              <w:rPr>
                <w:sz w:val="1"/>
                <w:szCs w:val="1"/>
                <w:color w:val="auto"/>
              </w:rPr>
            </w:pPr>
          </w:p>
        </w:tc>
        <w:tc>
          <w:tcPr>
            <w:tcW w:w="200" w:type="dxa"/>
            <w:vAlign w:val="bottom"/>
            <w:tcBorders>
              <w:top w:val="single" w:sz="8" w:color="0000FF"/>
            </w:tcBorders>
            <w:shd w:val="clear" w:color="auto" w:fill="DCE2EF"/>
          </w:tcPr>
          <w:p>
            <w:pPr>
              <w:spacing w:after="0" w:line="20" w:lineRule="exact"/>
              <w:rPr>
                <w:sz w:val="1"/>
                <w:szCs w:val="1"/>
                <w:color w:val="auto"/>
              </w:rPr>
            </w:pPr>
          </w:p>
        </w:tc>
        <w:tc>
          <w:tcPr>
            <w:tcW w:w="660" w:type="dxa"/>
            <w:vAlign w:val="bottom"/>
            <w:tcBorders>
              <w:top w:val="single" w:sz="8" w:color="0000FF"/>
            </w:tcBorders>
            <w:shd w:val="clear" w:color="auto" w:fill="DCE2EF"/>
          </w:tcPr>
          <w:p>
            <w:pPr>
              <w:spacing w:after="0" w:line="20" w:lineRule="exact"/>
              <w:rPr>
                <w:sz w:val="1"/>
                <w:szCs w:val="1"/>
                <w:color w:val="auto"/>
              </w:rPr>
            </w:pPr>
          </w:p>
        </w:tc>
        <w:tc>
          <w:tcPr>
            <w:tcW w:w="180" w:type="dxa"/>
            <w:vAlign w:val="bottom"/>
            <w:tcBorders>
              <w:top w:val="single" w:sz="8" w:color="DCE2EF"/>
            </w:tcBorders>
            <w:shd w:val="clear" w:color="auto" w:fill="DCE2EF"/>
          </w:tcPr>
          <w:p>
            <w:pPr>
              <w:spacing w:after="0" w:line="20" w:lineRule="exact"/>
              <w:rPr>
                <w:sz w:val="1"/>
                <w:szCs w:val="1"/>
                <w:color w:val="auto"/>
              </w:rPr>
            </w:pPr>
          </w:p>
        </w:tc>
        <w:tc>
          <w:tcPr>
            <w:tcW w:w="28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10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4294967277"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120" w:type="dxa"/>
            <w:vAlign w:val="bottom"/>
            <w:tcBorders>
              <w:top w:val="single" w:sz="8" w:color="DCE2EF"/>
            </w:tcBorders>
            <w:shd w:val="clear" w:color="auto" w:fill="DCE2EF"/>
          </w:tcPr>
          <w:p>
            <w:pPr>
              <w:spacing w:after="0" w:line="20" w:lineRule="exact"/>
              <w:rPr>
                <w:sz w:val="1"/>
                <w:szCs w:val="1"/>
                <w:color w:val="auto"/>
              </w:rPr>
            </w:pPr>
          </w:p>
        </w:tc>
        <w:tc>
          <w:tcPr>
            <w:tcW w:w="760" w:type="dxa"/>
            <w:vAlign w:val="bottom"/>
            <w:tcBorders>
              <w:top w:val="single" w:sz="8" w:color="DCE2EF"/>
            </w:tcBorders>
            <w:shd w:val="clear" w:color="auto" w:fill="DCE2EF"/>
          </w:tcPr>
          <w:p>
            <w:pPr>
              <w:spacing w:after="0" w:line="20" w:lineRule="exact"/>
              <w:rPr>
                <w:sz w:val="1"/>
                <w:szCs w:val="1"/>
                <w:color w:val="auto"/>
              </w:rPr>
            </w:pPr>
          </w:p>
        </w:tc>
        <w:tc>
          <w:tcPr>
            <w:tcW w:w="1340" w:type="dxa"/>
            <w:vAlign w:val="bottom"/>
            <w:tcBorders>
              <w:top w:val="single" w:sz="8" w:color="DCE2EF"/>
            </w:tcBorders>
            <w:shd w:val="clear" w:color="auto" w:fill="DCE2EF"/>
          </w:tcPr>
          <w:p>
            <w:pPr>
              <w:spacing w:after="0" w:line="20" w:lineRule="exact"/>
              <w:rPr>
                <w:sz w:val="1"/>
                <w:szCs w:val="1"/>
                <w:color w:val="auto"/>
              </w:rPr>
            </w:pPr>
          </w:p>
        </w:tc>
        <w:tc>
          <w:tcPr>
            <w:tcW w:w="1000" w:type="dxa"/>
            <w:vAlign w:val="bottom"/>
            <w:tcBorders>
              <w:top w:val="single" w:sz="8" w:color="DCE2EF"/>
            </w:tcBorders>
            <w:shd w:val="clear" w:color="auto" w:fill="DCE2EF"/>
          </w:tcPr>
          <w:p>
            <w:pPr>
              <w:spacing w:after="0" w:line="20" w:lineRule="exact"/>
              <w:rPr>
                <w:sz w:val="1"/>
                <w:szCs w:val="1"/>
                <w:color w:val="auto"/>
              </w:rPr>
            </w:pPr>
          </w:p>
        </w:tc>
        <w:tc>
          <w:tcPr>
            <w:tcW w:w="2160" w:type="dxa"/>
            <w:vAlign w:val="bottom"/>
            <w:tcBorders>
              <w:top w:val="single" w:sz="8" w:color="DCE2EF"/>
            </w:tcBorders>
            <w:shd w:val="clear" w:color="auto" w:fill="DCE2EF"/>
          </w:tcPr>
          <w:p>
            <w:pPr>
              <w:spacing w:after="0" w:line="20" w:lineRule="exact"/>
              <w:rPr>
                <w:sz w:val="1"/>
                <w:szCs w:val="1"/>
                <w:color w:val="auto"/>
              </w:rPr>
            </w:pPr>
          </w:p>
        </w:tc>
      </w:tr>
      <w:tr>
        <w:trPr>
          <w:trHeight w:val="189"/>
        </w:trPr>
        <w:tc>
          <w:tcPr>
            <w:tcW w:w="1360" w:type="dxa"/>
            <w:vAlign w:val="bottom"/>
          </w:tcPr>
          <w:p>
            <w:pPr>
              <w:jc w:val="right"/>
              <w:ind w:right="730"/>
              <w:spacing w:after="0" w:line="189" w:lineRule="exact"/>
              <w:rPr>
                <w:sz w:val="20"/>
                <w:szCs w:val="20"/>
                <w:color w:val="auto"/>
              </w:rPr>
            </w:pPr>
            <w:r>
              <w:rPr>
                <w:rFonts w:ascii="Arial" w:cs="Arial" w:eastAsia="Arial" w:hAnsi="Arial"/>
                <w:sz w:val="18"/>
                <w:szCs w:val="18"/>
                <w:color w:val="auto"/>
                <w:w w:val="99"/>
              </w:rPr>
              <w:t>10.30*</w:t>
            </w:r>
          </w:p>
        </w:tc>
        <w:tc>
          <w:tcPr>
            <w:tcW w:w="3760" w:type="dxa"/>
            <w:vAlign w:val="bottom"/>
            <w:tcBorders>
              <w:bottom w:val="single" w:sz="8" w:color="0000FF"/>
            </w:tcBorders>
            <w:gridSpan w:val="16"/>
          </w:tcPr>
          <w:p>
            <w:pPr>
              <w:spacing w:after="0" w:line="189" w:lineRule="exact"/>
              <w:rPr>
                <w:rFonts w:ascii="Arial" w:cs="Arial" w:eastAsia="Arial" w:hAnsi="Arial"/>
                <w:sz w:val="18"/>
                <w:szCs w:val="18"/>
                <w:color w:val="0000FF"/>
                <w:w w:val="99"/>
              </w:rPr>
            </w:pPr>
            <w:hyperlink r:id="rId202">
              <w:r>
                <w:rPr>
                  <w:rFonts w:ascii="Arial" w:cs="Arial" w:eastAsia="Arial" w:hAnsi="Arial"/>
                  <w:sz w:val="18"/>
                  <w:szCs w:val="18"/>
                  <w:color w:val="0000FF"/>
                  <w:w w:val="99"/>
                </w:rPr>
                <w:t>Executive Employment Agreement, dated as of</w:t>
              </w:r>
            </w:hyperlink>
          </w:p>
        </w:tc>
        <w:tc>
          <w:tcPr>
            <w:tcW w:w="860" w:type="dxa"/>
            <w:vAlign w:val="bottom"/>
            <w:gridSpan w:val="25"/>
          </w:tcPr>
          <w:p>
            <w:pPr>
              <w:spacing w:after="0"/>
              <w:rPr>
                <w:sz w:val="16"/>
                <w:szCs w:val="16"/>
                <w:color w:val="auto"/>
              </w:rPr>
            </w:pPr>
          </w:p>
        </w:tc>
        <w:tc>
          <w:tcPr>
            <w:tcW w:w="760" w:type="dxa"/>
            <w:vAlign w:val="bottom"/>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rPr>
              <w:t>10.1</w:t>
            </w:r>
          </w:p>
        </w:tc>
        <w:tc>
          <w:tcPr>
            <w:tcW w:w="2160" w:type="dxa"/>
            <w:vAlign w:val="bottom"/>
          </w:tcPr>
          <w:p>
            <w:pPr>
              <w:jc w:val="center"/>
              <w:spacing w:after="0" w:line="189" w:lineRule="exact"/>
              <w:rPr>
                <w:sz w:val="20"/>
                <w:szCs w:val="20"/>
                <w:color w:val="auto"/>
              </w:rPr>
            </w:pPr>
            <w:r>
              <w:rPr>
                <w:rFonts w:ascii="Arial" w:cs="Arial" w:eastAsia="Arial" w:hAnsi="Arial"/>
                <w:sz w:val="18"/>
                <w:szCs w:val="18"/>
                <w:color w:val="auto"/>
                <w:w w:val="99"/>
              </w:rPr>
              <w:t>March 7, 2018</w:t>
            </w:r>
          </w:p>
        </w:tc>
      </w:tr>
      <w:tr>
        <w:trPr>
          <w:trHeight w:val="156"/>
        </w:trPr>
        <w:tc>
          <w:tcPr>
            <w:tcW w:w="1360" w:type="dxa"/>
            <w:vAlign w:val="bottom"/>
          </w:tcPr>
          <w:p>
            <w:pPr>
              <w:spacing w:after="0"/>
              <w:rPr>
                <w:sz w:val="13"/>
                <w:szCs w:val="13"/>
                <w:color w:val="auto"/>
              </w:rPr>
            </w:pPr>
          </w:p>
        </w:tc>
        <w:tc>
          <w:tcPr>
            <w:tcW w:w="4620" w:type="dxa"/>
            <w:vAlign w:val="bottom"/>
            <w:gridSpan w:val="41"/>
          </w:tcPr>
          <w:p>
            <w:pPr>
              <w:spacing w:after="0" w:line="156" w:lineRule="exact"/>
              <w:rPr>
                <w:rFonts w:ascii="Arial" w:cs="Arial" w:eastAsia="Arial" w:hAnsi="Arial"/>
                <w:sz w:val="18"/>
                <w:szCs w:val="18"/>
                <w:color w:val="0000FF"/>
              </w:rPr>
            </w:pPr>
            <w:hyperlink r:id="rId202">
              <w:r>
                <w:rPr>
                  <w:rFonts w:ascii="Arial" w:cs="Arial" w:eastAsia="Arial" w:hAnsi="Arial"/>
                  <w:sz w:val="18"/>
                  <w:szCs w:val="18"/>
                  <w:color w:val="0000FF"/>
                </w:rPr>
                <w:t>November 1, 2017, by and between ABM Industries</w:t>
              </w:r>
            </w:hyperlink>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41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202">
              <w:r>
                <w:rPr>
                  <w:rFonts w:ascii="Arial" w:cs="Arial" w:eastAsia="Arial" w:hAnsi="Arial"/>
                  <w:sz w:val="18"/>
                  <w:szCs w:val="18"/>
                  <w:color w:val="0000FF"/>
                </w:rPr>
                <w:t>Incorporated and Scott Giacobbe</w:t>
              </w:r>
            </w:hyperlink>
          </w:p>
        </w:tc>
        <w:tc>
          <w:tcPr>
            <w:tcW w:w="120" w:type="dxa"/>
            <w:vAlign w:val="bottom"/>
            <w:gridSpan w:val="2"/>
          </w:tcPr>
          <w:p>
            <w:pPr>
              <w:spacing w:after="0"/>
              <w:rPr>
                <w:sz w:val="13"/>
                <w:szCs w:val="13"/>
                <w:color w:val="auto"/>
              </w:rPr>
            </w:pPr>
          </w:p>
        </w:tc>
        <w:tc>
          <w:tcPr>
            <w:tcW w:w="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9"/>
        </w:trPr>
        <w:tc>
          <w:tcPr>
            <w:tcW w:w="1360" w:type="dxa"/>
            <w:vAlign w:val="bottom"/>
            <w:shd w:val="clear" w:color="auto" w:fill="DCE2EF"/>
          </w:tcPr>
          <w:p>
            <w:pPr>
              <w:jc w:val="right"/>
              <w:ind w:right="730"/>
              <w:spacing w:after="0" w:line="189" w:lineRule="exact"/>
              <w:rPr>
                <w:sz w:val="20"/>
                <w:szCs w:val="20"/>
                <w:color w:val="auto"/>
              </w:rPr>
            </w:pPr>
            <w:r>
              <w:rPr>
                <w:rFonts w:ascii="Arial" w:cs="Arial" w:eastAsia="Arial" w:hAnsi="Arial"/>
                <w:sz w:val="18"/>
                <w:szCs w:val="18"/>
                <w:color w:val="auto"/>
                <w:w w:val="99"/>
              </w:rPr>
              <w:t>10.31*</w:t>
            </w:r>
          </w:p>
        </w:tc>
        <w:tc>
          <w:tcPr>
            <w:tcW w:w="4620" w:type="dxa"/>
            <w:vAlign w:val="bottom"/>
            <w:gridSpan w:val="41"/>
            <w:shd w:val="clear" w:color="auto" w:fill="DCE2EF"/>
          </w:tcPr>
          <w:p>
            <w:pPr>
              <w:spacing w:after="0" w:line="189" w:lineRule="exact"/>
              <w:rPr>
                <w:rFonts w:ascii="Arial" w:cs="Arial" w:eastAsia="Arial" w:hAnsi="Arial"/>
                <w:sz w:val="18"/>
                <w:szCs w:val="18"/>
                <w:color w:val="0000FF"/>
              </w:rPr>
            </w:pPr>
            <w:hyperlink r:id="rId203">
              <w:r>
                <w:rPr>
                  <w:rFonts w:ascii="Arial" w:cs="Arial" w:eastAsia="Arial" w:hAnsi="Arial"/>
                  <w:sz w:val="18"/>
                  <w:szCs w:val="18"/>
                  <w:color w:val="0000FF"/>
                </w:rPr>
                <w:t>Change in Control Agreement, dated as of November 1,</w:t>
              </w:r>
            </w:hyperlink>
          </w:p>
        </w:tc>
        <w:tc>
          <w:tcPr>
            <w:tcW w:w="760" w:type="dxa"/>
            <w:vAlign w:val="bottom"/>
            <w:shd w:val="clear" w:color="auto" w:fill="DCE2EF"/>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shd w:val="clear" w:color="auto" w:fill="DCE2EF"/>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rPr>
              <w:t>10.2</w:t>
            </w:r>
          </w:p>
        </w:tc>
        <w:tc>
          <w:tcPr>
            <w:tcW w:w="216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March 7, 2018</w:t>
            </w:r>
          </w:p>
        </w:tc>
      </w:tr>
      <w:tr>
        <w:trPr>
          <w:trHeight w:val="156"/>
        </w:trPr>
        <w:tc>
          <w:tcPr>
            <w:tcW w:w="1360" w:type="dxa"/>
            <w:vAlign w:val="bottom"/>
            <w:tcBorders>
              <w:top w:val="single" w:sz="8" w:color="DCE2EF"/>
              <w:bottom w:val="single" w:sz="8" w:color="DCE2EF"/>
            </w:tcBorders>
            <w:shd w:val="clear" w:color="auto" w:fill="DCE2EF"/>
          </w:tcPr>
          <w:p>
            <w:pPr>
              <w:spacing w:after="0"/>
              <w:rPr>
                <w:sz w:val="13"/>
                <w:szCs w:val="13"/>
                <w:color w:val="auto"/>
              </w:rPr>
            </w:pPr>
          </w:p>
        </w:tc>
        <w:tc>
          <w:tcPr>
            <w:tcW w:w="4460" w:type="dxa"/>
            <w:vAlign w:val="bottom"/>
            <w:tcBorders>
              <w:top w:val="single" w:sz="8" w:color="0000FF"/>
              <w:bottom w:val="single" w:sz="8" w:color="0000FF"/>
            </w:tcBorders>
            <w:gridSpan w:val="38"/>
            <w:shd w:val="clear" w:color="auto" w:fill="DCE2EF"/>
          </w:tcPr>
          <w:p>
            <w:pPr>
              <w:spacing w:after="0" w:line="156" w:lineRule="exact"/>
              <w:rPr>
                <w:rFonts w:ascii="Arial" w:cs="Arial" w:eastAsia="Arial" w:hAnsi="Arial"/>
                <w:sz w:val="18"/>
                <w:szCs w:val="18"/>
                <w:color w:val="0000FF"/>
                <w:w w:val="99"/>
              </w:rPr>
            </w:pPr>
            <w:hyperlink r:id="rId203">
              <w:r>
                <w:rPr>
                  <w:rFonts w:ascii="Arial" w:cs="Arial" w:eastAsia="Arial" w:hAnsi="Arial"/>
                  <w:sz w:val="18"/>
                  <w:szCs w:val="18"/>
                  <w:color w:val="0000FF"/>
                  <w:w w:val="99"/>
                </w:rPr>
                <w:t>2017, by and between ABM Industries Incorporated and</w:t>
              </w:r>
            </w:hyperlink>
          </w:p>
        </w:tc>
        <w:tc>
          <w:tcPr>
            <w:tcW w:w="20" w:type="dxa"/>
            <w:vAlign w:val="bottom"/>
            <w:tcBorders>
              <w:top w:val="single" w:sz="8" w:color="DCE2EF"/>
              <w:bottom w:val="single" w:sz="8" w:color="0000FF"/>
            </w:tcBorders>
            <w:shd w:val="clear" w:color="auto" w:fill="DCE2EF"/>
          </w:tcPr>
          <w:p>
            <w:pPr>
              <w:spacing w:after="0"/>
              <w:rPr>
                <w:sz w:val="13"/>
                <w:szCs w:val="13"/>
                <w:color w:val="auto"/>
              </w:rPr>
            </w:pPr>
          </w:p>
        </w:tc>
        <w:tc>
          <w:tcPr>
            <w:tcW w:w="14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760" w:type="dxa"/>
            <w:vAlign w:val="bottom"/>
            <w:tcBorders>
              <w:top w:val="single" w:sz="8" w:color="DCE2EF"/>
              <w:bottom w:val="single" w:sz="8" w:color="DCE2EF"/>
            </w:tcBorders>
            <w:shd w:val="clear" w:color="auto" w:fill="DCE2EF"/>
          </w:tcPr>
          <w:p>
            <w:pPr>
              <w:spacing w:after="0"/>
              <w:rPr>
                <w:sz w:val="13"/>
                <w:szCs w:val="13"/>
                <w:color w:val="auto"/>
              </w:rPr>
            </w:pPr>
          </w:p>
        </w:tc>
        <w:tc>
          <w:tcPr>
            <w:tcW w:w="1340" w:type="dxa"/>
            <w:vAlign w:val="bottom"/>
            <w:tcBorders>
              <w:top w:val="single" w:sz="8" w:color="DCE2EF"/>
              <w:bottom w:val="single" w:sz="8" w:color="DCE2EF"/>
            </w:tcBorders>
            <w:shd w:val="clear" w:color="auto" w:fill="DCE2EF"/>
          </w:tcPr>
          <w:p>
            <w:pPr>
              <w:spacing w:after="0"/>
              <w:rPr>
                <w:sz w:val="13"/>
                <w:szCs w:val="13"/>
                <w:color w:val="auto"/>
              </w:rPr>
            </w:pPr>
          </w:p>
        </w:tc>
        <w:tc>
          <w:tcPr>
            <w:tcW w:w="1000" w:type="dxa"/>
            <w:vAlign w:val="bottom"/>
            <w:tcBorders>
              <w:top w:val="single" w:sz="8" w:color="DCE2EF"/>
              <w:bottom w:val="single" w:sz="8" w:color="DCE2EF"/>
            </w:tcBorders>
            <w:shd w:val="clear" w:color="auto" w:fill="DCE2EF"/>
          </w:tcPr>
          <w:p>
            <w:pPr>
              <w:spacing w:after="0"/>
              <w:rPr>
                <w:sz w:val="13"/>
                <w:szCs w:val="13"/>
                <w:color w:val="auto"/>
              </w:rPr>
            </w:pPr>
          </w:p>
        </w:tc>
        <w:tc>
          <w:tcPr>
            <w:tcW w:w="2160" w:type="dxa"/>
            <w:vAlign w:val="bottom"/>
            <w:tcBorders>
              <w:top w:val="single" w:sz="8" w:color="DCE2EF"/>
              <w:bottom w:val="single" w:sz="8" w:color="DCE2EF"/>
            </w:tcBorders>
            <w:shd w:val="clear" w:color="auto" w:fill="DCE2EF"/>
          </w:tcPr>
          <w:p>
            <w:pPr>
              <w:spacing w:after="0"/>
              <w:rPr>
                <w:sz w:val="13"/>
                <w:szCs w:val="13"/>
                <w:color w:val="auto"/>
              </w:rPr>
            </w:pPr>
          </w:p>
        </w:tc>
      </w:tr>
      <w:tr>
        <w:trPr>
          <w:trHeight w:val="176"/>
        </w:trPr>
        <w:tc>
          <w:tcPr>
            <w:tcW w:w="1360" w:type="dxa"/>
            <w:vAlign w:val="bottom"/>
            <w:tcBorders>
              <w:bottom w:val="single" w:sz="8" w:color="DCE2EF"/>
            </w:tcBorders>
            <w:shd w:val="clear" w:color="auto" w:fill="DCE2EF"/>
          </w:tcPr>
          <w:p>
            <w:pPr>
              <w:spacing w:after="0"/>
              <w:rPr>
                <w:sz w:val="15"/>
                <w:szCs w:val="15"/>
                <w:color w:val="auto"/>
              </w:rPr>
            </w:pPr>
          </w:p>
        </w:tc>
        <w:tc>
          <w:tcPr>
            <w:tcW w:w="1240" w:type="dxa"/>
            <w:vAlign w:val="bottom"/>
            <w:tcBorders>
              <w:bottom w:val="single" w:sz="8" w:color="0000FF"/>
            </w:tcBorders>
            <w:gridSpan w:val="6"/>
            <w:shd w:val="clear" w:color="auto" w:fill="DCE2EF"/>
          </w:tcPr>
          <w:p>
            <w:pPr>
              <w:spacing w:after="0" w:line="156" w:lineRule="exact"/>
              <w:rPr>
                <w:rFonts w:ascii="Arial" w:cs="Arial" w:eastAsia="Arial" w:hAnsi="Arial"/>
                <w:sz w:val="18"/>
                <w:szCs w:val="18"/>
                <w:color w:val="0000FF"/>
                <w:w w:val="99"/>
              </w:rPr>
            </w:pPr>
            <w:hyperlink r:id="rId203">
              <w:r>
                <w:rPr>
                  <w:rFonts w:ascii="Arial" w:cs="Arial" w:eastAsia="Arial" w:hAnsi="Arial"/>
                  <w:sz w:val="18"/>
                  <w:szCs w:val="18"/>
                  <w:color w:val="0000FF"/>
                  <w:w w:val="99"/>
                </w:rPr>
                <w:t>Scott Giacobbe</w:t>
              </w:r>
            </w:hyperlink>
          </w:p>
        </w:tc>
        <w:tc>
          <w:tcPr>
            <w:tcW w:w="3240" w:type="dxa"/>
            <w:vAlign w:val="bottom"/>
            <w:tcBorders>
              <w:bottom w:val="single" w:sz="8" w:color="DCE2EF"/>
            </w:tcBorders>
            <w:gridSpan w:val="33"/>
            <w:shd w:val="clear" w:color="auto" w:fill="DCE2EF"/>
          </w:tcPr>
          <w:p>
            <w:pPr>
              <w:spacing w:after="0"/>
              <w:rPr>
                <w:sz w:val="15"/>
                <w:szCs w:val="15"/>
                <w:color w:val="auto"/>
              </w:rPr>
            </w:pPr>
          </w:p>
        </w:tc>
        <w:tc>
          <w:tcPr>
            <w:tcW w:w="140" w:type="dxa"/>
            <w:vAlign w:val="bottom"/>
            <w:tcBorders>
              <w:bottom w:val="single" w:sz="8" w:color="DCE2EF"/>
            </w:tcBorders>
            <w:gridSpan w:val="2"/>
            <w:shd w:val="clear" w:color="auto" w:fill="DCE2EF"/>
          </w:tcPr>
          <w:p>
            <w:pPr>
              <w:spacing w:after="0"/>
              <w:rPr>
                <w:sz w:val="15"/>
                <w:szCs w:val="15"/>
                <w:color w:val="auto"/>
              </w:rPr>
            </w:pPr>
          </w:p>
        </w:tc>
        <w:tc>
          <w:tcPr>
            <w:tcW w:w="760" w:type="dxa"/>
            <w:vAlign w:val="bottom"/>
            <w:tcBorders>
              <w:bottom w:val="single" w:sz="8" w:color="DCE2EF"/>
            </w:tcBorders>
            <w:shd w:val="clear" w:color="auto" w:fill="DCE2EF"/>
          </w:tcPr>
          <w:p>
            <w:pPr>
              <w:spacing w:after="0"/>
              <w:rPr>
                <w:sz w:val="15"/>
                <w:szCs w:val="15"/>
                <w:color w:val="auto"/>
              </w:rPr>
            </w:pPr>
          </w:p>
        </w:tc>
        <w:tc>
          <w:tcPr>
            <w:tcW w:w="1340" w:type="dxa"/>
            <w:vAlign w:val="bottom"/>
            <w:tcBorders>
              <w:bottom w:val="single" w:sz="8" w:color="DCE2EF"/>
            </w:tcBorders>
            <w:shd w:val="clear" w:color="auto" w:fill="DCE2EF"/>
          </w:tcPr>
          <w:p>
            <w:pPr>
              <w:spacing w:after="0"/>
              <w:rPr>
                <w:sz w:val="15"/>
                <w:szCs w:val="15"/>
                <w:color w:val="auto"/>
              </w:rPr>
            </w:pPr>
          </w:p>
        </w:tc>
        <w:tc>
          <w:tcPr>
            <w:tcW w:w="1000" w:type="dxa"/>
            <w:vAlign w:val="bottom"/>
            <w:tcBorders>
              <w:bottom w:val="single" w:sz="8" w:color="DCE2EF"/>
            </w:tcBorders>
            <w:shd w:val="clear" w:color="auto" w:fill="DCE2EF"/>
          </w:tcPr>
          <w:p>
            <w:pPr>
              <w:spacing w:after="0"/>
              <w:rPr>
                <w:sz w:val="15"/>
                <w:szCs w:val="15"/>
                <w:color w:val="auto"/>
              </w:rPr>
            </w:pPr>
          </w:p>
        </w:tc>
        <w:tc>
          <w:tcPr>
            <w:tcW w:w="2160" w:type="dxa"/>
            <w:vAlign w:val="bottom"/>
            <w:tcBorders>
              <w:bottom w:val="single" w:sz="8" w:color="DCE2EF"/>
            </w:tcBorders>
            <w:shd w:val="clear" w:color="auto" w:fill="DCE2EF"/>
          </w:tcPr>
          <w:p>
            <w:pPr>
              <w:spacing w:after="0"/>
              <w:rPr>
                <w:sz w:val="15"/>
                <w:szCs w:val="15"/>
                <w:color w:val="auto"/>
              </w:rPr>
            </w:pPr>
          </w:p>
        </w:tc>
      </w:tr>
      <w:tr>
        <w:trPr>
          <w:trHeight w:val="189"/>
        </w:trPr>
        <w:tc>
          <w:tcPr>
            <w:tcW w:w="1360" w:type="dxa"/>
            <w:vAlign w:val="bottom"/>
          </w:tcPr>
          <w:p>
            <w:pPr>
              <w:jc w:val="right"/>
              <w:ind w:right="730"/>
              <w:spacing w:after="0" w:line="189" w:lineRule="exact"/>
              <w:rPr>
                <w:sz w:val="20"/>
                <w:szCs w:val="20"/>
                <w:color w:val="auto"/>
              </w:rPr>
            </w:pPr>
            <w:r>
              <w:rPr>
                <w:rFonts w:ascii="Arial" w:cs="Arial" w:eastAsia="Arial" w:hAnsi="Arial"/>
                <w:sz w:val="18"/>
                <w:szCs w:val="18"/>
                <w:color w:val="auto"/>
                <w:w w:val="99"/>
              </w:rPr>
              <w:t>10.32*</w:t>
            </w:r>
          </w:p>
        </w:tc>
        <w:tc>
          <w:tcPr>
            <w:tcW w:w="4040" w:type="dxa"/>
            <w:vAlign w:val="bottom"/>
            <w:tcBorders>
              <w:bottom w:val="single" w:sz="8" w:color="0000FF"/>
            </w:tcBorders>
            <w:gridSpan w:val="21"/>
          </w:tcPr>
          <w:p>
            <w:pPr>
              <w:spacing w:after="0" w:line="189" w:lineRule="exact"/>
              <w:rPr>
                <w:rFonts w:ascii="Arial" w:cs="Arial" w:eastAsia="Arial" w:hAnsi="Arial"/>
                <w:sz w:val="18"/>
                <w:szCs w:val="18"/>
                <w:color w:val="0000FF"/>
                <w:w w:val="99"/>
              </w:rPr>
            </w:pPr>
            <w:hyperlink r:id="rId204">
              <w:r>
                <w:rPr>
                  <w:rFonts w:ascii="Arial" w:cs="Arial" w:eastAsia="Arial" w:hAnsi="Arial"/>
                  <w:sz w:val="18"/>
                  <w:szCs w:val="18"/>
                  <w:color w:val="0000FF"/>
                  <w:w w:val="99"/>
                </w:rPr>
                <w:t>Amendment to Executive Employment Agreement,</w:t>
              </w:r>
            </w:hyperlink>
          </w:p>
        </w:tc>
        <w:tc>
          <w:tcPr>
            <w:tcW w:w="580" w:type="dxa"/>
            <w:vAlign w:val="bottom"/>
            <w:gridSpan w:val="20"/>
          </w:tcPr>
          <w:p>
            <w:pPr>
              <w:spacing w:after="0"/>
              <w:rPr>
                <w:sz w:val="16"/>
                <w:szCs w:val="16"/>
                <w:color w:val="auto"/>
              </w:rPr>
            </w:pPr>
          </w:p>
        </w:tc>
        <w:tc>
          <w:tcPr>
            <w:tcW w:w="760" w:type="dxa"/>
            <w:vAlign w:val="bottom"/>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rPr>
              <w:t>10.5</w:t>
            </w:r>
          </w:p>
        </w:tc>
        <w:tc>
          <w:tcPr>
            <w:tcW w:w="2160" w:type="dxa"/>
            <w:vAlign w:val="bottom"/>
          </w:tcPr>
          <w:p>
            <w:pPr>
              <w:jc w:val="center"/>
              <w:spacing w:after="0" w:line="189" w:lineRule="exact"/>
              <w:rPr>
                <w:sz w:val="20"/>
                <w:szCs w:val="20"/>
                <w:color w:val="auto"/>
              </w:rPr>
            </w:pPr>
            <w:r>
              <w:rPr>
                <w:rFonts w:ascii="Arial" w:cs="Arial" w:eastAsia="Arial" w:hAnsi="Arial"/>
                <w:sz w:val="18"/>
                <w:szCs w:val="18"/>
                <w:color w:val="auto"/>
                <w:w w:val="99"/>
              </w:rPr>
              <w:t>June 9, 2021</w:t>
            </w:r>
          </w:p>
        </w:tc>
      </w:tr>
      <w:tr>
        <w:trPr>
          <w:trHeight w:val="155"/>
        </w:trPr>
        <w:tc>
          <w:tcPr>
            <w:tcW w:w="1360" w:type="dxa"/>
            <w:vAlign w:val="bottom"/>
          </w:tcPr>
          <w:p>
            <w:pPr>
              <w:spacing w:after="0"/>
              <w:rPr>
                <w:sz w:val="13"/>
                <w:szCs w:val="13"/>
                <w:color w:val="auto"/>
              </w:rPr>
            </w:pPr>
          </w:p>
        </w:tc>
        <w:tc>
          <w:tcPr>
            <w:tcW w:w="4620" w:type="dxa"/>
            <w:vAlign w:val="bottom"/>
            <w:gridSpan w:val="41"/>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dated as of November 1, 2017, by and between ABM</w:t>
              </w:r>
            </w:hyperlink>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424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Industries Incorporated and Scott Giacobbe</w:t>
              </w:r>
            </w:hyperlink>
          </w:p>
        </w:tc>
        <w:tc>
          <w:tcPr>
            <w:tcW w:w="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4"/>
          </w:tcPr>
          <w:p>
            <w:pPr>
              <w:spacing w:after="0"/>
              <w:rPr>
                <w:sz w:val="13"/>
                <w:szCs w:val="13"/>
                <w:color w:val="auto"/>
              </w:rPr>
            </w:pPr>
          </w:p>
        </w:tc>
        <w:tc>
          <w:tcPr>
            <w:tcW w:w="18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9"/>
        </w:trPr>
        <w:tc>
          <w:tcPr>
            <w:tcW w:w="1360" w:type="dxa"/>
            <w:vAlign w:val="bottom"/>
            <w:shd w:val="clear" w:color="auto" w:fill="DCE2EF"/>
          </w:tcPr>
          <w:p>
            <w:pPr>
              <w:jc w:val="right"/>
              <w:ind w:right="730"/>
              <w:spacing w:after="0" w:line="189" w:lineRule="exact"/>
              <w:rPr>
                <w:sz w:val="20"/>
                <w:szCs w:val="20"/>
                <w:color w:val="auto"/>
              </w:rPr>
            </w:pPr>
            <w:r>
              <w:rPr>
                <w:rFonts w:ascii="Arial" w:cs="Arial" w:eastAsia="Arial" w:hAnsi="Arial"/>
                <w:sz w:val="18"/>
                <w:szCs w:val="18"/>
                <w:color w:val="auto"/>
                <w:w w:val="99"/>
              </w:rPr>
              <w:t>10.33*</w:t>
            </w:r>
          </w:p>
        </w:tc>
        <w:tc>
          <w:tcPr>
            <w:tcW w:w="4620" w:type="dxa"/>
            <w:vAlign w:val="bottom"/>
            <w:gridSpan w:val="41"/>
            <w:shd w:val="clear" w:color="auto" w:fill="DCE2EF"/>
          </w:tcPr>
          <w:p>
            <w:pPr>
              <w:spacing w:after="0" w:line="189" w:lineRule="exact"/>
              <w:rPr>
                <w:rFonts w:ascii="Arial" w:cs="Arial" w:eastAsia="Arial" w:hAnsi="Arial"/>
                <w:sz w:val="18"/>
                <w:szCs w:val="18"/>
                <w:color w:val="0000FF"/>
              </w:rPr>
            </w:pPr>
            <w:hyperlink r:id="rId205">
              <w:r>
                <w:rPr>
                  <w:rFonts w:ascii="Arial" w:cs="Arial" w:eastAsia="Arial" w:hAnsi="Arial"/>
                  <w:sz w:val="18"/>
                  <w:szCs w:val="18"/>
                  <w:color w:val="0000FF"/>
                </w:rPr>
                <w:t>Release Agreement, dated as of May 27, 2021, by and</w:t>
              </w:r>
            </w:hyperlink>
          </w:p>
        </w:tc>
        <w:tc>
          <w:tcPr>
            <w:tcW w:w="760" w:type="dxa"/>
            <w:vAlign w:val="bottom"/>
            <w:shd w:val="clear" w:color="auto" w:fill="DCE2EF"/>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shd w:val="clear" w:color="auto" w:fill="DCE2EF"/>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rPr>
              <w:t>10.8</w:t>
            </w:r>
          </w:p>
        </w:tc>
        <w:tc>
          <w:tcPr>
            <w:tcW w:w="216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June 9, 2021</w:t>
            </w:r>
          </w:p>
        </w:tc>
      </w:tr>
      <w:tr>
        <w:trPr>
          <w:trHeight w:val="169"/>
        </w:trPr>
        <w:tc>
          <w:tcPr>
            <w:tcW w:w="1360" w:type="dxa"/>
            <w:vAlign w:val="bottom"/>
            <w:tcBorders>
              <w:top w:val="single" w:sz="8" w:color="DCE2EF"/>
            </w:tcBorders>
            <w:shd w:val="clear" w:color="auto" w:fill="DCE2EF"/>
          </w:tcPr>
          <w:p>
            <w:pPr>
              <w:spacing w:after="0"/>
              <w:rPr>
                <w:sz w:val="14"/>
                <w:szCs w:val="14"/>
                <w:color w:val="auto"/>
              </w:rPr>
            </w:pPr>
          </w:p>
        </w:tc>
        <w:tc>
          <w:tcPr>
            <w:tcW w:w="4400" w:type="dxa"/>
            <w:vAlign w:val="bottom"/>
            <w:tcBorders>
              <w:top w:val="single" w:sz="8" w:color="0000FF"/>
            </w:tcBorders>
            <w:gridSpan w:val="33"/>
            <w:shd w:val="clear" w:color="auto" w:fill="DCE2EF"/>
          </w:tcPr>
          <w:p>
            <w:pPr>
              <w:spacing w:after="0" w:line="169" w:lineRule="exact"/>
              <w:rPr>
                <w:rFonts w:ascii="Arial" w:cs="Arial" w:eastAsia="Arial" w:hAnsi="Arial"/>
                <w:sz w:val="18"/>
                <w:szCs w:val="18"/>
                <w:color w:val="0000FF"/>
              </w:rPr>
            </w:pPr>
            <w:hyperlink r:id="rId205">
              <w:r>
                <w:rPr>
                  <w:rFonts w:ascii="Arial" w:cs="Arial" w:eastAsia="Arial" w:hAnsi="Arial"/>
                  <w:sz w:val="18"/>
                  <w:szCs w:val="18"/>
                  <w:color w:val="0000FF"/>
                </w:rPr>
                <w:t>between ABM Industries Incorporated and Scott</w:t>
              </w:r>
            </w:hyperlink>
          </w:p>
        </w:tc>
        <w:tc>
          <w:tcPr>
            <w:tcW w:w="40" w:type="dxa"/>
            <w:vAlign w:val="bottom"/>
            <w:tcBorders>
              <w:top w:val="single" w:sz="8" w:color="DCE2EF"/>
            </w:tcBorders>
            <w:gridSpan w:val="4"/>
            <w:shd w:val="clear" w:color="auto" w:fill="DCE2EF"/>
          </w:tcPr>
          <w:p>
            <w:pPr>
              <w:spacing w:after="0"/>
              <w:rPr>
                <w:sz w:val="14"/>
                <w:szCs w:val="14"/>
                <w:color w:val="auto"/>
              </w:rPr>
            </w:pPr>
          </w:p>
        </w:tc>
        <w:tc>
          <w:tcPr>
            <w:tcW w:w="180" w:type="dxa"/>
            <w:vAlign w:val="bottom"/>
            <w:tcBorders>
              <w:top w:val="single" w:sz="8" w:color="DCE2EF"/>
            </w:tcBorders>
            <w:gridSpan w:val="4"/>
            <w:shd w:val="clear" w:color="auto" w:fill="DCE2EF"/>
          </w:tcPr>
          <w:p>
            <w:pPr>
              <w:spacing w:after="0"/>
              <w:rPr>
                <w:sz w:val="14"/>
                <w:szCs w:val="14"/>
                <w:color w:val="auto"/>
              </w:rPr>
            </w:pPr>
          </w:p>
        </w:tc>
        <w:tc>
          <w:tcPr>
            <w:tcW w:w="760" w:type="dxa"/>
            <w:vAlign w:val="bottom"/>
            <w:tcBorders>
              <w:top w:val="single" w:sz="8" w:color="DCE2EF"/>
            </w:tcBorders>
            <w:shd w:val="clear" w:color="auto" w:fill="DCE2EF"/>
          </w:tcPr>
          <w:p>
            <w:pPr>
              <w:spacing w:after="0"/>
              <w:rPr>
                <w:sz w:val="14"/>
                <w:szCs w:val="14"/>
                <w:color w:val="auto"/>
              </w:rPr>
            </w:pPr>
          </w:p>
        </w:tc>
        <w:tc>
          <w:tcPr>
            <w:tcW w:w="1340" w:type="dxa"/>
            <w:vAlign w:val="bottom"/>
            <w:tcBorders>
              <w:top w:val="single" w:sz="8" w:color="DCE2EF"/>
            </w:tcBorders>
            <w:shd w:val="clear" w:color="auto" w:fill="DCE2EF"/>
          </w:tcPr>
          <w:p>
            <w:pPr>
              <w:spacing w:after="0"/>
              <w:rPr>
                <w:sz w:val="14"/>
                <w:szCs w:val="14"/>
                <w:color w:val="auto"/>
              </w:rPr>
            </w:pPr>
          </w:p>
        </w:tc>
        <w:tc>
          <w:tcPr>
            <w:tcW w:w="1000" w:type="dxa"/>
            <w:vAlign w:val="bottom"/>
            <w:tcBorders>
              <w:top w:val="single" w:sz="8" w:color="DCE2EF"/>
            </w:tcBorders>
            <w:shd w:val="clear" w:color="auto" w:fill="DCE2EF"/>
          </w:tcPr>
          <w:p>
            <w:pPr>
              <w:spacing w:after="0"/>
              <w:rPr>
                <w:sz w:val="14"/>
                <w:szCs w:val="14"/>
                <w:color w:val="auto"/>
              </w:rPr>
            </w:pPr>
          </w:p>
        </w:tc>
        <w:tc>
          <w:tcPr>
            <w:tcW w:w="2160" w:type="dxa"/>
            <w:vAlign w:val="bottom"/>
            <w:tcBorders>
              <w:top w:val="single" w:sz="8" w:color="DCE2EF"/>
            </w:tcBorders>
            <w:shd w:val="clear" w:color="auto" w:fill="DCE2EF"/>
          </w:tcPr>
          <w:p>
            <w:pPr>
              <w:spacing w:after="0"/>
              <w:rPr>
                <w:sz w:val="14"/>
                <w:szCs w:val="14"/>
                <w:color w:val="auto"/>
              </w:rPr>
            </w:pPr>
          </w:p>
        </w:tc>
      </w:tr>
      <w:tr>
        <w:trPr>
          <w:trHeight w:val="203"/>
        </w:trPr>
        <w:tc>
          <w:tcPr>
            <w:tcW w:w="1360" w:type="dxa"/>
            <w:vAlign w:val="bottom"/>
            <w:tcBorders>
              <w:top w:val="single" w:sz="8" w:color="DCE2EF"/>
              <w:bottom w:val="single" w:sz="8" w:color="DCE2EF"/>
            </w:tcBorders>
            <w:shd w:val="clear" w:color="auto" w:fill="DCE2EF"/>
          </w:tcPr>
          <w:p>
            <w:pPr>
              <w:spacing w:after="0"/>
              <w:rPr>
                <w:sz w:val="17"/>
                <w:szCs w:val="17"/>
                <w:color w:val="auto"/>
              </w:rPr>
            </w:pPr>
          </w:p>
        </w:tc>
        <w:tc>
          <w:tcPr>
            <w:tcW w:w="780" w:type="dxa"/>
            <w:vAlign w:val="bottom"/>
            <w:tcBorders>
              <w:top w:val="single" w:sz="8" w:color="0000FF"/>
              <w:bottom w:val="single" w:sz="8" w:color="0000FF"/>
            </w:tcBorders>
            <w:gridSpan w:val="4"/>
            <w:shd w:val="clear" w:color="auto" w:fill="DCE2EF"/>
          </w:tcPr>
          <w:p>
            <w:pPr>
              <w:spacing w:after="0" w:line="169" w:lineRule="exact"/>
              <w:rPr>
                <w:rFonts w:ascii="Arial" w:cs="Arial" w:eastAsia="Arial" w:hAnsi="Arial"/>
                <w:sz w:val="18"/>
                <w:szCs w:val="18"/>
                <w:color w:val="0000FF"/>
                <w:w w:val="98"/>
              </w:rPr>
            </w:pPr>
            <w:hyperlink r:id="rId205">
              <w:r>
                <w:rPr>
                  <w:rFonts w:ascii="Arial" w:cs="Arial" w:eastAsia="Arial" w:hAnsi="Arial"/>
                  <w:sz w:val="18"/>
                  <w:szCs w:val="18"/>
                  <w:color w:val="0000FF"/>
                  <w:w w:val="98"/>
                </w:rPr>
                <w:t>Giacobbe</w:t>
              </w:r>
            </w:hyperlink>
          </w:p>
        </w:tc>
        <w:tc>
          <w:tcPr>
            <w:tcW w:w="3040" w:type="dxa"/>
            <w:vAlign w:val="bottom"/>
            <w:tcBorders>
              <w:top w:val="single" w:sz="8" w:color="0000FF"/>
              <w:bottom w:val="single" w:sz="8" w:color="DCE2EF"/>
            </w:tcBorders>
            <w:gridSpan w:val="14"/>
            <w:shd w:val="clear" w:color="auto" w:fill="DCE2EF"/>
          </w:tcPr>
          <w:p>
            <w:pPr>
              <w:spacing w:after="0"/>
              <w:rPr>
                <w:sz w:val="17"/>
                <w:szCs w:val="17"/>
                <w:color w:val="auto"/>
              </w:rPr>
            </w:pPr>
          </w:p>
        </w:tc>
        <w:tc>
          <w:tcPr>
            <w:tcW w:w="460" w:type="dxa"/>
            <w:vAlign w:val="bottom"/>
            <w:tcBorders>
              <w:top w:val="single" w:sz="8" w:color="DCE2EF"/>
              <w:bottom w:val="single" w:sz="8" w:color="DCE2EF"/>
            </w:tcBorders>
            <w:gridSpan w:val="9"/>
            <w:shd w:val="clear" w:color="auto" w:fill="DCE2EF"/>
          </w:tcPr>
          <w:p>
            <w:pPr>
              <w:spacing w:after="0"/>
              <w:rPr>
                <w:sz w:val="17"/>
                <w:szCs w:val="17"/>
                <w:color w:val="auto"/>
              </w:rPr>
            </w:pPr>
          </w:p>
        </w:tc>
        <w:tc>
          <w:tcPr>
            <w:tcW w:w="20" w:type="dxa"/>
            <w:vAlign w:val="bottom"/>
            <w:tcBorders>
              <w:top w:val="single" w:sz="8" w:color="DCE2EF"/>
              <w:bottom w:val="single" w:sz="8" w:color="DCE2EF"/>
            </w:tcBorders>
            <w:shd w:val="clear" w:color="auto" w:fill="DCE2EF"/>
          </w:tcPr>
          <w:p>
            <w:pPr>
              <w:spacing w:after="0"/>
              <w:rPr>
                <w:sz w:val="17"/>
                <w:szCs w:val="17"/>
                <w:color w:val="auto"/>
              </w:rPr>
            </w:pPr>
          </w:p>
        </w:tc>
        <w:tc>
          <w:tcPr>
            <w:tcW w:w="20" w:type="dxa"/>
            <w:vAlign w:val="bottom"/>
            <w:tcBorders>
              <w:top w:val="single" w:sz="8" w:color="DCE2EF"/>
              <w:bottom w:val="single" w:sz="8" w:color="DCE2EF"/>
            </w:tcBorders>
            <w:shd w:val="clear" w:color="auto" w:fill="DCE2EF"/>
          </w:tcPr>
          <w:p>
            <w:pPr>
              <w:spacing w:after="0"/>
              <w:rPr>
                <w:sz w:val="17"/>
                <w:szCs w:val="17"/>
                <w:color w:val="auto"/>
              </w:rPr>
            </w:pPr>
          </w:p>
        </w:tc>
        <w:tc>
          <w:tcPr>
            <w:tcW w:w="120" w:type="dxa"/>
            <w:vAlign w:val="bottom"/>
            <w:tcBorders>
              <w:top w:val="single" w:sz="8" w:color="DCE2EF"/>
              <w:bottom w:val="single" w:sz="8" w:color="DCE2EF"/>
            </w:tcBorders>
            <w:gridSpan w:val="8"/>
            <w:shd w:val="clear" w:color="auto" w:fill="DCE2EF"/>
          </w:tcPr>
          <w:p>
            <w:pPr>
              <w:spacing w:after="0"/>
              <w:rPr>
                <w:sz w:val="17"/>
                <w:szCs w:val="17"/>
                <w:color w:val="auto"/>
              </w:rPr>
            </w:pPr>
          </w:p>
        </w:tc>
        <w:tc>
          <w:tcPr>
            <w:tcW w:w="180" w:type="dxa"/>
            <w:vAlign w:val="bottom"/>
            <w:tcBorders>
              <w:top w:val="single" w:sz="8" w:color="DCE2EF"/>
              <w:bottom w:val="single" w:sz="8" w:color="DCE2EF"/>
            </w:tcBorders>
            <w:gridSpan w:val="4"/>
            <w:shd w:val="clear" w:color="auto" w:fill="DCE2EF"/>
          </w:tcPr>
          <w:p>
            <w:pPr>
              <w:spacing w:after="0"/>
              <w:rPr>
                <w:sz w:val="17"/>
                <w:szCs w:val="17"/>
                <w:color w:val="auto"/>
              </w:rPr>
            </w:pPr>
          </w:p>
        </w:tc>
        <w:tc>
          <w:tcPr>
            <w:tcW w:w="760" w:type="dxa"/>
            <w:vAlign w:val="bottom"/>
            <w:tcBorders>
              <w:top w:val="single" w:sz="8" w:color="DCE2EF"/>
              <w:bottom w:val="single" w:sz="8" w:color="DCE2EF"/>
            </w:tcBorders>
            <w:shd w:val="clear" w:color="auto" w:fill="DCE2EF"/>
          </w:tcPr>
          <w:p>
            <w:pPr>
              <w:spacing w:after="0"/>
              <w:rPr>
                <w:sz w:val="17"/>
                <w:szCs w:val="17"/>
                <w:color w:val="auto"/>
              </w:rPr>
            </w:pPr>
          </w:p>
        </w:tc>
        <w:tc>
          <w:tcPr>
            <w:tcW w:w="1340" w:type="dxa"/>
            <w:vAlign w:val="bottom"/>
            <w:tcBorders>
              <w:top w:val="single" w:sz="8" w:color="DCE2EF"/>
              <w:bottom w:val="single" w:sz="8" w:color="DCE2EF"/>
            </w:tcBorders>
            <w:shd w:val="clear" w:color="auto" w:fill="DCE2EF"/>
          </w:tcPr>
          <w:p>
            <w:pPr>
              <w:spacing w:after="0"/>
              <w:rPr>
                <w:sz w:val="17"/>
                <w:szCs w:val="17"/>
                <w:color w:val="auto"/>
              </w:rPr>
            </w:pPr>
          </w:p>
        </w:tc>
        <w:tc>
          <w:tcPr>
            <w:tcW w:w="1000" w:type="dxa"/>
            <w:vAlign w:val="bottom"/>
            <w:tcBorders>
              <w:top w:val="single" w:sz="8" w:color="DCE2EF"/>
              <w:bottom w:val="single" w:sz="8" w:color="DCE2EF"/>
            </w:tcBorders>
            <w:shd w:val="clear" w:color="auto" w:fill="DCE2EF"/>
          </w:tcPr>
          <w:p>
            <w:pPr>
              <w:spacing w:after="0"/>
              <w:rPr>
                <w:sz w:val="17"/>
                <w:szCs w:val="17"/>
                <w:color w:val="auto"/>
              </w:rPr>
            </w:pPr>
          </w:p>
        </w:tc>
        <w:tc>
          <w:tcPr>
            <w:tcW w:w="2160" w:type="dxa"/>
            <w:vAlign w:val="bottom"/>
            <w:tcBorders>
              <w:top w:val="single" w:sz="8" w:color="DCE2EF"/>
              <w:bottom w:val="single" w:sz="8" w:color="DCE2EF"/>
            </w:tcBorders>
            <w:shd w:val="clear" w:color="auto" w:fill="DCE2EF"/>
          </w:tcPr>
          <w:p>
            <w:pPr>
              <w:spacing w:after="0"/>
              <w:rPr>
                <w:sz w:val="17"/>
                <w:szCs w:val="17"/>
                <w:color w:val="auto"/>
              </w:rPr>
            </w:pPr>
          </w:p>
        </w:tc>
      </w:tr>
      <w:tr>
        <w:trPr>
          <w:trHeight w:val="189"/>
        </w:trPr>
        <w:tc>
          <w:tcPr>
            <w:tcW w:w="1360" w:type="dxa"/>
            <w:vAlign w:val="bottom"/>
          </w:tcPr>
          <w:p>
            <w:pPr>
              <w:jc w:val="right"/>
              <w:ind w:right="730"/>
              <w:spacing w:after="0" w:line="189" w:lineRule="exact"/>
              <w:rPr>
                <w:sz w:val="20"/>
                <w:szCs w:val="20"/>
                <w:color w:val="auto"/>
              </w:rPr>
            </w:pPr>
            <w:r>
              <w:rPr>
                <w:rFonts w:ascii="Arial" w:cs="Arial" w:eastAsia="Arial" w:hAnsi="Arial"/>
                <w:sz w:val="18"/>
                <w:szCs w:val="18"/>
                <w:color w:val="auto"/>
                <w:w w:val="99"/>
              </w:rPr>
              <w:t>10.34*</w:t>
            </w:r>
          </w:p>
        </w:tc>
        <w:tc>
          <w:tcPr>
            <w:tcW w:w="4620" w:type="dxa"/>
            <w:vAlign w:val="bottom"/>
            <w:gridSpan w:val="41"/>
          </w:tcPr>
          <w:p>
            <w:pPr>
              <w:spacing w:after="0" w:line="189" w:lineRule="exact"/>
              <w:rPr>
                <w:rFonts w:ascii="Arial" w:cs="Arial" w:eastAsia="Arial" w:hAnsi="Arial"/>
                <w:sz w:val="18"/>
                <w:szCs w:val="18"/>
                <w:color w:val="0000FF"/>
              </w:rPr>
            </w:pPr>
            <w:hyperlink r:id="rId206">
              <w:r>
                <w:rPr>
                  <w:rFonts w:ascii="Arial" w:cs="Arial" w:eastAsia="Arial" w:hAnsi="Arial"/>
                  <w:sz w:val="18"/>
                  <w:szCs w:val="18"/>
                  <w:color w:val="0000FF"/>
                </w:rPr>
                <w:t>Executive Employment Agreement, dated as of January</w:t>
              </w:r>
            </w:hyperlink>
          </w:p>
        </w:tc>
        <w:tc>
          <w:tcPr>
            <w:tcW w:w="760" w:type="dxa"/>
            <w:vAlign w:val="bottom"/>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rPr>
              <w:t>10.3</w:t>
            </w:r>
          </w:p>
        </w:tc>
        <w:tc>
          <w:tcPr>
            <w:tcW w:w="2160" w:type="dxa"/>
            <w:vAlign w:val="bottom"/>
          </w:tcPr>
          <w:p>
            <w:pPr>
              <w:jc w:val="center"/>
              <w:spacing w:after="0" w:line="189" w:lineRule="exact"/>
              <w:rPr>
                <w:sz w:val="20"/>
                <w:szCs w:val="20"/>
                <w:color w:val="auto"/>
              </w:rPr>
            </w:pPr>
            <w:r>
              <w:rPr>
                <w:rFonts w:ascii="Arial" w:cs="Arial" w:eastAsia="Arial" w:hAnsi="Arial"/>
                <w:sz w:val="18"/>
                <w:szCs w:val="18"/>
                <w:color w:val="auto"/>
                <w:w w:val="99"/>
              </w:rPr>
              <w:t>March 7, 2018</w:t>
            </w:r>
          </w:p>
        </w:tc>
      </w:tr>
      <w:tr>
        <w:trPr>
          <w:trHeight w:val="155"/>
        </w:trPr>
        <w:tc>
          <w:tcPr>
            <w:tcW w:w="1360" w:type="dxa"/>
            <w:vAlign w:val="bottom"/>
          </w:tcPr>
          <w:p>
            <w:pPr>
              <w:spacing w:after="0"/>
              <w:rPr>
                <w:sz w:val="13"/>
                <w:szCs w:val="13"/>
                <w:color w:val="auto"/>
              </w:rPr>
            </w:pPr>
          </w:p>
        </w:tc>
        <w:tc>
          <w:tcPr>
            <w:tcW w:w="444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1, 2018, by and between ABM Industries Incorporated</w:t>
              </w:r>
            </w:hyperlink>
          </w:p>
        </w:tc>
        <w:tc>
          <w:tcPr>
            <w:tcW w:w="18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43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and Rene Jacobsen</w:t>
              </w:r>
            </w:hyperlink>
          </w:p>
        </w:tc>
        <w:tc>
          <w:tcPr>
            <w:tcW w:w="300" w:type="dxa"/>
            <w:vAlign w:val="bottom"/>
            <w:gridSpan w:val="12"/>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9"/>
        </w:trPr>
        <w:tc>
          <w:tcPr>
            <w:tcW w:w="1360" w:type="dxa"/>
            <w:vAlign w:val="bottom"/>
            <w:tcBorders>
              <w:bottom w:val="single" w:sz="8" w:color="DCE2EF"/>
            </w:tcBorders>
            <w:shd w:val="clear" w:color="auto" w:fill="DCE2EF"/>
          </w:tcPr>
          <w:p>
            <w:pPr>
              <w:jc w:val="right"/>
              <w:ind w:right="730"/>
              <w:spacing w:after="0" w:line="189" w:lineRule="exact"/>
              <w:rPr>
                <w:sz w:val="20"/>
                <w:szCs w:val="20"/>
                <w:color w:val="auto"/>
              </w:rPr>
            </w:pPr>
            <w:r>
              <w:rPr>
                <w:rFonts w:ascii="Arial" w:cs="Arial" w:eastAsia="Arial" w:hAnsi="Arial"/>
                <w:sz w:val="18"/>
                <w:szCs w:val="18"/>
                <w:color w:val="auto"/>
                <w:w w:val="99"/>
              </w:rPr>
              <w:t>10.35*</w:t>
            </w:r>
          </w:p>
        </w:tc>
        <w:tc>
          <w:tcPr>
            <w:tcW w:w="4280" w:type="dxa"/>
            <w:vAlign w:val="bottom"/>
            <w:tcBorders>
              <w:bottom w:val="single" w:sz="8" w:color="0000FF"/>
            </w:tcBorders>
            <w:gridSpan w:val="27"/>
            <w:shd w:val="clear" w:color="auto" w:fill="DCE2EF"/>
          </w:tcPr>
          <w:p>
            <w:pPr>
              <w:spacing w:after="0" w:line="189" w:lineRule="exact"/>
              <w:rPr>
                <w:rFonts w:ascii="Arial" w:cs="Arial" w:eastAsia="Arial" w:hAnsi="Arial"/>
                <w:sz w:val="18"/>
                <w:szCs w:val="18"/>
                <w:color w:val="0000FF"/>
                <w:w w:val="99"/>
              </w:rPr>
            </w:pPr>
            <w:hyperlink r:id="rId207">
              <w:r>
                <w:rPr>
                  <w:rFonts w:ascii="Arial" w:cs="Arial" w:eastAsia="Arial" w:hAnsi="Arial"/>
                  <w:sz w:val="18"/>
                  <w:szCs w:val="18"/>
                  <w:color w:val="0000FF"/>
                  <w:w w:val="99"/>
                </w:rPr>
                <w:t>Change in Control Agreement, dated as of January 1,</w:t>
              </w:r>
            </w:hyperlink>
          </w:p>
        </w:tc>
        <w:tc>
          <w:tcPr>
            <w:tcW w:w="340" w:type="dxa"/>
            <w:vAlign w:val="bottom"/>
            <w:tcBorders>
              <w:bottom w:val="single" w:sz="8" w:color="DCE2EF"/>
            </w:tcBorders>
            <w:gridSpan w:val="14"/>
            <w:shd w:val="clear" w:color="auto" w:fill="DCE2EF"/>
          </w:tcPr>
          <w:p>
            <w:pPr>
              <w:spacing w:after="0"/>
              <w:rPr>
                <w:sz w:val="16"/>
                <w:szCs w:val="16"/>
                <w:color w:val="auto"/>
              </w:rPr>
            </w:pPr>
          </w:p>
        </w:tc>
        <w:tc>
          <w:tcPr>
            <w:tcW w:w="760" w:type="dxa"/>
            <w:vAlign w:val="bottom"/>
            <w:tcBorders>
              <w:bottom w:val="single" w:sz="8" w:color="DCE2EF"/>
            </w:tcBorders>
            <w:shd w:val="clear" w:color="auto" w:fill="DCE2EF"/>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tcBorders>
              <w:bottom w:val="single" w:sz="8" w:color="DCE2EF"/>
            </w:tcBorders>
            <w:shd w:val="clear" w:color="auto" w:fill="DCE2EF"/>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tcBorders>
              <w:bottom w:val="single" w:sz="8" w:color="DCE2EF"/>
            </w:tcBorders>
            <w:shd w:val="clear" w:color="auto" w:fill="DCE2EF"/>
          </w:tcPr>
          <w:p>
            <w:pPr>
              <w:jc w:val="center"/>
              <w:spacing w:after="0" w:line="189" w:lineRule="exact"/>
              <w:rPr>
                <w:sz w:val="20"/>
                <w:szCs w:val="20"/>
                <w:color w:val="auto"/>
              </w:rPr>
            </w:pPr>
            <w:r>
              <w:rPr>
                <w:rFonts w:ascii="Arial" w:cs="Arial" w:eastAsia="Arial" w:hAnsi="Arial"/>
                <w:sz w:val="18"/>
                <w:szCs w:val="18"/>
                <w:color w:val="auto"/>
              </w:rPr>
              <w:t>10.4</w:t>
            </w:r>
          </w:p>
        </w:tc>
        <w:tc>
          <w:tcPr>
            <w:tcW w:w="2160" w:type="dxa"/>
            <w:vAlign w:val="bottom"/>
            <w:tcBorders>
              <w:bottom w:val="single" w:sz="8" w:color="DCE2EF"/>
            </w:tcBorders>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March 7, 2018</w:t>
            </w:r>
          </w:p>
        </w:tc>
      </w:tr>
      <w:tr>
        <w:trPr>
          <w:trHeight w:val="155"/>
        </w:trPr>
        <w:tc>
          <w:tcPr>
            <w:tcW w:w="1360" w:type="dxa"/>
            <w:vAlign w:val="bottom"/>
            <w:shd w:val="clear" w:color="auto" w:fill="DCE2EF"/>
          </w:tcPr>
          <w:p>
            <w:pPr>
              <w:spacing w:after="0"/>
              <w:rPr>
                <w:sz w:val="13"/>
                <w:szCs w:val="13"/>
                <w:color w:val="auto"/>
              </w:rPr>
            </w:pPr>
          </w:p>
        </w:tc>
        <w:tc>
          <w:tcPr>
            <w:tcW w:w="4620" w:type="dxa"/>
            <w:vAlign w:val="bottom"/>
            <w:gridSpan w:val="41"/>
            <w:shd w:val="clear" w:color="auto" w:fill="DCE2EF"/>
          </w:tcPr>
          <w:p>
            <w:pPr>
              <w:spacing w:after="0" w:line="156" w:lineRule="exact"/>
              <w:rPr>
                <w:rFonts w:ascii="Arial" w:cs="Arial" w:eastAsia="Arial" w:hAnsi="Arial"/>
                <w:sz w:val="18"/>
                <w:szCs w:val="18"/>
                <w:color w:val="0000FF"/>
              </w:rPr>
            </w:pPr>
            <w:hyperlink r:id="rId207">
              <w:r>
                <w:rPr>
                  <w:rFonts w:ascii="Arial" w:cs="Arial" w:eastAsia="Arial" w:hAnsi="Arial"/>
                  <w:sz w:val="18"/>
                  <w:szCs w:val="18"/>
                  <w:color w:val="0000FF"/>
                </w:rPr>
                <w:t>2018, by and between ABM Industries Incorporated and</w:t>
              </w:r>
            </w:hyperlink>
          </w:p>
        </w:tc>
        <w:tc>
          <w:tcPr>
            <w:tcW w:w="760" w:type="dxa"/>
            <w:vAlign w:val="bottom"/>
            <w:shd w:val="clear" w:color="auto" w:fill="DCE2EF"/>
          </w:tcPr>
          <w:p>
            <w:pPr>
              <w:spacing w:after="0"/>
              <w:rPr>
                <w:sz w:val="13"/>
                <w:szCs w:val="13"/>
                <w:color w:val="auto"/>
              </w:rPr>
            </w:pPr>
          </w:p>
        </w:tc>
        <w:tc>
          <w:tcPr>
            <w:tcW w:w="1340" w:type="dxa"/>
            <w:vAlign w:val="bottom"/>
            <w:shd w:val="clear" w:color="auto" w:fill="DCE2EF"/>
          </w:tcPr>
          <w:p>
            <w:pPr>
              <w:spacing w:after="0"/>
              <w:rPr>
                <w:sz w:val="13"/>
                <w:szCs w:val="13"/>
                <w:color w:val="auto"/>
              </w:rPr>
            </w:pPr>
          </w:p>
        </w:tc>
        <w:tc>
          <w:tcPr>
            <w:tcW w:w="1000" w:type="dxa"/>
            <w:vAlign w:val="bottom"/>
            <w:shd w:val="clear" w:color="auto" w:fill="DCE2EF"/>
          </w:tcPr>
          <w:p>
            <w:pPr>
              <w:spacing w:after="0"/>
              <w:rPr>
                <w:sz w:val="13"/>
                <w:szCs w:val="13"/>
                <w:color w:val="auto"/>
              </w:rPr>
            </w:pPr>
          </w:p>
        </w:tc>
        <w:tc>
          <w:tcPr>
            <w:tcW w:w="2160" w:type="dxa"/>
            <w:vAlign w:val="bottom"/>
            <w:shd w:val="clear" w:color="auto" w:fill="DCE2EF"/>
          </w:tcPr>
          <w:p>
            <w:pPr>
              <w:spacing w:after="0"/>
              <w:rPr>
                <w:sz w:val="13"/>
                <w:szCs w:val="13"/>
                <w:color w:val="auto"/>
              </w:rPr>
            </w:pPr>
          </w:p>
        </w:tc>
      </w:tr>
      <w:tr>
        <w:trPr>
          <w:trHeight w:val="176"/>
        </w:trPr>
        <w:tc>
          <w:tcPr>
            <w:tcW w:w="1360" w:type="dxa"/>
            <w:vAlign w:val="bottom"/>
            <w:tcBorders>
              <w:top w:val="single" w:sz="8" w:color="DCE2EF"/>
              <w:bottom w:val="single" w:sz="8" w:color="DCE2EF"/>
            </w:tcBorders>
            <w:shd w:val="clear" w:color="auto" w:fill="DCE2EF"/>
          </w:tcPr>
          <w:p>
            <w:pPr>
              <w:spacing w:after="0"/>
              <w:rPr>
                <w:sz w:val="15"/>
                <w:szCs w:val="15"/>
                <w:color w:val="auto"/>
              </w:rPr>
            </w:pPr>
          </w:p>
        </w:tc>
        <w:tc>
          <w:tcPr>
            <w:tcW w:w="1260" w:type="dxa"/>
            <w:vAlign w:val="bottom"/>
            <w:tcBorders>
              <w:top w:val="single" w:sz="8" w:color="0000FF"/>
              <w:bottom w:val="single" w:sz="8" w:color="0000FF"/>
            </w:tcBorders>
            <w:gridSpan w:val="7"/>
            <w:shd w:val="clear" w:color="auto" w:fill="DCE2EF"/>
          </w:tcPr>
          <w:p>
            <w:pPr>
              <w:spacing w:after="0" w:line="156" w:lineRule="exact"/>
              <w:rPr>
                <w:rFonts w:ascii="Arial" w:cs="Arial" w:eastAsia="Arial" w:hAnsi="Arial"/>
                <w:sz w:val="18"/>
                <w:szCs w:val="18"/>
                <w:color w:val="0000FF"/>
                <w:w w:val="99"/>
              </w:rPr>
            </w:pPr>
            <w:hyperlink r:id="rId207">
              <w:r>
                <w:rPr>
                  <w:rFonts w:ascii="Arial" w:cs="Arial" w:eastAsia="Arial" w:hAnsi="Arial"/>
                  <w:sz w:val="18"/>
                  <w:szCs w:val="18"/>
                  <w:color w:val="0000FF"/>
                  <w:w w:val="99"/>
                </w:rPr>
                <w:t>Rene Jacobsen</w:t>
              </w:r>
            </w:hyperlink>
          </w:p>
        </w:tc>
        <w:tc>
          <w:tcPr>
            <w:tcW w:w="3220" w:type="dxa"/>
            <w:vAlign w:val="bottom"/>
            <w:tcBorders>
              <w:top w:val="single" w:sz="8" w:color="0000FF"/>
              <w:bottom w:val="single" w:sz="8" w:color="DCE2EF"/>
            </w:tcBorders>
            <w:gridSpan w:val="32"/>
            <w:shd w:val="clear" w:color="auto" w:fill="DCE2EF"/>
          </w:tcPr>
          <w:p>
            <w:pPr>
              <w:spacing w:after="0"/>
              <w:rPr>
                <w:sz w:val="15"/>
                <w:szCs w:val="15"/>
                <w:color w:val="auto"/>
              </w:rPr>
            </w:pPr>
          </w:p>
        </w:tc>
        <w:tc>
          <w:tcPr>
            <w:tcW w:w="14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760" w:type="dxa"/>
            <w:vAlign w:val="bottom"/>
            <w:tcBorders>
              <w:top w:val="single" w:sz="8" w:color="DCE2EF"/>
              <w:bottom w:val="single" w:sz="8" w:color="DCE2EF"/>
            </w:tcBorders>
            <w:shd w:val="clear" w:color="auto" w:fill="DCE2EF"/>
          </w:tcPr>
          <w:p>
            <w:pPr>
              <w:spacing w:after="0"/>
              <w:rPr>
                <w:sz w:val="15"/>
                <w:szCs w:val="15"/>
                <w:color w:val="auto"/>
              </w:rPr>
            </w:pPr>
          </w:p>
        </w:tc>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1000" w:type="dxa"/>
            <w:vAlign w:val="bottom"/>
            <w:tcBorders>
              <w:top w:val="single" w:sz="8" w:color="DCE2EF"/>
              <w:bottom w:val="single" w:sz="8" w:color="DCE2EF"/>
            </w:tcBorders>
            <w:shd w:val="clear" w:color="auto" w:fill="DCE2EF"/>
          </w:tcPr>
          <w:p>
            <w:pPr>
              <w:spacing w:after="0"/>
              <w:rPr>
                <w:sz w:val="15"/>
                <w:szCs w:val="15"/>
                <w:color w:val="auto"/>
              </w:rPr>
            </w:pPr>
          </w:p>
        </w:tc>
        <w:tc>
          <w:tcPr>
            <w:tcW w:w="216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9"/>
        </w:trPr>
        <w:tc>
          <w:tcPr>
            <w:tcW w:w="1360" w:type="dxa"/>
            <w:vAlign w:val="bottom"/>
          </w:tcPr>
          <w:p>
            <w:pPr>
              <w:jc w:val="right"/>
              <w:ind w:right="730"/>
              <w:spacing w:after="0" w:line="189" w:lineRule="exact"/>
              <w:rPr>
                <w:sz w:val="20"/>
                <w:szCs w:val="20"/>
                <w:color w:val="auto"/>
              </w:rPr>
            </w:pPr>
            <w:r>
              <w:rPr>
                <w:rFonts w:ascii="Arial" w:cs="Arial" w:eastAsia="Arial" w:hAnsi="Arial"/>
                <w:sz w:val="18"/>
                <w:szCs w:val="18"/>
                <w:color w:val="auto"/>
                <w:w w:val="99"/>
              </w:rPr>
              <w:t>10.36*</w:t>
            </w:r>
          </w:p>
        </w:tc>
        <w:tc>
          <w:tcPr>
            <w:tcW w:w="4620" w:type="dxa"/>
            <w:vAlign w:val="bottom"/>
            <w:gridSpan w:val="41"/>
          </w:tcPr>
          <w:p>
            <w:pPr>
              <w:spacing w:after="0" w:line="189" w:lineRule="exact"/>
              <w:rPr>
                <w:rFonts w:ascii="Arial" w:cs="Arial" w:eastAsia="Arial" w:hAnsi="Arial"/>
                <w:sz w:val="18"/>
                <w:szCs w:val="18"/>
                <w:color w:val="0000FF"/>
              </w:rPr>
            </w:pPr>
            <w:hyperlink r:id="rId208">
              <w:r>
                <w:rPr>
                  <w:rFonts w:ascii="Arial" w:cs="Arial" w:eastAsia="Arial" w:hAnsi="Arial"/>
                  <w:sz w:val="18"/>
                  <w:szCs w:val="18"/>
                  <w:color w:val="0000FF"/>
                </w:rPr>
                <w:t>Executive Employment Agreement, dated as of March</w:t>
              </w:r>
            </w:hyperlink>
          </w:p>
        </w:tc>
        <w:tc>
          <w:tcPr>
            <w:tcW w:w="760" w:type="dxa"/>
            <w:vAlign w:val="bottom"/>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rPr>
              <w:t>10.1</w:t>
            </w:r>
          </w:p>
        </w:tc>
        <w:tc>
          <w:tcPr>
            <w:tcW w:w="2160" w:type="dxa"/>
            <w:vAlign w:val="bottom"/>
          </w:tcPr>
          <w:p>
            <w:pPr>
              <w:jc w:val="center"/>
              <w:spacing w:after="0" w:line="189" w:lineRule="exact"/>
              <w:rPr>
                <w:sz w:val="20"/>
                <w:szCs w:val="20"/>
                <w:color w:val="auto"/>
              </w:rPr>
            </w:pPr>
            <w:r>
              <w:rPr>
                <w:rFonts w:ascii="Arial" w:cs="Arial" w:eastAsia="Arial" w:hAnsi="Arial"/>
                <w:sz w:val="18"/>
                <w:szCs w:val="18"/>
                <w:color w:val="auto"/>
                <w:w w:val="99"/>
              </w:rPr>
              <w:t>March 7, 2019</w:t>
            </w:r>
          </w:p>
        </w:tc>
      </w:tr>
      <w:tr>
        <w:trPr>
          <w:trHeight w:val="155"/>
        </w:trPr>
        <w:tc>
          <w:tcPr>
            <w:tcW w:w="1360" w:type="dxa"/>
            <w:vAlign w:val="bottom"/>
          </w:tcPr>
          <w:p>
            <w:pPr>
              <w:spacing w:after="0"/>
              <w:rPr>
                <w:sz w:val="13"/>
                <w:szCs w:val="13"/>
                <w:color w:val="auto"/>
              </w:rPr>
            </w:pPr>
          </w:p>
        </w:tc>
        <w:tc>
          <w:tcPr>
            <w:tcW w:w="4300" w:type="dxa"/>
            <w:vAlign w:val="bottom"/>
            <w:tcBorders>
              <w:top w:val="single" w:sz="8" w:color="0000FF"/>
            </w:tcBorders>
            <w:gridSpan w:val="28"/>
          </w:tcPr>
          <w:p>
            <w:pPr>
              <w:spacing w:after="0" w:line="156" w:lineRule="exact"/>
              <w:rPr>
                <w:rFonts w:ascii="Arial" w:cs="Arial" w:eastAsia="Arial" w:hAnsi="Arial"/>
                <w:sz w:val="18"/>
                <w:szCs w:val="18"/>
                <w:color w:val="0000FF"/>
                <w:w w:val="99"/>
              </w:rPr>
            </w:pPr>
            <w:hyperlink r:id="rId208">
              <w:r>
                <w:rPr>
                  <w:rFonts w:ascii="Arial" w:cs="Arial" w:eastAsia="Arial" w:hAnsi="Arial"/>
                  <w:sz w:val="18"/>
                  <w:szCs w:val="18"/>
                  <w:color w:val="0000FF"/>
                  <w:w w:val="99"/>
                </w:rPr>
                <w:t>1, 2018, by and between ABM Industries Incorporated</w:t>
              </w:r>
            </w:hyperlink>
          </w:p>
        </w:tc>
        <w:tc>
          <w:tcPr>
            <w:tcW w:w="320" w:type="dxa"/>
            <w:vAlign w:val="bottom"/>
            <w:gridSpan w:val="13"/>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43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208">
              <w:r>
                <w:rPr>
                  <w:rFonts w:ascii="Arial" w:cs="Arial" w:eastAsia="Arial" w:hAnsi="Arial"/>
                  <w:sz w:val="18"/>
                  <w:szCs w:val="18"/>
                  <w:color w:val="0000FF"/>
                </w:rPr>
                <w:t>and Andrea Newborn</w:t>
              </w:r>
            </w:hyperlink>
          </w:p>
        </w:tc>
        <w:tc>
          <w:tcPr>
            <w:tcW w:w="300" w:type="dxa"/>
            <w:vAlign w:val="bottom"/>
            <w:gridSpan w:val="12"/>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898"/>
        </w:trPr>
        <w:tc>
          <w:tcPr>
            <w:tcW w:w="1360" w:type="dxa"/>
            <w:vAlign w:val="bottom"/>
          </w:tcPr>
          <w:p>
            <w:pPr>
              <w:spacing w:after="0"/>
              <w:rPr>
                <w:sz w:val="24"/>
                <w:szCs w:val="24"/>
                <w:color w:val="auto"/>
              </w:rPr>
            </w:pPr>
          </w:p>
        </w:tc>
        <w:tc>
          <w:tcPr>
            <w:tcW w:w="1700" w:type="dxa"/>
            <w:vAlign w:val="bottom"/>
            <w:tcBorders>
              <w:top w:val="single" w:sz="8" w:color="0000FF"/>
            </w:tcBorders>
            <w:gridSpan w:val="9"/>
          </w:tcPr>
          <w:p>
            <w:pPr>
              <w:spacing w:after="0"/>
              <w:rPr>
                <w:sz w:val="24"/>
                <w:szCs w:val="24"/>
                <w:color w:val="auto"/>
              </w:rPr>
            </w:pPr>
          </w:p>
        </w:tc>
        <w:tc>
          <w:tcPr>
            <w:tcW w:w="2740" w:type="dxa"/>
            <w:vAlign w:val="bottom"/>
            <w:gridSpan w:val="28"/>
          </w:tcPr>
          <w:p>
            <w:pPr>
              <w:jc w:val="right"/>
              <w:ind w:right="2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7277"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DCE2EF"/>
          </w:tcPr>
          <w:p>
            <w:pPr>
              <w:ind w:left="20"/>
              <w:spacing w:after="0"/>
              <w:rPr>
                <w:sz w:val="20"/>
                <w:szCs w:val="20"/>
                <w:color w:val="auto"/>
              </w:rPr>
            </w:pPr>
            <w:r>
              <w:rPr>
                <w:rFonts w:ascii="Arial" w:cs="Arial" w:eastAsia="Arial" w:hAnsi="Arial"/>
                <w:sz w:val="18"/>
                <w:szCs w:val="18"/>
                <w:color w:val="auto"/>
              </w:rPr>
              <w:t>10.37*</w:t>
            </w:r>
          </w:p>
        </w:tc>
        <w:tc>
          <w:tcPr>
            <w:tcW w:w="4620" w:type="dxa"/>
            <w:vAlign w:val="bottom"/>
            <w:gridSpan w:val="27"/>
            <w:shd w:val="clear" w:color="auto" w:fill="DCE2EF"/>
          </w:tcPr>
          <w:p>
            <w:pPr>
              <w:spacing w:after="0"/>
              <w:rPr>
                <w:rFonts w:ascii="Arial" w:cs="Arial" w:eastAsia="Arial" w:hAnsi="Arial"/>
                <w:sz w:val="18"/>
                <w:szCs w:val="18"/>
                <w:color w:val="0000FF"/>
              </w:rPr>
            </w:pPr>
            <w:hyperlink r:id="rId211">
              <w:r>
                <w:rPr>
                  <w:rFonts w:ascii="Arial" w:cs="Arial" w:eastAsia="Arial" w:hAnsi="Arial"/>
                  <w:sz w:val="18"/>
                  <w:szCs w:val="18"/>
                  <w:color w:val="0000FF"/>
                </w:rPr>
                <w:t>Change in Control Agreement, dated as of March 1,</w:t>
              </w:r>
            </w:hyperlink>
          </w:p>
        </w:tc>
        <w:tc>
          <w:tcPr>
            <w:tcW w:w="760" w:type="dxa"/>
            <w:vAlign w:val="bottom"/>
            <w:shd w:val="clear" w:color="auto" w:fill="DCE2EF"/>
          </w:tcPr>
          <w:p>
            <w:pPr>
              <w:ind w:left="140"/>
              <w:spacing w:after="0"/>
              <w:rPr>
                <w:sz w:val="20"/>
                <w:szCs w:val="20"/>
                <w:color w:val="auto"/>
              </w:rPr>
            </w:pPr>
            <w:r>
              <w:rPr>
                <w:rFonts w:ascii="Arial" w:cs="Arial" w:eastAsia="Arial" w:hAnsi="Arial"/>
                <w:sz w:val="18"/>
                <w:szCs w:val="18"/>
                <w:color w:val="auto"/>
              </w:rPr>
              <w:t>10-Q</w:t>
            </w:r>
          </w:p>
        </w:tc>
        <w:tc>
          <w:tcPr>
            <w:tcW w:w="134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rPr>
              <w:t>001-08929</w:t>
            </w:r>
          </w:p>
        </w:tc>
        <w:tc>
          <w:tcPr>
            <w:tcW w:w="100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10.2</w:t>
            </w:r>
          </w:p>
        </w:tc>
        <w:tc>
          <w:tcPr>
            <w:tcW w:w="216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March 7, 2019</w:t>
            </w:r>
          </w:p>
        </w:tc>
      </w:tr>
      <w:tr>
        <w:trPr>
          <w:trHeight w:val="156"/>
        </w:trPr>
        <w:tc>
          <w:tcPr>
            <w:tcW w:w="1360" w:type="dxa"/>
            <w:vAlign w:val="bottom"/>
            <w:tcBorders>
              <w:top w:val="single" w:sz="8" w:color="DCE2EF"/>
            </w:tcBorders>
            <w:shd w:val="clear" w:color="auto" w:fill="DCE2EF"/>
          </w:tcPr>
          <w:p>
            <w:pPr>
              <w:spacing w:after="0"/>
              <w:rPr>
                <w:sz w:val="13"/>
                <w:szCs w:val="13"/>
                <w:color w:val="auto"/>
              </w:rPr>
            </w:pPr>
          </w:p>
        </w:tc>
        <w:tc>
          <w:tcPr>
            <w:tcW w:w="4120" w:type="dxa"/>
            <w:vAlign w:val="bottom"/>
            <w:tcBorders>
              <w:top w:val="single" w:sz="8" w:color="0000FF"/>
            </w:tcBorders>
            <w:gridSpan w:val="16"/>
            <w:shd w:val="clear" w:color="auto" w:fill="DCE2EF"/>
          </w:tcPr>
          <w:p>
            <w:pPr>
              <w:spacing w:after="0" w:line="157" w:lineRule="exact"/>
              <w:rPr>
                <w:rFonts w:ascii="Arial" w:cs="Arial" w:eastAsia="Arial" w:hAnsi="Arial"/>
                <w:sz w:val="18"/>
                <w:szCs w:val="18"/>
                <w:color w:val="0000FF"/>
                <w:w w:val="99"/>
              </w:rPr>
            </w:pPr>
            <w:hyperlink r:id="rId211">
              <w:r>
                <w:rPr>
                  <w:rFonts w:ascii="Arial" w:cs="Arial" w:eastAsia="Arial" w:hAnsi="Arial"/>
                  <w:sz w:val="18"/>
                  <w:szCs w:val="18"/>
                  <w:color w:val="0000FF"/>
                  <w:w w:val="99"/>
                </w:rPr>
                <w:t>2018, by and between ABM Industries Incorporated</w:t>
              </w:r>
            </w:hyperlink>
          </w:p>
        </w:tc>
        <w:tc>
          <w:tcPr>
            <w:tcW w:w="500" w:type="dxa"/>
            <w:vAlign w:val="bottom"/>
            <w:tcBorders>
              <w:top w:val="single" w:sz="8" w:color="DCE2EF"/>
            </w:tcBorders>
            <w:gridSpan w:val="11"/>
            <w:shd w:val="clear" w:color="auto" w:fill="DCE2EF"/>
          </w:tcPr>
          <w:p>
            <w:pPr>
              <w:ind w:left="40"/>
              <w:spacing w:after="0" w:line="157" w:lineRule="exact"/>
              <w:rPr>
                <w:rFonts w:ascii="Arial" w:cs="Arial" w:eastAsia="Arial" w:hAnsi="Arial"/>
                <w:sz w:val="18"/>
                <w:szCs w:val="18"/>
                <w:color w:val="0000FF"/>
              </w:rPr>
            </w:pPr>
            <w:hyperlink r:id="rId211">
              <w:r>
                <w:rPr>
                  <w:rFonts w:ascii="Arial" w:cs="Arial" w:eastAsia="Arial" w:hAnsi="Arial"/>
                  <w:sz w:val="18"/>
                  <w:szCs w:val="18"/>
                  <w:color w:val="0000FF"/>
                </w:rPr>
                <w:t>and</w:t>
              </w:r>
            </w:hyperlink>
          </w:p>
        </w:tc>
        <w:tc>
          <w:tcPr>
            <w:tcW w:w="76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0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r>
      <w:tr>
        <w:trPr>
          <w:trHeight w:val="176"/>
        </w:trPr>
        <w:tc>
          <w:tcPr>
            <w:tcW w:w="1360" w:type="dxa"/>
            <w:vAlign w:val="bottom"/>
            <w:tcBorders>
              <w:top w:val="single" w:sz="8" w:color="DCE2EF"/>
              <w:bottom w:val="single" w:sz="8" w:color="DCE2EF"/>
            </w:tcBorders>
            <w:shd w:val="clear" w:color="auto" w:fill="DCE2EF"/>
          </w:tcPr>
          <w:p>
            <w:pPr>
              <w:spacing w:after="0"/>
              <w:rPr>
                <w:sz w:val="15"/>
                <w:szCs w:val="15"/>
                <w:color w:val="auto"/>
              </w:rPr>
            </w:pPr>
          </w:p>
        </w:tc>
        <w:tc>
          <w:tcPr>
            <w:tcW w:w="1360" w:type="dxa"/>
            <w:vAlign w:val="bottom"/>
            <w:tcBorders>
              <w:top w:val="single" w:sz="8" w:color="0000FF"/>
              <w:bottom w:val="single" w:sz="8" w:color="0000FF"/>
            </w:tcBorders>
            <w:gridSpan w:val="4"/>
            <w:shd w:val="clear" w:color="auto" w:fill="DCE2EF"/>
          </w:tcPr>
          <w:p>
            <w:pPr>
              <w:spacing w:after="0" w:line="156" w:lineRule="exact"/>
              <w:rPr>
                <w:rFonts w:ascii="Arial" w:cs="Arial" w:eastAsia="Arial" w:hAnsi="Arial"/>
                <w:sz w:val="18"/>
                <w:szCs w:val="18"/>
                <w:color w:val="0000FF"/>
                <w:w w:val="99"/>
              </w:rPr>
            </w:pPr>
            <w:hyperlink r:id="rId211">
              <w:r>
                <w:rPr>
                  <w:rFonts w:ascii="Arial" w:cs="Arial" w:eastAsia="Arial" w:hAnsi="Arial"/>
                  <w:sz w:val="18"/>
                  <w:szCs w:val="18"/>
                  <w:color w:val="0000FF"/>
                  <w:w w:val="99"/>
                </w:rPr>
                <w:t>Andrea Newborn</w:t>
              </w:r>
            </w:hyperlink>
          </w:p>
        </w:tc>
        <w:tc>
          <w:tcPr>
            <w:tcW w:w="3120" w:type="dxa"/>
            <w:vAlign w:val="bottom"/>
            <w:tcBorders>
              <w:top w:val="single" w:sz="8" w:color="0000FF"/>
              <w:bottom w:val="single" w:sz="8" w:color="DCE2EF"/>
            </w:tcBorders>
            <w:gridSpan w:val="20"/>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760" w:type="dxa"/>
            <w:vAlign w:val="bottom"/>
            <w:tcBorders>
              <w:top w:val="single" w:sz="8" w:color="DCE2EF"/>
              <w:bottom w:val="single" w:sz="8" w:color="DCE2EF"/>
            </w:tcBorders>
            <w:shd w:val="clear" w:color="auto" w:fill="DCE2EF"/>
          </w:tcPr>
          <w:p>
            <w:pPr>
              <w:spacing w:after="0"/>
              <w:rPr>
                <w:sz w:val="15"/>
                <w:szCs w:val="15"/>
                <w:color w:val="auto"/>
              </w:rPr>
            </w:pPr>
          </w:p>
        </w:tc>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1000" w:type="dxa"/>
            <w:vAlign w:val="bottom"/>
            <w:tcBorders>
              <w:top w:val="single" w:sz="8" w:color="DCE2EF"/>
              <w:bottom w:val="single" w:sz="8" w:color="DCE2EF"/>
            </w:tcBorders>
            <w:shd w:val="clear" w:color="auto" w:fill="DCE2EF"/>
          </w:tcPr>
          <w:p>
            <w:pPr>
              <w:spacing w:after="0"/>
              <w:rPr>
                <w:sz w:val="15"/>
                <w:szCs w:val="15"/>
                <w:color w:val="auto"/>
              </w:rPr>
            </w:pPr>
          </w:p>
        </w:tc>
        <w:tc>
          <w:tcPr>
            <w:tcW w:w="216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9"/>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10.38*</w:t>
            </w:r>
          </w:p>
        </w:tc>
        <w:tc>
          <w:tcPr>
            <w:tcW w:w="4620" w:type="dxa"/>
            <w:vAlign w:val="bottom"/>
            <w:gridSpan w:val="27"/>
          </w:tcPr>
          <w:p>
            <w:pPr>
              <w:spacing w:after="0" w:line="189" w:lineRule="exact"/>
              <w:rPr>
                <w:rFonts w:ascii="Arial" w:cs="Arial" w:eastAsia="Arial" w:hAnsi="Arial"/>
                <w:sz w:val="18"/>
                <w:szCs w:val="18"/>
                <w:color w:val="0000FF"/>
              </w:rPr>
            </w:pPr>
            <w:hyperlink r:id="rId212">
              <w:r>
                <w:rPr>
                  <w:rFonts w:ascii="Arial" w:cs="Arial" w:eastAsia="Arial" w:hAnsi="Arial"/>
                  <w:sz w:val="18"/>
                  <w:szCs w:val="18"/>
                  <w:color w:val="0000FF"/>
                </w:rPr>
                <w:t>Executive Employment Agreement, dated as of October</w:t>
              </w:r>
            </w:hyperlink>
          </w:p>
        </w:tc>
        <w:tc>
          <w:tcPr>
            <w:tcW w:w="760" w:type="dxa"/>
            <w:vAlign w:val="bottom"/>
          </w:tcPr>
          <w:p>
            <w:pPr>
              <w:ind w:left="140"/>
              <w:spacing w:after="0" w:line="189" w:lineRule="exact"/>
              <w:rPr>
                <w:sz w:val="20"/>
                <w:szCs w:val="20"/>
                <w:color w:val="auto"/>
              </w:rPr>
            </w:pPr>
            <w:r>
              <w:rPr>
                <w:rFonts w:ascii="Arial" w:cs="Arial" w:eastAsia="Arial" w:hAnsi="Arial"/>
                <w:sz w:val="18"/>
                <w:szCs w:val="18"/>
                <w:color w:val="auto"/>
              </w:rPr>
              <w:t>10-K</w:t>
            </w:r>
          </w:p>
        </w:tc>
        <w:tc>
          <w:tcPr>
            <w:tcW w:w="13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97"/>
              </w:rPr>
              <w:t>10.35</w:t>
            </w:r>
          </w:p>
        </w:tc>
        <w:tc>
          <w:tcPr>
            <w:tcW w:w="2160" w:type="dxa"/>
            <w:vAlign w:val="bottom"/>
          </w:tcPr>
          <w:p>
            <w:pPr>
              <w:jc w:val="center"/>
              <w:spacing w:after="0" w:line="189" w:lineRule="exact"/>
              <w:rPr>
                <w:sz w:val="20"/>
                <w:szCs w:val="20"/>
                <w:color w:val="auto"/>
              </w:rPr>
            </w:pPr>
            <w:r>
              <w:rPr>
                <w:rFonts w:ascii="Arial" w:cs="Arial" w:eastAsia="Arial" w:hAnsi="Arial"/>
                <w:sz w:val="18"/>
                <w:szCs w:val="18"/>
                <w:color w:val="auto"/>
                <w:w w:val="99"/>
              </w:rPr>
              <w:t>December 20, 2019</w:t>
            </w:r>
          </w:p>
        </w:tc>
      </w:tr>
      <w:tr>
        <w:trPr>
          <w:trHeight w:val="155"/>
        </w:trPr>
        <w:tc>
          <w:tcPr>
            <w:tcW w:w="1360" w:type="dxa"/>
            <w:vAlign w:val="bottom"/>
          </w:tcPr>
          <w:p>
            <w:pPr>
              <w:spacing w:after="0"/>
              <w:rPr>
                <w:sz w:val="13"/>
                <w:szCs w:val="13"/>
                <w:color w:val="auto"/>
              </w:rPr>
            </w:pPr>
          </w:p>
        </w:tc>
        <w:tc>
          <w:tcPr>
            <w:tcW w:w="44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12">
              <w:r>
                <w:rPr>
                  <w:rFonts w:ascii="Arial" w:cs="Arial" w:eastAsia="Arial" w:hAnsi="Arial"/>
                  <w:sz w:val="18"/>
                  <w:szCs w:val="18"/>
                  <w:color w:val="0000FF"/>
                </w:rPr>
                <w:t>28, 2019, by and between ABM Industries Incorporated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44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12">
              <w:r>
                <w:rPr>
                  <w:rFonts w:ascii="Arial" w:cs="Arial" w:eastAsia="Arial" w:hAnsi="Arial"/>
                  <w:sz w:val="18"/>
                  <w:szCs w:val="18"/>
                  <w:color w:val="0000FF"/>
                </w:rPr>
                <w:t>and Joshua H. Feinberg</w:t>
              </w:r>
            </w:hyperlink>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1"/>
        </w:trPr>
        <w:tc>
          <w:tcPr>
            <w:tcW w:w="1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9"/>
        </w:trPr>
        <w:tc>
          <w:tcPr>
            <w:tcW w:w="1360" w:type="dxa"/>
            <w:vAlign w:val="bottom"/>
            <w:shd w:val="clear" w:color="auto" w:fill="DCE2EF"/>
          </w:tcPr>
          <w:p>
            <w:pPr>
              <w:ind w:left="20"/>
              <w:spacing w:after="0" w:line="189" w:lineRule="exact"/>
              <w:rPr>
                <w:sz w:val="20"/>
                <w:szCs w:val="20"/>
                <w:color w:val="auto"/>
              </w:rPr>
            </w:pPr>
            <w:r>
              <w:rPr>
                <w:rFonts w:ascii="Arial" w:cs="Arial" w:eastAsia="Arial" w:hAnsi="Arial"/>
                <w:sz w:val="18"/>
                <w:szCs w:val="18"/>
                <w:color w:val="auto"/>
              </w:rPr>
              <w:t>10.39*</w:t>
            </w:r>
          </w:p>
        </w:tc>
        <w:tc>
          <w:tcPr>
            <w:tcW w:w="4620" w:type="dxa"/>
            <w:vAlign w:val="bottom"/>
            <w:gridSpan w:val="27"/>
            <w:shd w:val="clear" w:color="auto" w:fill="DCE2EF"/>
          </w:tcPr>
          <w:p>
            <w:pPr>
              <w:spacing w:after="0" w:line="189" w:lineRule="exact"/>
              <w:rPr>
                <w:rFonts w:ascii="Arial" w:cs="Arial" w:eastAsia="Arial" w:hAnsi="Arial"/>
                <w:sz w:val="18"/>
                <w:szCs w:val="18"/>
                <w:color w:val="0000FF"/>
              </w:rPr>
            </w:pPr>
            <w:hyperlink r:id="rId213">
              <w:r>
                <w:rPr>
                  <w:rFonts w:ascii="Arial" w:cs="Arial" w:eastAsia="Arial" w:hAnsi="Arial"/>
                  <w:sz w:val="18"/>
                  <w:szCs w:val="18"/>
                  <w:color w:val="0000FF"/>
                </w:rPr>
                <w:t>Change in Control Agreement, dated as of February 8,</w:t>
              </w:r>
            </w:hyperlink>
          </w:p>
        </w:tc>
        <w:tc>
          <w:tcPr>
            <w:tcW w:w="760" w:type="dxa"/>
            <w:vAlign w:val="bottom"/>
            <w:shd w:val="clear" w:color="auto" w:fill="DCE2EF"/>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shd w:val="clear" w:color="auto" w:fill="DCE2EF"/>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rPr>
              <w:t>10.4</w:t>
            </w:r>
          </w:p>
        </w:tc>
        <w:tc>
          <w:tcPr>
            <w:tcW w:w="216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June 9, 2021</w:t>
            </w:r>
          </w:p>
        </w:tc>
      </w:tr>
      <w:tr>
        <w:trPr>
          <w:trHeight w:val="20"/>
        </w:trPr>
        <w:tc>
          <w:tcPr>
            <w:tcW w:w="1360" w:type="dxa"/>
            <w:vAlign w:val="bottom"/>
            <w:shd w:val="clear" w:color="auto" w:fill="DCE2E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DCE2EF"/>
          </w:tcPr>
          <w:p>
            <w:pPr>
              <w:spacing w:after="0" w:line="20" w:lineRule="exact"/>
              <w:rPr>
                <w:sz w:val="1"/>
                <w:szCs w:val="1"/>
                <w:color w:val="auto"/>
              </w:rPr>
            </w:pPr>
          </w:p>
        </w:tc>
        <w:tc>
          <w:tcPr>
            <w:tcW w:w="60" w:type="dxa"/>
            <w:vAlign w:val="bottom"/>
            <w:gridSpan w:val="3"/>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100" w:type="dxa"/>
            <w:vAlign w:val="bottom"/>
            <w:shd w:val="clear" w:color="auto" w:fill="DCE2EF"/>
          </w:tcPr>
          <w:p>
            <w:pPr>
              <w:spacing w:after="0" w:line="20" w:lineRule="exact"/>
              <w:rPr>
                <w:sz w:val="1"/>
                <w:szCs w:val="1"/>
                <w:color w:val="auto"/>
              </w:rPr>
            </w:pPr>
          </w:p>
        </w:tc>
        <w:tc>
          <w:tcPr>
            <w:tcW w:w="760" w:type="dxa"/>
            <w:vAlign w:val="bottom"/>
            <w:shd w:val="clear" w:color="auto" w:fill="DCE2EF"/>
          </w:tcPr>
          <w:p>
            <w:pPr>
              <w:spacing w:after="0" w:line="20" w:lineRule="exact"/>
              <w:rPr>
                <w:sz w:val="1"/>
                <w:szCs w:val="1"/>
                <w:color w:val="auto"/>
              </w:rPr>
            </w:pPr>
          </w:p>
        </w:tc>
        <w:tc>
          <w:tcPr>
            <w:tcW w:w="1340" w:type="dxa"/>
            <w:vAlign w:val="bottom"/>
            <w:shd w:val="clear" w:color="auto" w:fill="DCE2EF"/>
          </w:tcPr>
          <w:p>
            <w:pPr>
              <w:spacing w:after="0" w:line="20" w:lineRule="exact"/>
              <w:rPr>
                <w:sz w:val="1"/>
                <w:szCs w:val="1"/>
                <w:color w:val="auto"/>
              </w:rPr>
            </w:pPr>
          </w:p>
        </w:tc>
        <w:tc>
          <w:tcPr>
            <w:tcW w:w="1000" w:type="dxa"/>
            <w:vAlign w:val="bottom"/>
            <w:shd w:val="clear" w:color="auto" w:fill="DCE2EF"/>
          </w:tcPr>
          <w:p>
            <w:pPr>
              <w:spacing w:after="0" w:line="20" w:lineRule="exact"/>
              <w:rPr>
                <w:sz w:val="1"/>
                <w:szCs w:val="1"/>
                <w:color w:val="auto"/>
              </w:rPr>
            </w:pPr>
          </w:p>
        </w:tc>
        <w:tc>
          <w:tcPr>
            <w:tcW w:w="2160" w:type="dxa"/>
            <w:vAlign w:val="bottom"/>
            <w:shd w:val="clear" w:color="auto" w:fill="DCE2EF"/>
          </w:tcPr>
          <w:p>
            <w:pPr>
              <w:spacing w:after="0" w:line="20" w:lineRule="exact"/>
              <w:rPr>
                <w:sz w:val="1"/>
                <w:szCs w:val="1"/>
                <w:color w:val="auto"/>
              </w:rPr>
            </w:pPr>
          </w:p>
        </w:tc>
      </w:tr>
      <w:tr>
        <w:trPr>
          <w:trHeight w:val="155"/>
        </w:trPr>
        <w:tc>
          <w:tcPr>
            <w:tcW w:w="1360" w:type="dxa"/>
            <w:vAlign w:val="bottom"/>
            <w:shd w:val="clear" w:color="auto" w:fill="DCE2EF"/>
          </w:tcPr>
          <w:p>
            <w:pPr>
              <w:spacing w:after="0"/>
              <w:rPr>
                <w:sz w:val="13"/>
                <w:szCs w:val="13"/>
                <w:color w:val="auto"/>
              </w:rPr>
            </w:pPr>
          </w:p>
        </w:tc>
        <w:tc>
          <w:tcPr>
            <w:tcW w:w="4620" w:type="dxa"/>
            <w:vAlign w:val="bottom"/>
            <w:gridSpan w:val="27"/>
            <w:shd w:val="clear" w:color="auto" w:fill="DCE2EF"/>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2020, by and between ABM Industries Incorporated and</w:t>
              </w:r>
            </w:hyperlink>
          </w:p>
        </w:tc>
        <w:tc>
          <w:tcPr>
            <w:tcW w:w="760" w:type="dxa"/>
            <w:vAlign w:val="bottom"/>
            <w:shd w:val="clear" w:color="auto" w:fill="DCE2EF"/>
          </w:tcPr>
          <w:p>
            <w:pPr>
              <w:spacing w:after="0"/>
              <w:rPr>
                <w:sz w:val="13"/>
                <w:szCs w:val="13"/>
                <w:color w:val="auto"/>
              </w:rPr>
            </w:pPr>
          </w:p>
        </w:tc>
        <w:tc>
          <w:tcPr>
            <w:tcW w:w="1340" w:type="dxa"/>
            <w:vAlign w:val="bottom"/>
            <w:shd w:val="clear" w:color="auto" w:fill="DCE2EF"/>
          </w:tcPr>
          <w:p>
            <w:pPr>
              <w:spacing w:after="0"/>
              <w:rPr>
                <w:sz w:val="13"/>
                <w:szCs w:val="13"/>
                <w:color w:val="auto"/>
              </w:rPr>
            </w:pPr>
          </w:p>
        </w:tc>
        <w:tc>
          <w:tcPr>
            <w:tcW w:w="1000" w:type="dxa"/>
            <w:vAlign w:val="bottom"/>
            <w:shd w:val="clear" w:color="auto" w:fill="DCE2EF"/>
          </w:tcPr>
          <w:p>
            <w:pPr>
              <w:spacing w:after="0"/>
              <w:rPr>
                <w:sz w:val="13"/>
                <w:szCs w:val="13"/>
                <w:color w:val="auto"/>
              </w:rPr>
            </w:pPr>
          </w:p>
        </w:tc>
        <w:tc>
          <w:tcPr>
            <w:tcW w:w="2160" w:type="dxa"/>
            <w:vAlign w:val="bottom"/>
            <w:shd w:val="clear" w:color="auto" w:fill="DCE2EF"/>
          </w:tcPr>
          <w:p>
            <w:pPr>
              <w:spacing w:after="0"/>
              <w:rPr>
                <w:sz w:val="13"/>
                <w:szCs w:val="13"/>
                <w:color w:val="auto"/>
              </w:rPr>
            </w:pPr>
          </w:p>
        </w:tc>
      </w:tr>
      <w:tr>
        <w:trPr>
          <w:trHeight w:val="176"/>
        </w:trPr>
        <w:tc>
          <w:tcPr>
            <w:tcW w:w="1360" w:type="dxa"/>
            <w:vAlign w:val="bottom"/>
            <w:tcBorders>
              <w:top w:val="single" w:sz="8" w:color="DCE2EF"/>
              <w:bottom w:val="single" w:sz="8" w:color="DCE2EF"/>
            </w:tcBorders>
            <w:shd w:val="clear" w:color="auto" w:fill="DCE2EF"/>
          </w:tcPr>
          <w:p>
            <w:pPr>
              <w:spacing w:after="0"/>
              <w:rPr>
                <w:sz w:val="15"/>
                <w:szCs w:val="15"/>
                <w:color w:val="auto"/>
              </w:rPr>
            </w:pPr>
          </w:p>
        </w:tc>
        <w:tc>
          <w:tcPr>
            <w:tcW w:w="1580" w:type="dxa"/>
            <w:vAlign w:val="bottom"/>
            <w:tcBorders>
              <w:top w:val="single" w:sz="8" w:color="0000FF"/>
              <w:bottom w:val="single" w:sz="8" w:color="0000FF"/>
            </w:tcBorders>
            <w:gridSpan w:val="5"/>
            <w:shd w:val="clear" w:color="auto" w:fill="DCE2EF"/>
          </w:tcPr>
          <w:p>
            <w:pPr>
              <w:spacing w:after="0" w:line="156" w:lineRule="exact"/>
              <w:rPr>
                <w:rFonts w:ascii="Arial" w:cs="Arial" w:eastAsia="Arial" w:hAnsi="Arial"/>
                <w:sz w:val="18"/>
                <w:szCs w:val="18"/>
                <w:color w:val="0000FF"/>
                <w:w w:val="99"/>
              </w:rPr>
            </w:pPr>
            <w:hyperlink r:id="rId213">
              <w:r>
                <w:rPr>
                  <w:rFonts w:ascii="Arial" w:cs="Arial" w:eastAsia="Arial" w:hAnsi="Arial"/>
                  <w:sz w:val="18"/>
                  <w:szCs w:val="18"/>
                  <w:color w:val="0000FF"/>
                  <w:w w:val="99"/>
                </w:rPr>
                <w:t>Joshua H. Feinberg</w:t>
              </w:r>
            </w:hyperlink>
          </w:p>
        </w:tc>
        <w:tc>
          <w:tcPr>
            <w:tcW w:w="2900" w:type="dxa"/>
            <w:vAlign w:val="bottom"/>
            <w:tcBorders>
              <w:top w:val="single" w:sz="8" w:color="0000FF"/>
              <w:bottom w:val="single" w:sz="8" w:color="DCE2EF"/>
            </w:tcBorders>
            <w:gridSpan w:val="19"/>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760" w:type="dxa"/>
            <w:vAlign w:val="bottom"/>
            <w:tcBorders>
              <w:top w:val="single" w:sz="8" w:color="DCE2EF"/>
              <w:bottom w:val="single" w:sz="8" w:color="DCE2EF"/>
            </w:tcBorders>
            <w:shd w:val="clear" w:color="auto" w:fill="DCE2EF"/>
          </w:tcPr>
          <w:p>
            <w:pPr>
              <w:spacing w:after="0"/>
              <w:rPr>
                <w:sz w:val="15"/>
                <w:szCs w:val="15"/>
                <w:color w:val="auto"/>
              </w:rPr>
            </w:pPr>
          </w:p>
        </w:tc>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1000" w:type="dxa"/>
            <w:vAlign w:val="bottom"/>
            <w:tcBorders>
              <w:top w:val="single" w:sz="8" w:color="DCE2EF"/>
              <w:bottom w:val="single" w:sz="8" w:color="DCE2EF"/>
            </w:tcBorders>
            <w:shd w:val="clear" w:color="auto" w:fill="DCE2EF"/>
          </w:tcPr>
          <w:p>
            <w:pPr>
              <w:spacing w:after="0"/>
              <w:rPr>
                <w:sz w:val="15"/>
                <w:szCs w:val="15"/>
                <w:color w:val="auto"/>
              </w:rPr>
            </w:pPr>
          </w:p>
        </w:tc>
        <w:tc>
          <w:tcPr>
            <w:tcW w:w="216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9"/>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10.40*</w:t>
            </w:r>
          </w:p>
        </w:tc>
        <w:tc>
          <w:tcPr>
            <w:tcW w:w="3760" w:type="dxa"/>
            <w:vAlign w:val="bottom"/>
            <w:tcBorders>
              <w:bottom w:val="single" w:sz="8" w:color="0000FF"/>
            </w:tcBorders>
            <w:gridSpan w:val="11"/>
          </w:tcPr>
          <w:p>
            <w:pPr>
              <w:spacing w:after="0" w:line="189" w:lineRule="exact"/>
              <w:rPr>
                <w:rFonts w:ascii="Arial" w:cs="Arial" w:eastAsia="Arial" w:hAnsi="Arial"/>
                <w:sz w:val="18"/>
                <w:szCs w:val="18"/>
                <w:color w:val="0000FF"/>
                <w:w w:val="99"/>
              </w:rPr>
            </w:pPr>
            <w:hyperlink r:id="rId214">
              <w:r>
                <w:rPr>
                  <w:rFonts w:ascii="Arial" w:cs="Arial" w:eastAsia="Arial" w:hAnsi="Arial"/>
                  <w:sz w:val="18"/>
                  <w:szCs w:val="18"/>
                  <w:color w:val="0000FF"/>
                  <w:w w:val="99"/>
                </w:rPr>
                <w:t>Executive Employment Agreement, dated as of</w:t>
              </w:r>
            </w:hyperlink>
          </w:p>
        </w:tc>
        <w:tc>
          <w:tcPr>
            <w:tcW w:w="860" w:type="dxa"/>
            <w:vAlign w:val="bottom"/>
            <w:gridSpan w:val="16"/>
          </w:tcPr>
          <w:p>
            <w:pPr>
              <w:spacing w:after="0"/>
              <w:rPr>
                <w:sz w:val="16"/>
                <w:szCs w:val="16"/>
                <w:color w:val="auto"/>
              </w:rPr>
            </w:pPr>
          </w:p>
        </w:tc>
        <w:tc>
          <w:tcPr>
            <w:tcW w:w="760" w:type="dxa"/>
            <w:vAlign w:val="bottom"/>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rPr>
              <w:t>10.6</w:t>
            </w:r>
          </w:p>
        </w:tc>
        <w:tc>
          <w:tcPr>
            <w:tcW w:w="2160" w:type="dxa"/>
            <w:vAlign w:val="bottom"/>
          </w:tcPr>
          <w:p>
            <w:pPr>
              <w:jc w:val="center"/>
              <w:spacing w:after="0" w:line="189" w:lineRule="exact"/>
              <w:rPr>
                <w:sz w:val="20"/>
                <w:szCs w:val="20"/>
                <w:color w:val="auto"/>
              </w:rPr>
            </w:pPr>
            <w:r>
              <w:rPr>
                <w:rFonts w:ascii="Arial" w:cs="Arial" w:eastAsia="Arial" w:hAnsi="Arial"/>
                <w:sz w:val="18"/>
                <w:szCs w:val="18"/>
                <w:color w:val="auto"/>
                <w:w w:val="99"/>
              </w:rPr>
              <w:t>June 9, 2021</w:t>
            </w:r>
          </w:p>
        </w:tc>
      </w:tr>
      <w:tr>
        <w:trPr>
          <w:trHeight w:val="156"/>
        </w:trPr>
        <w:tc>
          <w:tcPr>
            <w:tcW w:w="1360" w:type="dxa"/>
            <w:vAlign w:val="bottom"/>
          </w:tcPr>
          <w:p>
            <w:pPr>
              <w:spacing w:after="0"/>
              <w:rPr>
                <w:sz w:val="13"/>
                <w:szCs w:val="13"/>
                <w:color w:val="auto"/>
              </w:rPr>
            </w:pPr>
          </w:p>
        </w:tc>
        <w:tc>
          <w:tcPr>
            <w:tcW w:w="4620" w:type="dxa"/>
            <w:vAlign w:val="bottom"/>
            <w:gridSpan w:val="27"/>
          </w:tcPr>
          <w:p>
            <w:pPr>
              <w:spacing w:after="0" w:line="156" w:lineRule="exact"/>
              <w:rPr>
                <w:rFonts w:ascii="Arial" w:cs="Arial" w:eastAsia="Arial" w:hAnsi="Arial"/>
                <w:sz w:val="18"/>
                <w:szCs w:val="18"/>
                <w:color w:val="0000FF"/>
              </w:rPr>
            </w:pPr>
            <w:hyperlink r:id="rId214">
              <w:r>
                <w:rPr>
                  <w:rFonts w:ascii="Arial" w:cs="Arial" w:eastAsia="Arial" w:hAnsi="Arial"/>
                  <w:sz w:val="18"/>
                  <w:szCs w:val="18"/>
                  <w:color w:val="0000FF"/>
                </w:rPr>
                <w:t>November 1, 2020, by and between ABM Industries</w:t>
              </w:r>
            </w:hyperlink>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41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14">
              <w:r>
                <w:rPr>
                  <w:rFonts w:ascii="Arial" w:cs="Arial" w:eastAsia="Arial" w:hAnsi="Arial"/>
                  <w:sz w:val="18"/>
                  <w:szCs w:val="18"/>
                  <w:color w:val="0000FF"/>
                </w:rPr>
                <w:t>Incorporated and Earl R. Ellis</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1"/>
        </w:trPr>
        <w:tc>
          <w:tcPr>
            <w:tcW w:w="1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9"/>
        </w:trPr>
        <w:tc>
          <w:tcPr>
            <w:tcW w:w="1360" w:type="dxa"/>
            <w:vAlign w:val="bottom"/>
            <w:shd w:val="clear" w:color="auto" w:fill="DCE2EF"/>
          </w:tcPr>
          <w:p>
            <w:pPr>
              <w:ind w:left="20"/>
              <w:spacing w:after="0" w:line="189" w:lineRule="exact"/>
              <w:rPr>
                <w:sz w:val="20"/>
                <w:szCs w:val="20"/>
                <w:color w:val="auto"/>
              </w:rPr>
            </w:pPr>
            <w:r>
              <w:rPr>
                <w:rFonts w:ascii="Arial" w:cs="Arial" w:eastAsia="Arial" w:hAnsi="Arial"/>
                <w:sz w:val="18"/>
                <w:szCs w:val="18"/>
                <w:color w:val="auto"/>
              </w:rPr>
              <w:t>10.41*</w:t>
            </w:r>
          </w:p>
        </w:tc>
        <w:tc>
          <w:tcPr>
            <w:tcW w:w="4620" w:type="dxa"/>
            <w:vAlign w:val="bottom"/>
            <w:gridSpan w:val="27"/>
            <w:shd w:val="clear" w:color="auto" w:fill="DCE2EF"/>
          </w:tcPr>
          <w:p>
            <w:pPr>
              <w:spacing w:after="0" w:line="189" w:lineRule="exact"/>
              <w:rPr>
                <w:rFonts w:ascii="Arial" w:cs="Arial" w:eastAsia="Arial" w:hAnsi="Arial"/>
                <w:sz w:val="18"/>
                <w:szCs w:val="18"/>
                <w:color w:val="0000FF"/>
              </w:rPr>
            </w:pPr>
            <w:hyperlink r:id="rId215">
              <w:r>
                <w:rPr>
                  <w:rFonts w:ascii="Arial" w:cs="Arial" w:eastAsia="Arial" w:hAnsi="Arial"/>
                  <w:sz w:val="18"/>
                  <w:szCs w:val="18"/>
                  <w:color w:val="0000FF"/>
                </w:rPr>
                <w:t>Change in Control Agreement, dated as of November</w:t>
              </w:r>
            </w:hyperlink>
          </w:p>
        </w:tc>
        <w:tc>
          <w:tcPr>
            <w:tcW w:w="760" w:type="dxa"/>
            <w:vAlign w:val="bottom"/>
            <w:shd w:val="clear" w:color="auto" w:fill="DCE2EF"/>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shd w:val="clear" w:color="auto" w:fill="DCE2EF"/>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rPr>
              <w:t>10.7</w:t>
            </w:r>
          </w:p>
        </w:tc>
        <w:tc>
          <w:tcPr>
            <w:tcW w:w="216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June 9, 2021</w:t>
            </w:r>
          </w:p>
        </w:tc>
      </w:tr>
      <w:tr>
        <w:trPr>
          <w:trHeight w:val="156"/>
        </w:trPr>
        <w:tc>
          <w:tcPr>
            <w:tcW w:w="1360" w:type="dxa"/>
            <w:vAlign w:val="bottom"/>
            <w:tcBorders>
              <w:top w:val="single" w:sz="8" w:color="DCE2EF"/>
            </w:tcBorders>
            <w:shd w:val="clear" w:color="auto" w:fill="DCE2EF"/>
          </w:tcPr>
          <w:p>
            <w:pPr>
              <w:spacing w:after="0"/>
              <w:rPr>
                <w:sz w:val="13"/>
                <w:szCs w:val="13"/>
                <w:color w:val="auto"/>
              </w:rPr>
            </w:pPr>
          </w:p>
        </w:tc>
        <w:tc>
          <w:tcPr>
            <w:tcW w:w="4260" w:type="dxa"/>
            <w:vAlign w:val="bottom"/>
            <w:tcBorders>
              <w:top w:val="single" w:sz="8" w:color="0000FF"/>
            </w:tcBorders>
            <w:gridSpan w:val="19"/>
            <w:shd w:val="clear" w:color="auto" w:fill="DCE2EF"/>
          </w:tcPr>
          <w:p>
            <w:pPr>
              <w:spacing w:after="0" w:line="156" w:lineRule="exact"/>
              <w:rPr>
                <w:rFonts w:ascii="Arial" w:cs="Arial" w:eastAsia="Arial" w:hAnsi="Arial"/>
                <w:sz w:val="18"/>
                <w:szCs w:val="18"/>
                <w:color w:val="0000FF"/>
                <w:w w:val="96"/>
              </w:rPr>
            </w:pPr>
            <w:hyperlink r:id="rId215">
              <w:r>
                <w:rPr>
                  <w:rFonts w:ascii="Arial" w:cs="Arial" w:eastAsia="Arial" w:hAnsi="Arial"/>
                  <w:sz w:val="18"/>
                  <w:szCs w:val="18"/>
                  <w:color w:val="0000FF"/>
                  <w:w w:val="96"/>
                </w:rPr>
                <w:t>30, 2020, by and between ABM Industries Incorporated</w:t>
              </w:r>
            </w:hyperlink>
          </w:p>
        </w:tc>
        <w:tc>
          <w:tcPr>
            <w:tcW w:w="80" w:type="dxa"/>
            <w:vAlign w:val="bottom"/>
            <w:tcBorders>
              <w:top w:val="single" w:sz="8" w:color="DCE2EF"/>
              <w:right w:val="single" w:sz="8" w:color="DCE2EF"/>
            </w:tcBorders>
            <w:shd w:val="clear" w:color="auto" w:fill="DCE2EF"/>
          </w:tcPr>
          <w:p>
            <w:pPr>
              <w:spacing w:after="0"/>
              <w:rPr>
                <w:sz w:val="13"/>
                <w:szCs w:val="13"/>
                <w:color w:val="auto"/>
              </w:rPr>
            </w:pPr>
          </w:p>
        </w:tc>
        <w:tc>
          <w:tcPr>
            <w:tcW w:w="100" w:type="dxa"/>
            <w:vAlign w:val="bottom"/>
            <w:tcBorders>
              <w:top w:val="single" w:sz="8" w:color="DCE2EF"/>
            </w:tcBorders>
            <w:gridSpan w:val="2"/>
            <w:shd w:val="clear" w:color="auto" w:fill="DCE2EF"/>
          </w:tcPr>
          <w:p>
            <w:pPr>
              <w:spacing w:after="0"/>
              <w:rPr>
                <w:sz w:val="13"/>
                <w:szCs w:val="13"/>
                <w:color w:val="auto"/>
              </w:rPr>
            </w:pPr>
          </w:p>
        </w:tc>
        <w:tc>
          <w:tcPr>
            <w:tcW w:w="60" w:type="dxa"/>
            <w:vAlign w:val="bottom"/>
            <w:tcBorders>
              <w:top w:val="single" w:sz="8" w:color="DCE2EF"/>
            </w:tcBorders>
            <w:gridSpan w:val="3"/>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76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0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r>
      <w:tr>
        <w:trPr>
          <w:trHeight w:val="156"/>
        </w:trPr>
        <w:tc>
          <w:tcPr>
            <w:tcW w:w="1360" w:type="dxa"/>
            <w:vAlign w:val="bottom"/>
            <w:tcBorders>
              <w:top w:val="single" w:sz="8" w:color="DCE2EF"/>
            </w:tcBorders>
            <w:shd w:val="clear" w:color="auto" w:fill="DCE2EF"/>
          </w:tcPr>
          <w:p>
            <w:pPr>
              <w:spacing w:after="0"/>
              <w:rPr>
                <w:sz w:val="13"/>
                <w:szCs w:val="13"/>
                <w:color w:val="auto"/>
              </w:rPr>
            </w:pPr>
          </w:p>
        </w:tc>
        <w:tc>
          <w:tcPr>
            <w:tcW w:w="4400" w:type="dxa"/>
            <w:vAlign w:val="bottom"/>
            <w:tcBorders>
              <w:top w:val="single" w:sz="8" w:color="0000FF"/>
            </w:tcBorders>
            <w:gridSpan w:val="21"/>
            <w:shd w:val="clear" w:color="auto" w:fill="DCE2EF"/>
          </w:tcPr>
          <w:p>
            <w:pPr>
              <w:spacing w:after="0" w:line="156" w:lineRule="exact"/>
              <w:rPr>
                <w:rFonts w:ascii="Arial" w:cs="Arial" w:eastAsia="Arial" w:hAnsi="Arial"/>
                <w:sz w:val="18"/>
                <w:szCs w:val="18"/>
                <w:color w:val="0000FF"/>
              </w:rPr>
            </w:pPr>
            <w:hyperlink r:id="rId215">
              <w:r>
                <w:rPr>
                  <w:rFonts w:ascii="Arial" w:cs="Arial" w:eastAsia="Arial" w:hAnsi="Arial"/>
                  <w:sz w:val="18"/>
                  <w:szCs w:val="18"/>
                  <w:color w:val="0000FF"/>
                </w:rPr>
                <w:t>and Earl R. Ellis</w:t>
              </w:r>
            </w:hyperlink>
          </w:p>
        </w:tc>
        <w:tc>
          <w:tcPr>
            <w:tcW w:w="40" w:type="dxa"/>
            <w:vAlign w:val="bottom"/>
            <w:tcBorders>
              <w:top w:val="single" w:sz="8" w:color="DCE2EF"/>
            </w:tcBorders>
            <w:shd w:val="clear" w:color="auto" w:fill="DCE2EF"/>
          </w:tcPr>
          <w:p>
            <w:pPr>
              <w:spacing w:after="0"/>
              <w:rPr>
                <w:sz w:val="13"/>
                <w:szCs w:val="13"/>
                <w:color w:val="auto"/>
              </w:rPr>
            </w:pPr>
          </w:p>
        </w:tc>
        <w:tc>
          <w:tcPr>
            <w:tcW w:w="60" w:type="dxa"/>
            <w:vAlign w:val="bottom"/>
            <w:tcBorders>
              <w:top w:val="single" w:sz="8" w:color="DCE2EF"/>
            </w:tcBorders>
            <w:gridSpan w:val="3"/>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76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0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r>
      <w:tr>
        <w:trPr>
          <w:trHeight w:val="20"/>
        </w:trPr>
        <w:tc>
          <w:tcPr>
            <w:tcW w:w="1360" w:type="dxa"/>
            <w:vAlign w:val="bottom"/>
            <w:tcBorders>
              <w:top w:val="single" w:sz="8" w:color="DCE2EF"/>
            </w:tcBorders>
            <w:shd w:val="clear" w:color="auto" w:fill="DCE2EF"/>
          </w:tcPr>
          <w:p>
            <w:pPr>
              <w:spacing w:after="0" w:line="20" w:lineRule="exact"/>
              <w:rPr>
                <w:sz w:val="1"/>
                <w:szCs w:val="1"/>
                <w:color w:val="auto"/>
              </w:rPr>
            </w:pPr>
          </w:p>
        </w:tc>
        <w:tc>
          <w:tcPr>
            <w:tcW w:w="360" w:type="dxa"/>
            <w:vAlign w:val="bottom"/>
            <w:tcBorders>
              <w:top w:val="single" w:sz="8" w:color="0000FF"/>
            </w:tcBorders>
            <w:shd w:val="clear" w:color="auto" w:fill="DCE2EF"/>
          </w:tcPr>
          <w:p>
            <w:pPr>
              <w:spacing w:after="0" w:line="20" w:lineRule="exact"/>
              <w:rPr>
                <w:sz w:val="1"/>
                <w:szCs w:val="1"/>
                <w:color w:val="auto"/>
              </w:rPr>
            </w:pPr>
          </w:p>
        </w:tc>
        <w:tc>
          <w:tcPr>
            <w:tcW w:w="240" w:type="dxa"/>
            <w:vAlign w:val="bottom"/>
            <w:tcBorders>
              <w:top w:val="single" w:sz="8" w:color="0000FF"/>
            </w:tcBorders>
            <w:shd w:val="clear" w:color="auto" w:fill="DCE2EF"/>
          </w:tcPr>
          <w:p>
            <w:pPr>
              <w:spacing w:after="0" w:line="20" w:lineRule="exact"/>
              <w:rPr>
                <w:sz w:val="1"/>
                <w:szCs w:val="1"/>
                <w:color w:val="auto"/>
              </w:rPr>
            </w:pPr>
          </w:p>
        </w:tc>
        <w:tc>
          <w:tcPr>
            <w:tcW w:w="680" w:type="dxa"/>
            <w:vAlign w:val="bottom"/>
            <w:tcBorders>
              <w:top w:val="single" w:sz="8" w:color="0000F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220" w:type="dxa"/>
            <w:vAlign w:val="bottom"/>
            <w:tcBorders>
              <w:top w:val="single" w:sz="8" w:color="DCE2EF"/>
            </w:tcBorders>
            <w:shd w:val="clear" w:color="auto" w:fill="DCE2EF"/>
          </w:tcPr>
          <w:p>
            <w:pPr>
              <w:spacing w:after="0" w:line="20" w:lineRule="exact"/>
              <w:rPr>
                <w:sz w:val="1"/>
                <w:szCs w:val="1"/>
                <w:color w:val="auto"/>
              </w:rPr>
            </w:pPr>
          </w:p>
        </w:tc>
        <w:tc>
          <w:tcPr>
            <w:tcW w:w="340" w:type="dxa"/>
            <w:vAlign w:val="bottom"/>
            <w:tcBorders>
              <w:top w:val="single" w:sz="8" w:color="DCE2EF"/>
            </w:tcBorders>
            <w:shd w:val="clear" w:color="auto" w:fill="DCE2EF"/>
          </w:tcPr>
          <w:p>
            <w:pPr>
              <w:spacing w:after="0" w:line="20" w:lineRule="exact"/>
              <w:rPr>
                <w:sz w:val="1"/>
                <w:szCs w:val="1"/>
                <w:color w:val="auto"/>
              </w:rPr>
            </w:pPr>
          </w:p>
        </w:tc>
        <w:tc>
          <w:tcPr>
            <w:tcW w:w="34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0" w:type="dxa"/>
            <w:vAlign w:val="bottom"/>
            <w:tcBorders>
              <w:top w:val="single" w:sz="8" w:color="DCE2EF"/>
            </w:tcBorders>
            <w:shd w:val="clear" w:color="auto" w:fill="DCE2EF"/>
          </w:tcPr>
          <w:p>
            <w:pPr>
              <w:spacing w:after="0" w:line="20" w:lineRule="exact"/>
              <w:rPr>
                <w:sz w:val="1"/>
                <w:szCs w:val="1"/>
                <w:color w:val="auto"/>
              </w:rPr>
            </w:pPr>
          </w:p>
        </w:tc>
        <w:tc>
          <w:tcPr>
            <w:tcW w:w="1200" w:type="dxa"/>
            <w:vAlign w:val="bottom"/>
            <w:tcBorders>
              <w:top w:val="single" w:sz="8" w:color="DCE2EF"/>
            </w:tcBorders>
            <w:shd w:val="clear" w:color="auto" w:fill="DCE2EF"/>
          </w:tcPr>
          <w:p>
            <w:pPr>
              <w:spacing w:after="0" w:line="20" w:lineRule="exact"/>
              <w:rPr>
                <w:sz w:val="1"/>
                <w:szCs w:val="1"/>
                <w:color w:val="auto"/>
              </w:rPr>
            </w:pPr>
          </w:p>
        </w:tc>
        <w:tc>
          <w:tcPr>
            <w:tcW w:w="10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60" w:type="dxa"/>
            <w:vAlign w:val="bottom"/>
            <w:tcBorders>
              <w:top w:val="single" w:sz="8" w:color="DCE2EF"/>
            </w:tcBorders>
            <w:shd w:val="clear" w:color="auto" w:fill="DCE2EF"/>
          </w:tcPr>
          <w:p>
            <w:pPr>
              <w:spacing w:after="0" w:line="20" w:lineRule="exact"/>
              <w:rPr>
                <w:sz w:val="1"/>
                <w:szCs w:val="1"/>
                <w:color w:val="auto"/>
              </w:rPr>
            </w:pPr>
          </w:p>
        </w:tc>
        <w:tc>
          <w:tcPr>
            <w:tcW w:w="14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right w:val="single" w:sz="8" w:color="DCE2EF"/>
            </w:tcBorders>
            <w:shd w:val="clear" w:color="auto" w:fill="DCE2EF"/>
          </w:tcPr>
          <w:p>
            <w:pPr>
              <w:spacing w:after="0" w:line="20" w:lineRule="exact"/>
              <w:rPr>
                <w:sz w:val="1"/>
                <w:szCs w:val="1"/>
                <w:color w:val="auto"/>
              </w:rPr>
            </w:pPr>
          </w:p>
        </w:tc>
        <w:tc>
          <w:tcPr>
            <w:tcW w:w="6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100" w:type="dxa"/>
            <w:vAlign w:val="bottom"/>
            <w:tcBorders>
              <w:top w:val="single" w:sz="8" w:color="DCE2EF"/>
            </w:tcBorders>
            <w:shd w:val="clear" w:color="auto" w:fill="DCE2EF"/>
          </w:tcPr>
          <w:p>
            <w:pPr>
              <w:spacing w:after="0" w:line="20" w:lineRule="exact"/>
              <w:rPr>
                <w:sz w:val="1"/>
                <w:szCs w:val="1"/>
                <w:color w:val="auto"/>
              </w:rPr>
            </w:pPr>
          </w:p>
        </w:tc>
        <w:tc>
          <w:tcPr>
            <w:tcW w:w="760" w:type="dxa"/>
            <w:vAlign w:val="bottom"/>
            <w:tcBorders>
              <w:top w:val="single" w:sz="8" w:color="DCE2EF"/>
            </w:tcBorders>
            <w:shd w:val="clear" w:color="auto" w:fill="DCE2EF"/>
          </w:tcPr>
          <w:p>
            <w:pPr>
              <w:spacing w:after="0" w:line="20" w:lineRule="exact"/>
              <w:rPr>
                <w:sz w:val="1"/>
                <w:szCs w:val="1"/>
                <w:color w:val="auto"/>
              </w:rPr>
            </w:pPr>
          </w:p>
        </w:tc>
        <w:tc>
          <w:tcPr>
            <w:tcW w:w="1340" w:type="dxa"/>
            <w:vAlign w:val="bottom"/>
            <w:tcBorders>
              <w:top w:val="single" w:sz="8" w:color="DCE2EF"/>
            </w:tcBorders>
            <w:shd w:val="clear" w:color="auto" w:fill="DCE2EF"/>
          </w:tcPr>
          <w:p>
            <w:pPr>
              <w:spacing w:after="0" w:line="20" w:lineRule="exact"/>
              <w:rPr>
                <w:sz w:val="1"/>
                <w:szCs w:val="1"/>
                <w:color w:val="auto"/>
              </w:rPr>
            </w:pPr>
          </w:p>
        </w:tc>
        <w:tc>
          <w:tcPr>
            <w:tcW w:w="1000" w:type="dxa"/>
            <w:vAlign w:val="bottom"/>
            <w:tcBorders>
              <w:top w:val="single" w:sz="8" w:color="DCE2EF"/>
            </w:tcBorders>
            <w:shd w:val="clear" w:color="auto" w:fill="DCE2EF"/>
          </w:tcPr>
          <w:p>
            <w:pPr>
              <w:spacing w:after="0" w:line="20" w:lineRule="exact"/>
              <w:rPr>
                <w:sz w:val="1"/>
                <w:szCs w:val="1"/>
                <w:color w:val="auto"/>
              </w:rPr>
            </w:pPr>
          </w:p>
        </w:tc>
        <w:tc>
          <w:tcPr>
            <w:tcW w:w="2160" w:type="dxa"/>
            <w:vAlign w:val="bottom"/>
            <w:tcBorders>
              <w:top w:val="single" w:sz="8" w:color="DCE2EF"/>
            </w:tcBorders>
            <w:shd w:val="clear" w:color="auto" w:fill="DCE2EF"/>
          </w:tcPr>
          <w:p>
            <w:pPr>
              <w:spacing w:after="0" w:line="20" w:lineRule="exact"/>
              <w:rPr>
                <w:sz w:val="1"/>
                <w:szCs w:val="1"/>
                <w:color w:val="auto"/>
              </w:rPr>
            </w:pPr>
          </w:p>
        </w:tc>
      </w:tr>
      <w:tr>
        <w:trPr>
          <w:trHeight w:val="189"/>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10.42*</w:t>
            </w:r>
          </w:p>
        </w:tc>
        <w:tc>
          <w:tcPr>
            <w:tcW w:w="4620" w:type="dxa"/>
            <w:vAlign w:val="bottom"/>
            <w:gridSpan w:val="27"/>
          </w:tcPr>
          <w:p>
            <w:pPr>
              <w:spacing w:after="0" w:line="189" w:lineRule="exact"/>
              <w:rPr>
                <w:rFonts w:ascii="Arial" w:cs="Arial" w:eastAsia="Arial" w:hAnsi="Arial"/>
                <w:sz w:val="18"/>
                <w:szCs w:val="18"/>
                <w:color w:val="0000FF"/>
              </w:rPr>
            </w:pPr>
            <w:hyperlink r:id="rId216">
              <w:r>
                <w:rPr>
                  <w:rFonts w:ascii="Arial" w:cs="Arial" w:eastAsia="Arial" w:hAnsi="Arial"/>
                  <w:sz w:val="18"/>
                  <w:szCs w:val="18"/>
                  <w:color w:val="0000FF"/>
                </w:rPr>
                <w:t>Change in Control Agreement, dated as of April 1, 2011,</w:t>
              </w:r>
            </w:hyperlink>
          </w:p>
        </w:tc>
        <w:tc>
          <w:tcPr>
            <w:tcW w:w="760" w:type="dxa"/>
            <w:vAlign w:val="bottom"/>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rPr>
              <w:t>10.3</w:t>
            </w:r>
          </w:p>
        </w:tc>
        <w:tc>
          <w:tcPr>
            <w:tcW w:w="2160" w:type="dxa"/>
            <w:vAlign w:val="bottom"/>
          </w:tcPr>
          <w:p>
            <w:pPr>
              <w:jc w:val="center"/>
              <w:spacing w:after="0" w:line="189" w:lineRule="exact"/>
              <w:rPr>
                <w:sz w:val="20"/>
                <w:szCs w:val="20"/>
                <w:color w:val="auto"/>
              </w:rPr>
            </w:pPr>
            <w:r>
              <w:rPr>
                <w:rFonts w:ascii="Arial" w:cs="Arial" w:eastAsia="Arial" w:hAnsi="Arial"/>
                <w:sz w:val="18"/>
                <w:szCs w:val="18"/>
                <w:color w:val="auto"/>
                <w:w w:val="99"/>
              </w:rPr>
              <w:t>June 9, 2021</w:t>
            </w:r>
          </w:p>
        </w:tc>
      </w:tr>
      <w:tr>
        <w:trPr>
          <w:trHeight w:val="156"/>
        </w:trPr>
        <w:tc>
          <w:tcPr>
            <w:tcW w:w="1360" w:type="dxa"/>
            <w:vAlign w:val="bottom"/>
          </w:tcPr>
          <w:p>
            <w:pPr>
              <w:spacing w:after="0"/>
              <w:rPr>
                <w:sz w:val="13"/>
                <w:szCs w:val="13"/>
                <w:color w:val="auto"/>
              </w:rPr>
            </w:pPr>
          </w:p>
        </w:tc>
        <w:tc>
          <w:tcPr>
            <w:tcW w:w="45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216">
              <w:r>
                <w:rPr>
                  <w:rFonts w:ascii="Arial" w:cs="Arial" w:eastAsia="Arial" w:hAnsi="Arial"/>
                  <w:sz w:val="18"/>
                  <w:szCs w:val="18"/>
                  <w:color w:val="0000FF"/>
                </w:rPr>
                <w:t>by and between ABM Industries Incorporated and Dean</w:t>
              </w:r>
            </w:hyperlink>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44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216">
              <w:r>
                <w:rPr>
                  <w:rFonts w:ascii="Arial" w:cs="Arial" w:eastAsia="Arial" w:hAnsi="Arial"/>
                  <w:sz w:val="18"/>
                  <w:szCs w:val="18"/>
                  <w:color w:val="0000FF"/>
                </w:rPr>
                <w:t>A. Chin</w:t>
              </w:r>
            </w:hyperlink>
          </w:p>
        </w:tc>
        <w:tc>
          <w:tcPr>
            <w:tcW w:w="6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1"/>
        </w:trPr>
        <w:tc>
          <w:tcPr>
            <w:tcW w:w="1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09"/>
        </w:trPr>
        <w:tc>
          <w:tcPr>
            <w:tcW w:w="1360" w:type="dxa"/>
            <w:vAlign w:val="bottom"/>
            <w:tcBorders>
              <w:bottom w:val="single" w:sz="8" w:color="DCE2EF"/>
            </w:tcBorders>
            <w:shd w:val="clear" w:color="auto" w:fill="DCE2EF"/>
          </w:tcPr>
          <w:p>
            <w:pPr>
              <w:ind w:left="20"/>
              <w:spacing w:after="0" w:line="189" w:lineRule="exact"/>
              <w:rPr>
                <w:sz w:val="20"/>
                <w:szCs w:val="20"/>
                <w:color w:val="auto"/>
              </w:rPr>
            </w:pPr>
            <w:r>
              <w:rPr>
                <w:rFonts w:ascii="Arial" w:cs="Arial" w:eastAsia="Arial" w:hAnsi="Arial"/>
                <w:sz w:val="18"/>
                <w:szCs w:val="18"/>
                <w:color w:val="auto"/>
              </w:rPr>
              <w:t>21.1‡</w:t>
            </w:r>
          </w:p>
        </w:tc>
        <w:tc>
          <w:tcPr>
            <w:tcW w:w="2360" w:type="dxa"/>
            <w:vAlign w:val="bottom"/>
            <w:tcBorders>
              <w:bottom w:val="single" w:sz="8" w:color="0000FF"/>
            </w:tcBorders>
            <w:gridSpan w:val="9"/>
            <w:shd w:val="clear" w:color="auto" w:fill="DCE2EF"/>
          </w:tcPr>
          <w:p>
            <w:pPr>
              <w:spacing w:after="0" w:line="189" w:lineRule="exact"/>
              <w:rPr>
                <w:rFonts w:ascii="Arial" w:cs="Arial" w:eastAsia="Arial" w:hAnsi="Arial"/>
                <w:sz w:val="18"/>
                <w:szCs w:val="18"/>
                <w:color w:val="0000FF"/>
                <w:w w:val="99"/>
              </w:rPr>
            </w:pPr>
            <w:hyperlink w:anchor="page107">
              <w:r>
                <w:rPr>
                  <w:rFonts w:ascii="Arial" w:cs="Arial" w:eastAsia="Arial" w:hAnsi="Arial"/>
                  <w:sz w:val="18"/>
                  <w:szCs w:val="18"/>
                  <w:color w:val="0000FF"/>
                  <w:w w:val="99"/>
                </w:rPr>
                <w:t>Subsidiaries of the Registrant</w:t>
              </w:r>
            </w:hyperlink>
          </w:p>
        </w:tc>
        <w:tc>
          <w:tcPr>
            <w:tcW w:w="2260" w:type="dxa"/>
            <w:vAlign w:val="bottom"/>
            <w:tcBorders>
              <w:bottom w:val="single" w:sz="8" w:color="DCE2EF"/>
            </w:tcBorders>
            <w:gridSpan w:val="18"/>
            <w:shd w:val="clear" w:color="auto" w:fill="DCE2EF"/>
          </w:tcPr>
          <w:p>
            <w:pPr>
              <w:spacing w:after="0"/>
              <w:rPr>
                <w:sz w:val="18"/>
                <w:szCs w:val="18"/>
                <w:color w:val="auto"/>
              </w:rPr>
            </w:pPr>
          </w:p>
        </w:tc>
        <w:tc>
          <w:tcPr>
            <w:tcW w:w="760" w:type="dxa"/>
            <w:vAlign w:val="bottom"/>
            <w:tcBorders>
              <w:bottom w:val="single" w:sz="8" w:color="DCE2EF"/>
            </w:tcBorders>
            <w:shd w:val="clear" w:color="auto" w:fill="DCE2EF"/>
          </w:tcPr>
          <w:p>
            <w:pPr>
              <w:spacing w:after="0"/>
              <w:rPr>
                <w:sz w:val="18"/>
                <w:szCs w:val="18"/>
                <w:color w:val="auto"/>
              </w:rPr>
            </w:pPr>
          </w:p>
        </w:tc>
        <w:tc>
          <w:tcPr>
            <w:tcW w:w="1340" w:type="dxa"/>
            <w:vAlign w:val="bottom"/>
            <w:tcBorders>
              <w:bottom w:val="single" w:sz="8" w:color="DCE2EF"/>
            </w:tcBorders>
            <w:shd w:val="clear" w:color="auto" w:fill="DCE2EF"/>
          </w:tcPr>
          <w:p>
            <w:pPr>
              <w:spacing w:after="0"/>
              <w:rPr>
                <w:sz w:val="18"/>
                <w:szCs w:val="18"/>
                <w:color w:val="auto"/>
              </w:rPr>
            </w:pPr>
          </w:p>
        </w:tc>
        <w:tc>
          <w:tcPr>
            <w:tcW w:w="1000" w:type="dxa"/>
            <w:vAlign w:val="bottom"/>
            <w:tcBorders>
              <w:bottom w:val="single" w:sz="8" w:color="DCE2EF"/>
            </w:tcBorders>
            <w:shd w:val="clear" w:color="auto" w:fill="DCE2EF"/>
          </w:tcPr>
          <w:p>
            <w:pPr>
              <w:spacing w:after="0"/>
              <w:rPr>
                <w:sz w:val="18"/>
                <w:szCs w:val="18"/>
                <w:color w:val="auto"/>
              </w:rPr>
            </w:pPr>
          </w:p>
        </w:tc>
        <w:tc>
          <w:tcPr>
            <w:tcW w:w="2160" w:type="dxa"/>
            <w:vAlign w:val="bottom"/>
            <w:tcBorders>
              <w:bottom w:val="single" w:sz="8" w:color="DCE2EF"/>
            </w:tcBorders>
            <w:shd w:val="clear" w:color="auto" w:fill="DCE2EF"/>
          </w:tcPr>
          <w:p>
            <w:pPr>
              <w:spacing w:after="0"/>
              <w:rPr>
                <w:sz w:val="18"/>
                <w:szCs w:val="18"/>
                <w:color w:val="auto"/>
              </w:rPr>
            </w:pPr>
          </w:p>
        </w:tc>
      </w:tr>
      <w:tr>
        <w:trPr>
          <w:trHeight w:val="189"/>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23.1‡</w:t>
            </w:r>
          </w:p>
        </w:tc>
        <w:tc>
          <w:tcPr>
            <w:tcW w:w="4620" w:type="dxa"/>
            <w:vAlign w:val="bottom"/>
            <w:gridSpan w:val="27"/>
          </w:tcPr>
          <w:p>
            <w:pPr>
              <w:spacing w:after="0" w:line="189" w:lineRule="exact"/>
              <w:rPr>
                <w:rFonts w:ascii="Arial" w:cs="Arial" w:eastAsia="Arial" w:hAnsi="Arial"/>
                <w:sz w:val="18"/>
                <w:szCs w:val="18"/>
                <w:color w:val="0000FF"/>
              </w:rPr>
            </w:pPr>
            <w:hyperlink w:anchor="page109">
              <w:r>
                <w:rPr>
                  <w:rFonts w:ascii="Arial" w:cs="Arial" w:eastAsia="Arial" w:hAnsi="Arial"/>
                  <w:sz w:val="18"/>
                  <w:szCs w:val="18"/>
                  <w:color w:val="0000FF"/>
                </w:rPr>
                <w:t>Consent of Independent Registered Public Accounting</w:t>
              </w:r>
            </w:hyperlink>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55"/>
        </w:trPr>
        <w:tc>
          <w:tcPr>
            <w:tcW w:w="1360" w:type="dxa"/>
            <w:vAlign w:val="bottom"/>
          </w:tcPr>
          <w:p>
            <w:pPr>
              <w:spacing w:after="0"/>
              <w:rPr>
                <w:sz w:val="13"/>
                <w:szCs w:val="13"/>
                <w:color w:val="auto"/>
              </w:rPr>
            </w:pPr>
          </w:p>
        </w:tc>
        <w:tc>
          <w:tcPr>
            <w:tcW w:w="43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109">
              <w:r>
                <w:rPr>
                  <w:rFonts w:ascii="Arial" w:cs="Arial" w:eastAsia="Arial" w:hAnsi="Arial"/>
                  <w:sz w:val="18"/>
                  <w:szCs w:val="18"/>
                  <w:color w:val="0000FF"/>
                </w:rPr>
                <w:t>Firm</w:t>
              </w:r>
            </w:hyperlink>
          </w:p>
        </w:tc>
        <w:tc>
          <w:tcPr>
            <w:tcW w:w="160" w:type="dxa"/>
            <w:vAlign w:val="bottom"/>
            <w:gridSpan w:val="5"/>
          </w:tcPr>
          <w:p>
            <w:pPr>
              <w:spacing w:after="0"/>
              <w:rPr>
                <w:sz w:val="13"/>
                <w:szCs w:val="13"/>
                <w:color w:val="auto"/>
              </w:rPr>
            </w:pPr>
          </w:p>
        </w:tc>
        <w:tc>
          <w:tcPr>
            <w:tcW w:w="12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1"/>
        </w:trPr>
        <w:tc>
          <w:tcPr>
            <w:tcW w:w="1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9"/>
        </w:trPr>
        <w:tc>
          <w:tcPr>
            <w:tcW w:w="1360" w:type="dxa"/>
            <w:vAlign w:val="bottom"/>
            <w:tcBorders>
              <w:bottom w:val="single" w:sz="8" w:color="DCE2EF"/>
            </w:tcBorders>
            <w:shd w:val="clear" w:color="auto" w:fill="DCE2EF"/>
          </w:tcPr>
          <w:p>
            <w:pPr>
              <w:ind w:left="20"/>
              <w:spacing w:after="0" w:line="189" w:lineRule="exact"/>
              <w:rPr>
                <w:sz w:val="20"/>
                <w:szCs w:val="20"/>
                <w:color w:val="auto"/>
              </w:rPr>
            </w:pPr>
            <w:r>
              <w:rPr>
                <w:rFonts w:ascii="Arial" w:cs="Arial" w:eastAsia="Arial" w:hAnsi="Arial"/>
                <w:sz w:val="18"/>
                <w:szCs w:val="18"/>
                <w:color w:val="auto"/>
              </w:rPr>
              <w:t>31.1‡</w:t>
            </w:r>
          </w:p>
        </w:tc>
        <w:tc>
          <w:tcPr>
            <w:tcW w:w="3980" w:type="dxa"/>
            <w:vAlign w:val="bottom"/>
            <w:tcBorders>
              <w:bottom w:val="single" w:sz="8" w:color="0000FF"/>
            </w:tcBorders>
            <w:gridSpan w:val="15"/>
            <w:shd w:val="clear" w:color="auto" w:fill="DCE2EF"/>
          </w:tcPr>
          <w:p>
            <w:pPr>
              <w:spacing w:after="0" w:line="189" w:lineRule="exact"/>
              <w:rPr>
                <w:rFonts w:ascii="Arial" w:cs="Arial" w:eastAsia="Arial" w:hAnsi="Arial"/>
                <w:sz w:val="18"/>
                <w:szCs w:val="18"/>
                <w:color w:val="0000FF"/>
                <w:w w:val="99"/>
              </w:rPr>
            </w:pPr>
            <w:hyperlink w:anchor="page110">
              <w:r>
                <w:rPr>
                  <w:rFonts w:ascii="Arial" w:cs="Arial" w:eastAsia="Arial" w:hAnsi="Arial"/>
                  <w:sz w:val="18"/>
                  <w:szCs w:val="18"/>
                  <w:color w:val="0000FF"/>
                  <w:w w:val="99"/>
                </w:rPr>
                <w:t>Certification of Chief Executive Officer pursuant to</w:t>
              </w:r>
            </w:hyperlink>
          </w:p>
        </w:tc>
        <w:tc>
          <w:tcPr>
            <w:tcW w:w="640" w:type="dxa"/>
            <w:vAlign w:val="bottom"/>
            <w:tcBorders>
              <w:bottom w:val="single" w:sz="8" w:color="DCE2EF"/>
            </w:tcBorders>
            <w:gridSpan w:val="12"/>
            <w:shd w:val="clear" w:color="auto" w:fill="DCE2EF"/>
          </w:tcPr>
          <w:p>
            <w:pPr>
              <w:spacing w:after="0"/>
              <w:rPr>
                <w:sz w:val="16"/>
                <w:szCs w:val="16"/>
                <w:color w:val="auto"/>
              </w:rPr>
            </w:pPr>
          </w:p>
        </w:tc>
        <w:tc>
          <w:tcPr>
            <w:tcW w:w="760" w:type="dxa"/>
            <w:vAlign w:val="bottom"/>
            <w:tcBorders>
              <w:bottom w:val="single" w:sz="8" w:color="DCE2EF"/>
            </w:tcBorders>
            <w:shd w:val="clear" w:color="auto" w:fill="DCE2EF"/>
          </w:tcPr>
          <w:p>
            <w:pPr>
              <w:spacing w:after="0"/>
              <w:rPr>
                <w:sz w:val="16"/>
                <w:szCs w:val="16"/>
                <w:color w:val="auto"/>
              </w:rPr>
            </w:pPr>
          </w:p>
        </w:tc>
        <w:tc>
          <w:tcPr>
            <w:tcW w:w="1340" w:type="dxa"/>
            <w:vAlign w:val="bottom"/>
            <w:tcBorders>
              <w:bottom w:val="single" w:sz="8" w:color="DCE2EF"/>
            </w:tcBorders>
            <w:shd w:val="clear" w:color="auto" w:fill="DCE2EF"/>
          </w:tcPr>
          <w:p>
            <w:pPr>
              <w:spacing w:after="0"/>
              <w:rPr>
                <w:sz w:val="16"/>
                <w:szCs w:val="16"/>
                <w:color w:val="auto"/>
              </w:rPr>
            </w:pPr>
          </w:p>
        </w:tc>
        <w:tc>
          <w:tcPr>
            <w:tcW w:w="1000" w:type="dxa"/>
            <w:vAlign w:val="bottom"/>
            <w:tcBorders>
              <w:bottom w:val="single" w:sz="8" w:color="DCE2EF"/>
            </w:tcBorders>
            <w:shd w:val="clear" w:color="auto" w:fill="DCE2EF"/>
          </w:tcPr>
          <w:p>
            <w:pPr>
              <w:spacing w:after="0"/>
              <w:rPr>
                <w:sz w:val="16"/>
                <w:szCs w:val="16"/>
                <w:color w:val="auto"/>
              </w:rPr>
            </w:pPr>
          </w:p>
        </w:tc>
        <w:tc>
          <w:tcPr>
            <w:tcW w:w="2160" w:type="dxa"/>
            <w:vAlign w:val="bottom"/>
            <w:tcBorders>
              <w:bottom w:val="single" w:sz="8" w:color="DCE2EF"/>
            </w:tcBorders>
            <w:shd w:val="clear" w:color="auto" w:fill="DCE2EF"/>
          </w:tcPr>
          <w:p>
            <w:pPr>
              <w:spacing w:after="0"/>
              <w:rPr>
                <w:sz w:val="16"/>
                <w:szCs w:val="16"/>
                <w:color w:val="auto"/>
              </w:rPr>
            </w:pPr>
          </w:p>
        </w:tc>
      </w:tr>
      <w:tr>
        <w:trPr>
          <w:trHeight w:val="155"/>
        </w:trPr>
        <w:tc>
          <w:tcPr>
            <w:tcW w:w="1360" w:type="dxa"/>
            <w:vAlign w:val="bottom"/>
            <w:shd w:val="clear" w:color="auto" w:fill="DCE2EF"/>
          </w:tcPr>
          <w:p>
            <w:pPr>
              <w:spacing w:after="0"/>
              <w:rPr>
                <w:sz w:val="13"/>
                <w:szCs w:val="13"/>
                <w:color w:val="auto"/>
              </w:rPr>
            </w:pPr>
          </w:p>
        </w:tc>
        <w:tc>
          <w:tcPr>
            <w:tcW w:w="4620" w:type="dxa"/>
            <w:vAlign w:val="bottom"/>
            <w:gridSpan w:val="27"/>
            <w:shd w:val="clear" w:color="auto" w:fill="DCE2EF"/>
          </w:tcPr>
          <w:p>
            <w:pPr>
              <w:spacing w:after="0" w:line="156" w:lineRule="exact"/>
              <w:rPr>
                <w:rFonts w:ascii="Arial" w:cs="Arial" w:eastAsia="Arial" w:hAnsi="Arial"/>
                <w:sz w:val="18"/>
                <w:szCs w:val="18"/>
                <w:color w:val="0000FF"/>
              </w:rPr>
            </w:pPr>
            <w:hyperlink w:anchor="page110">
              <w:r>
                <w:rPr>
                  <w:rFonts w:ascii="Arial" w:cs="Arial" w:eastAsia="Arial" w:hAnsi="Arial"/>
                  <w:sz w:val="18"/>
                  <w:szCs w:val="18"/>
                  <w:color w:val="0000FF"/>
                </w:rPr>
                <w:t>Securities Exchange Act of 1934 Rule 13a-14(a) or 15d-</w:t>
              </w:r>
            </w:hyperlink>
          </w:p>
        </w:tc>
        <w:tc>
          <w:tcPr>
            <w:tcW w:w="760" w:type="dxa"/>
            <w:vAlign w:val="bottom"/>
            <w:shd w:val="clear" w:color="auto" w:fill="DCE2EF"/>
          </w:tcPr>
          <w:p>
            <w:pPr>
              <w:spacing w:after="0"/>
              <w:rPr>
                <w:sz w:val="13"/>
                <w:szCs w:val="13"/>
                <w:color w:val="auto"/>
              </w:rPr>
            </w:pPr>
          </w:p>
        </w:tc>
        <w:tc>
          <w:tcPr>
            <w:tcW w:w="1340" w:type="dxa"/>
            <w:vAlign w:val="bottom"/>
            <w:shd w:val="clear" w:color="auto" w:fill="DCE2EF"/>
          </w:tcPr>
          <w:p>
            <w:pPr>
              <w:spacing w:after="0"/>
              <w:rPr>
                <w:sz w:val="13"/>
                <w:szCs w:val="13"/>
                <w:color w:val="auto"/>
              </w:rPr>
            </w:pPr>
          </w:p>
        </w:tc>
        <w:tc>
          <w:tcPr>
            <w:tcW w:w="1000" w:type="dxa"/>
            <w:vAlign w:val="bottom"/>
            <w:shd w:val="clear" w:color="auto" w:fill="DCE2EF"/>
          </w:tcPr>
          <w:p>
            <w:pPr>
              <w:spacing w:after="0"/>
              <w:rPr>
                <w:sz w:val="13"/>
                <w:szCs w:val="13"/>
                <w:color w:val="auto"/>
              </w:rPr>
            </w:pPr>
          </w:p>
        </w:tc>
        <w:tc>
          <w:tcPr>
            <w:tcW w:w="2160" w:type="dxa"/>
            <w:vAlign w:val="bottom"/>
            <w:shd w:val="clear" w:color="auto" w:fill="DCE2EF"/>
          </w:tcPr>
          <w:p>
            <w:pPr>
              <w:spacing w:after="0"/>
              <w:rPr>
                <w:sz w:val="13"/>
                <w:szCs w:val="13"/>
                <w:color w:val="auto"/>
              </w:rPr>
            </w:pPr>
          </w:p>
        </w:tc>
      </w:tr>
      <w:tr>
        <w:trPr>
          <w:trHeight w:val="155"/>
        </w:trPr>
        <w:tc>
          <w:tcPr>
            <w:tcW w:w="1360" w:type="dxa"/>
            <w:vAlign w:val="bottom"/>
            <w:tcBorders>
              <w:top w:val="single" w:sz="8" w:color="DCE2EF"/>
            </w:tcBorders>
            <w:shd w:val="clear" w:color="auto" w:fill="DCE2EF"/>
          </w:tcPr>
          <w:p>
            <w:pPr>
              <w:spacing w:after="0"/>
              <w:rPr>
                <w:sz w:val="13"/>
                <w:szCs w:val="13"/>
                <w:color w:val="auto"/>
              </w:rPr>
            </w:pPr>
          </w:p>
        </w:tc>
        <w:tc>
          <w:tcPr>
            <w:tcW w:w="4500" w:type="dxa"/>
            <w:vAlign w:val="bottom"/>
            <w:tcBorders>
              <w:top w:val="single" w:sz="8" w:color="0000FF"/>
            </w:tcBorders>
            <w:gridSpan w:val="25"/>
            <w:shd w:val="clear" w:color="auto" w:fill="DCE2EF"/>
          </w:tcPr>
          <w:p>
            <w:pPr>
              <w:spacing w:after="0" w:line="156" w:lineRule="exact"/>
              <w:rPr>
                <w:rFonts w:ascii="Arial" w:cs="Arial" w:eastAsia="Arial" w:hAnsi="Arial"/>
                <w:sz w:val="18"/>
                <w:szCs w:val="18"/>
                <w:color w:val="0000FF"/>
              </w:rPr>
            </w:pPr>
            <w:hyperlink w:anchor="page110">
              <w:r>
                <w:rPr>
                  <w:rFonts w:ascii="Arial" w:cs="Arial" w:eastAsia="Arial" w:hAnsi="Arial"/>
                  <w:sz w:val="18"/>
                  <w:szCs w:val="18"/>
                  <w:color w:val="0000FF"/>
                </w:rPr>
                <w:t>14(a), as adopted pursuant to Section 302 of the</w:t>
              </w:r>
            </w:hyperlink>
          </w:p>
        </w:tc>
        <w:tc>
          <w:tcPr>
            <w:tcW w:w="120" w:type="dxa"/>
            <w:vAlign w:val="bottom"/>
            <w:tcBorders>
              <w:top w:val="single" w:sz="8" w:color="DCE2EF"/>
            </w:tcBorders>
            <w:gridSpan w:val="2"/>
            <w:shd w:val="clear" w:color="auto" w:fill="DCE2EF"/>
          </w:tcPr>
          <w:p>
            <w:pPr>
              <w:spacing w:after="0"/>
              <w:rPr>
                <w:sz w:val="13"/>
                <w:szCs w:val="13"/>
                <w:color w:val="auto"/>
              </w:rPr>
            </w:pPr>
          </w:p>
        </w:tc>
        <w:tc>
          <w:tcPr>
            <w:tcW w:w="76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0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r>
      <w:tr>
        <w:trPr>
          <w:trHeight w:val="176"/>
        </w:trPr>
        <w:tc>
          <w:tcPr>
            <w:tcW w:w="1360" w:type="dxa"/>
            <w:vAlign w:val="bottom"/>
            <w:tcBorders>
              <w:top w:val="single" w:sz="8" w:color="DCE2EF"/>
              <w:bottom w:val="single" w:sz="8" w:color="DCE2EF"/>
            </w:tcBorders>
            <w:shd w:val="clear" w:color="auto" w:fill="DCE2EF"/>
          </w:tcPr>
          <w:p>
            <w:pPr>
              <w:spacing w:after="0"/>
              <w:rPr>
                <w:sz w:val="15"/>
                <w:szCs w:val="15"/>
                <w:color w:val="auto"/>
              </w:rPr>
            </w:pPr>
          </w:p>
        </w:tc>
        <w:tc>
          <w:tcPr>
            <w:tcW w:w="2260" w:type="dxa"/>
            <w:vAlign w:val="bottom"/>
            <w:tcBorders>
              <w:top w:val="single" w:sz="8" w:color="0000FF"/>
              <w:bottom w:val="single" w:sz="8" w:color="0000FF"/>
            </w:tcBorders>
            <w:gridSpan w:val="7"/>
            <w:shd w:val="clear" w:color="auto" w:fill="DCE2EF"/>
          </w:tcPr>
          <w:p>
            <w:pPr>
              <w:spacing w:after="0" w:line="156" w:lineRule="exact"/>
              <w:rPr>
                <w:rFonts w:ascii="Arial" w:cs="Arial" w:eastAsia="Arial" w:hAnsi="Arial"/>
                <w:sz w:val="18"/>
                <w:szCs w:val="18"/>
                <w:color w:val="0000FF"/>
                <w:w w:val="99"/>
              </w:rPr>
            </w:pPr>
            <w:hyperlink w:anchor="page110">
              <w:r>
                <w:rPr>
                  <w:rFonts w:ascii="Arial" w:cs="Arial" w:eastAsia="Arial" w:hAnsi="Arial"/>
                  <w:sz w:val="18"/>
                  <w:szCs w:val="18"/>
                  <w:color w:val="0000FF"/>
                  <w:w w:val="99"/>
                </w:rPr>
                <w:t>Sarbanes-Oxley Act of 2002</w:t>
              </w:r>
            </w:hyperlink>
          </w:p>
        </w:tc>
        <w:tc>
          <w:tcPr>
            <w:tcW w:w="1600" w:type="dxa"/>
            <w:vAlign w:val="bottom"/>
            <w:tcBorders>
              <w:top w:val="single" w:sz="8" w:color="0000FF"/>
              <w:bottom w:val="single" w:sz="8" w:color="DCE2EF"/>
            </w:tcBorders>
            <w:gridSpan w:val="5"/>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40" w:type="dxa"/>
            <w:vAlign w:val="bottom"/>
            <w:tcBorders>
              <w:top w:val="single" w:sz="8" w:color="DCE2EF"/>
              <w:bottom w:val="single" w:sz="8" w:color="DCE2EF"/>
            </w:tcBorders>
            <w:shd w:val="clear" w:color="auto" w:fill="DCE2EF"/>
          </w:tcPr>
          <w:p>
            <w:pPr>
              <w:spacing w:after="0"/>
              <w:rPr>
                <w:sz w:val="15"/>
                <w:szCs w:val="15"/>
                <w:color w:val="auto"/>
              </w:rPr>
            </w:pPr>
          </w:p>
        </w:tc>
        <w:tc>
          <w:tcPr>
            <w:tcW w:w="280" w:type="dxa"/>
            <w:vAlign w:val="bottom"/>
            <w:tcBorders>
              <w:top w:val="single" w:sz="8" w:color="DCE2EF"/>
              <w:bottom w:val="single" w:sz="8" w:color="DCE2EF"/>
            </w:tcBorders>
            <w:gridSpan w:val="3"/>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400" w:type="dxa"/>
            <w:vAlign w:val="bottom"/>
            <w:tcBorders>
              <w:top w:val="single" w:sz="8" w:color="DCE2EF"/>
              <w:bottom w:val="single" w:sz="8" w:color="DCE2EF"/>
            </w:tcBorders>
            <w:gridSpan w:val="9"/>
            <w:shd w:val="clear" w:color="auto" w:fill="DCE2EF"/>
          </w:tcPr>
          <w:p>
            <w:pPr>
              <w:spacing w:after="0"/>
              <w:rPr>
                <w:sz w:val="15"/>
                <w:szCs w:val="15"/>
                <w:color w:val="auto"/>
              </w:rPr>
            </w:pPr>
          </w:p>
        </w:tc>
        <w:tc>
          <w:tcPr>
            <w:tcW w:w="760" w:type="dxa"/>
            <w:vAlign w:val="bottom"/>
            <w:tcBorders>
              <w:top w:val="single" w:sz="8" w:color="DCE2EF"/>
              <w:bottom w:val="single" w:sz="8" w:color="DCE2EF"/>
            </w:tcBorders>
            <w:shd w:val="clear" w:color="auto" w:fill="DCE2EF"/>
          </w:tcPr>
          <w:p>
            <w:pPr>
              <w:spacing w:after="0"/>
              <w:rPr>
                <w:sz w:val="15"/>
                <w:szCs w:val="15"/>
                <w:color w:val="auto"/>
              </w:rPr>
            </w:pPr>
          </w:p>
        </w:tc>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1000" w:type="dxa"/>
            <w:vAlign w:val="bottom"/>
            <w:tcBorders>
              <w:top w:val="single" w:sz="8" w:color="DCE2EF"/>
              <w:bottom w:val="single" w:sz="8" w:color="DCE2EF"/>
            </w:tcBorders>
            <w:shd w:val="clear" w:color="auto" w:fill="DCE2EF"/>
          </w:tcPr>
          <w:p>
            <w:pPr>
              <w:spacing w:after="0"/>
              <w:rPr>
                <w:sz w:val="15"/>
                <w:szCs w:val="15"/>
                <w:color w:val="auto"/>
              </w:rPr>
            </w:pPr>
          </w:p>
        </w:tc>
        <w:tc>
          <w:tcPr>
            <w:tcW w:w="216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8"/>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4620" w:type="dxa"/>
            <w:vAlign w:val="bottom"/>
            <w:gridSpan w:val="27"/>
          </w:tcPr>
          <w:p>
            <w:pPr>
              <w:spacing w:after="0" w:line="189" w:lineRule="exact"/>
              <w:rPr>
                <w:rFonts w:ascii="Arial" w:cs="Arial" w:eastAsia="Arial" w:hAnsi="Arial"/>
                <w:sz w:val="18"/>
                <w:szCs w:val="18"/>
                <w:color w:val="0000FF"/>
              </w:rPr>
            </w:pPr>
            <w:hyperlink w:anchor="page111">
              <w:r>
                <w:rPr>
                  <w:rFonts w:ascii="Arial" w:cs="Arial" w:eastAsia="Arial" w:hAnsi="Arial"/>
                  <w:sz w:val="18"/>
                  <w:szCs w:val="18"/>
                  <w:color w:val="0000FF"/>
                </w:rPr>
                <w:t>Certification of Chief Financial Officer pursuant to</w:t>
              </w:r>
            </w:hyperlink>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56"/>
        </w:trPr>
        <w:tc>
          <w:tcPr>
            <w:tcW w:w="1360" w:type="dxa"/>
            <w:vAlign w:val="bottom"/>
          </w:tcPr>
          <w:p>
            <w:pPr>
              <w:spacing w:after="0"/>
              <w:rPr>
                <w:sz w:val="13"/>
                <w:szCs w:val="13"/>
                <w:color w:val="auto"/>
              </w:rPr>
            </w:pPr>
          </w:p>
        </w:tc>
        <w:tc>
          <w:tcPr>
            <w:tcW w:w="3920" w:type="dxa"/>
            <w:vAlign w:val="bottom"/>
            <w:tcBorders>
              <w:top w:val="single" w:sz="8" w:color="0000FF"/>
            </w:tcBorders>
            <w:gridSpan w:val="14"/>
          </w:tcPr>
          <w:p>
            <w:pPr>
              <w:spacing w:after="0" w:line="157" w:lineRule="exact"/>
              <w:rPr>
                <w:rFonts w:ascii="Arial" w:cs="Arial" w:eastAsia="Arial" w:hAnsi="Arial"/>
                <w:sz w:val="18"/>
                <w:szCs w:val="18"/>
                <w:color w:val="0000FF"/>
              </w:rPr>
            </w:pPr>
            <w:hyperlink w:anchor="page111">
              <w:r>
                <w:rPr>
                  <w:rFonts w:ascii="Arial" w:cs="Arial" w:eastAsia="Arial" w:hAnsi="Arial"/>
                  <w:sz w:val="18"/>
                  <w:szCs w:val="18"/>
                  <w:color w:val="0000FF"/>
                </w:rPr>
                <w:t>Securities Exchange Act of 1934 Rule 13a-14(a)</w:t>
              </w:r>
            </w:hyperlink>
          </w:p>
        </w:tc>
        <w:tc>
          <w:tcPr>
            <w:tcW w:w="700" w:type="dxa"/>
            <w:vAlign w:val="bottom"/>
            <w:gridSpan w:val="13"/>
          </w:tcPr>
          <w:p>
            <w:pPr>
              <w:spacing w:after="0" w:line="157" w:lineRule="exact"/>
              <w:rPr>
                <w:rFonts w:ascii="Arial" w:cs="Arial" w:eastAsia="Arial" w:hAnsi="Arial"/>
                <w:sz w:val="18"/>
                <w:szCs w:val="18"/>
                <w:color w:val="0000FF"/>
              </w:rPr>
            </w:pPr>
            <w:hyperlink w:anchor="page111">
              <w:r>
                <w:rPr>
                  <w:rFonts w:ascii="Arial" w:cs="Arial" w:eastAsia="Arial" w:hAnsi="Arial"/>
                  <w:sz w:val="18"/>
                  <w:szCs w:val="18"/>
                  <w:color w:val="0000FF"/>
                </w:rPr>
                <w:t>or 15d-</w:t>
              </w:r>
            </w:hyperlink>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45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w:anchor="page111">
              <w:r>
                <w:rPr>
                  <w:rFonts w:ascii="Arial" w:cs="Arial" w:eastAsia="Arial" w:hAnsi="Arial"/>
                  <w:sz w:val="18"/>
                  <w:szCs w:val="18"/>
                  <w:color w:val="0000FF"/>
                </w:rPr>
                <w:t>14(a), as adopted pursuant to Section 302 of the</w:t>
              </w:r>
            </w:hyperlink>
          </w:p>
        </w:tc>
        <w:tc>
          <w:tcPr>
            <w:tcW w:w="12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38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111">
              <w:r>
                <w:rPr>
                  <w:rFonts w:ascii="Arial" w:cs="Arial" w:eastAsia="Arial" w:hAnsi="Arial"/>
                  <w:sz w:val="18"/>
                  <w:szCs w:val="18"/>
                  <w:color w:val="0000FF"/>
                </w:rPr>
                <w:t>Sarbanes-Oxley Act of 2002</w:t>
              </w:r>
            </w:hyperlink>
          </w:p>
        </w:tc>
        <w:tc>
          <w:tcPr>
            <w:tcW w:w="20" w:type="dxa"/>
            <w:vAlign w:val="bottom"/>
          </w:tcPr>
          <w:p>
            <w:pPr>
              <w:spacing w:after="0"/>
              <w:rPr>
                <w:sz w:val="13"/>
                <w:szCs w:val="13"/>
                <w:color w:val="auto"/>
              </w:rPr>
            </w:pPr>
          </w:p>
        </w:tc>
        <w:tc>
          <w:tcPr>
            <w:tcW w:w="3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gridSpan w:val="9"/>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9"/>
        </w:trPr>
        <w:tc>
          <w:tcPr>
            <w:tcW w:w="1360" w:type="dxa"/>
            <w:vAlign w:val="bottom"/>
            <w:shd w:val="clear" w:color="auto" w:fill="DCE2EF"/>
          </w:tcPr>
          <w:p>
            <w:pPr>
              <w:ind w:left="20"/>
              <w:spacing w:after="0" w:line="189" w:lineRule="exact"/>
              <w:rPr>
                <w:sz w:val="20"/>
                <w:szCs w:val="20"/>
                <w:color w:val="auto"/>
              </w:rPr>
            </w:pPr>
            <w:r>
              <w:rPr>
                <w:rFonts w:ascii="Arial" w:cs="Arial" w:eastAsia="Arial" w:hAnsi="Arial"/>
                <w:sz w:val="18"/>
                <w:szCs w:val="18"/>
                <w:color w:val="auto"/>
              </w:rPr>
              <w:t>32.1†</w:t>
            </w:r>
          </w:p>
        </w:tc>
        <w:tc>
          <w:tcPr>
            <w:tcW w:w="4620" w:type="dxa"/>
            <w:vAlign w:val="bottom"/>
            <w:gridSpan w:val="27"/>
            <w:shd w:val="clear" w:color="auto" w:fill="DCE2EF"/>
          </w:tcPr>
          <w:p>
            <w:pPr>
              <w:spacing w:after="0" w:line="189" w:lineRule="exact"/>
              <w:rPr>
                <w:rFonts w:ascii="Arial" w:cs="Arial" w:eastAsia="Arial" w:hAnsi="Arial"/>
                <w:sz w:val="18"/>
                <w:szCs w:val="18"/>
                <w:color w:val="0000FF"/>
              </w:rPr>
            </w:pPr>
            <w:hyperlink w:anchor="page112">
              <w:r>
                <w:rPr>
                  <w:rFonts w:ascii="Arial" w:cs="Arial" w:eastAsia="Arial" w:hAnsi="Arial"/>
                  <w:sz w:val="18"/>
                  <w:szCs w:val="18"/>
                  <w:color w:val="0000FF"/>
                </w:rPr>
                <w:t>Certifications pursuant to Securities Exchange Act of</w:t>
              </w:r>
            </w:hyperlink>
          </w:p>
        </w:tc>
        <w:tc>
          <w:tcPr>
            <w:tcW w:w="760" w:type="dxa"/>
            <w:vAlign w:val="bottom"/>
            <w:shd w:val="clear" w:color="auto" w:fill="DCE2EF"/>
          </w:tcPr>
          <w:p>
            <w:pPr>
              <w:spacing w:after="0"/>
              <w:rPr>
                <w:sz w:val="16"/>
                <w:szCs w:val="16"/>
                <w:color w:val="auto"/>
              </w:rPr>
            </w:pPr>
          </w:p>
        </w:tc>
        <w:tc>
          <w:tcPr>
            <w:tcW w:w="1340" w:type="dxa"/>
            <w:vAlign w:val="bottom"/>
            <w:shd w:val="clear" w:color="auto" w:fill="DCE2EF"/>
          </w:tcPr>
          <w:p>
            <w:pPr>
              <w:spacing w:after="0"/>
              <w:rPr>
                <w:sz w:val="16"/>
                <w:szCs w:val="16"/>
                <w:color w:val="auto"/>
              </w:rPr>
            </w:pPr>
          </w:p>
        </w:tc>
        <w:tc>
          <w:tcPr>
            <w:tcW w:w="1000" w:type="dxa"/>
            <w:vAlign w:val="bottom"/>
            <w:shd w:val="clear" w:color="auto" w:fill="DCE2EF"/>
          </w:tcPr>
          <w:p>
            <w:pPr>
              <w:spacing w:after="0"/>
              <w:rPr>
                <w:sz w:val="16"/>
                <w:szCs w:val="16"/>
                <w:color w:val="auto"/>
              </w:rPr>
            </w:pPr>
          </w:p>
        </w:tc>
        <w:tc>
          <w:tcPr>
            <w:tcW w:w="2160" w:type="dxa"/>
            <w:vAlign w:val="bottom"/>
            <w:shd w:val="clear" w:color="auto" w:fill="DCE2EF"/>
          </w:tcPr>
          <w:p>
            <w:pPr>
              <w:spacing w:after="0"/>
              <w:rPr>
                <w:sz w:val="16"/>
                <w:szCs w:val="16"/>
                <w:color w:val="auto"/>
              </w:rPr>
            </w:pPr>
          </w:p>
        </w:tc>
      </w:tr>
      <w:tr>
        <w:trPr>
          <w:trHeight w:val="155"/>
        </w:trPr>
        <w:tc>
          <w:tcPr>
            <w:tcW w:w="1360" w:type="dxa"/>
            <w:vAlign w:val="bottom"/>
            <w:tcBorders>
              <w:top w:val="single" w:sz="8" w:color="DCE2EF"/>
              <w:bottom w:val="single" w:sz="8" w:color="DCE2EF"/>
            </w:tcBorders>
            <w:shd w:val="clear" w:color="auto" w:fill="DCE2EF"/>
          </w:tcPr>
          <w:p>
            <w:pPr>
              <w:spacing w:after="0"/>
              <w:rPr>
                <w:sz w:val="13"/>
                <w:szCs w:val="13"/>
                <w:color w:val="auto"/>
              </w:rPr>
            </w:pPr>
          </w:p>
        </w:tc>
        <w:tc>
          <w:tcPr>
            <w:tcW w:w="3880" w:type="dxa"/>
            <w:vAlign w:val="bottom"/>
            <w:tcBorders>
              <w:top w:val="single" w:sz="8" w:color="0000FF"/>
              <w:bottom w:val="single" w:sz="8" w:color="0000FF"/>
            </w:tcBorders>
            <w:gridSpan w:val="13"/>
            <w:shd w:val="clear" w:color="auto" w:fill="DCE2EF"/>
          </w:tcPr>
          <w:p>
            <w:pPr>
              <w:spacing w:after="0" w:line="156" w:lineRule="exact"/>
              <w:rPr>
                <w:rFonts w:ascii="Arial" w:cs="Arial" w:eastAsia="Arial" w:hAnsi="Arial"/>
                <w:sz w:val="18"/>
                <w:szCs w:val="18"/>
                <w:color w:val="0000FF"/>
                <w:w w:val="99"/>
              </w:rPr>
            </w:pPr>
            <w:hyperlink w:anchor="page112">
              <w:r>
                <w:rPr>
                  <w:rFonts w:ascii="Arial" w:cs="Arial" w:eastAsia="Arial" w:hAnsi="Arial"/>
                  <w:sz w:val="18"/>
                  <w:szCs w:val="18"/>
                  <w:color w:val="0000FF"/>
                  <w:w w:val="99"/>
                </w:rPr>
                <w:t>1934 Rule 13a-14(b) or 15d-14(b) and 18 U.S.C.</w:t>
              </w:r>
            </w:hyperlink>
          </w:p>
        </w:tc>
        <w:tc>
          <w:tcPr>
            <w:tcW w:w="320" w:type="dxa"/>
            <w:vAlign w:val="bottom"/>
            <w:tcBorders>
              <w:top w:val="single" w:sz="8" w:color="0000FF"/>
              <w:bottom w:val="single" w:sz="8" w:color="DCE2EF"/>
            </w:tcBorders>
            <w:gridSpan w:val="4"/>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400" w:type="dxa"/>
            <w:vAlign w:val="bottom"/>
            <w:tcBorders>
              <w:top w:val="single" w:sz="8" w:color="DCE2EF"/>
              <w:bottom w:val="single" w:sz="8" w:color="DCE2EF"/>
            </w:tcBorders>
            <w:gridSpan w:val="9"/>
            <w:shd w:val="clear" w:color="auto" w:fill="DCE2EF"/>
          </w:tcPr>
          <w:p>
            <w:pPr>
              <w:spacing w:after="0"/>
              <w:rPr>
                <w:sz w:val="13"/>
                <w:szCs w:val="13"/>
                <w:color w:val="auto"/>
              </w:rPr>
            </w:pPr>
          </w:p>
        </w:tc>
        <w:tc>
          <w:tcPr>
            <w:tcW w:w="760" w:type="dxa"/>
            <w:vAlign w:val="bottom"/>
            <w:tcBorders>
              <w:top w:val="single" w:sz="8" w:color="DCE2EF"/>
              <w:bottom w:val="single" w:sz="8" w:color="DCE2EF"/>
            </w:tcBorders>
            <w:shd w:val="clear" w:color="auto" w:fill="DCE2EF"/>
          </w:tcPr>
          <w:p>
            <w:pPr>
              <w:spacing w:after="0"/>
              <w:rPr>
                <w:sz w:val="13"/>
                <w:szCs w:val="13"/>
                <w:color w:val="auto"/>
              </w:rPr>
            </w:pPr>
          </w:p>
        </w:tc>
        <w:tc>
          <w:tcPr>
            <w:tcW w:w="1340" w:type="dxa"/>
            <w:vAlign w:val="bottom"/>
            <w:tcBorders>
              <w:top w:val="single" w:sz="8" w:color="DCE2EF"/>
              <w:bottom w:val="single" w:sz="8" w:color="DCE2EF"/>
            </w:tcBorders>
            <w:shd w:val="clear" w:color="auto" w:fill="DCE2EF"/>
          </w:tcPr>
          <w:p>
            <w:pPr>
              <w:spacing w:after="0"/>
              <w:rPr>
                <w:sz w:val="13"/>
                <w:szCs w:val="13"/>
                <w:color w:val="auto"/>
              </w:rPr>
            </w:pPr>
          </w:p>
        </w:tc>
        <w:tc>
          <w:tcPr>
            <w:tcW w:w="1000" w:type="dxa"/>
            <w:vAlign w:val="bottom"/>
            <w:tcBorders>
              <w:top w:val="single" w:sz="8" w:color="DCE2EF"/>
              <w:bottom w:val="single" w:sz="8" w:color="DCE2EF"/>
            </w:tcBorders>
            <w:shd w:val="clear" w:color="auto" w:fill="DCE2EF"/>
          </w:tcPr>
          <w:p>
            <w:pPr>
              <w:spacing w:after="0"/>
              <w:rPr>
                <w:sz w:val="13"/>
                <w:szCs w:val="13"/>
                <w:color w:val="auto"/>
              </w:rPr>
            </w:pPr>
          </w:p>
        </w:tc>
        <w:tc>
          <w:tcPr>
            <w:tcW w:w="2160" w:type="dxa"/>
            <w:vAlign w:val="bottom"/>
            <w:tcBorders>
              <w:top w:val="single" w:sz="8" w:color="DCE2EF"/>
              <w:bottom w:val="single" w:sz="8" w:color="DCE2EF"/>
            </w:tcBorders>
            <w:shd w:val="clear" w:color="auto" w:fill="DCE2EF"/>
          </w:tcPr>
          <w:p>
            <w:pPr>
              <w:spacing w:after="0"/>
              <w:rPr>
                <w:sz w:val="13"/>
                <w:szCs w:val="13"/>
                <w:color w:val="auto"/>
              </w:rPr>
            </w:pPr>
          </w:p>
        </w:tc>
      </w:tr>
      <w:tr>
        <w:trPr>
          <w:trHeight w:val="156"/>
        </w:trPr>
        <w:tc>
          <w:tcPr>
            <w:tcW w:w="1360" w:type="dxa"/>
            <w:vAlign w:val="bottom"/>
            <w:shd w:val="clear" w:color="auto" w:fill="DCE2EF"/>
          </w:tcPr>
          <w:p>
            <w:pPr>
              <w:spacing w:after="0"/>
              <w:rPr>
                <w:sz w:val="13"/>
                <w:szCs w:val="13"/>
                <w:color w:val="auto"/>
              </w:rPr>
            </w:pPr>
          </w:p>
        </w:tc>
        <w:tc>
          <w:tcPr>
            <w:tcW w:w="4620" w:type="dxa"/>
            <w:vAlign w:val="bottom"/>
            <w:gridSpan w:val="27"/>
            <w:shd w:val="clear" w:color="auto" w:fill="DCE2EF"/>
          </w:tcPr>
          <w:p>
            <w:pPr>
              <w:spacing w:after="0" w:line="156" w:lineRule="exact"/>
              <w:rPr>
                <w:rFonts w:ascii="Arial" w:cs="Arial" w:eastAsia="Arial" w:hAnsi="Arial"/>
                <w:sz w:val="18"/>
                <w:szCs w:val="18"/>
                <w:color w:val="0000FF"/>
              </w:rPr>
            </w:pPr>
            <w:hyperlink w:anchor="page112">
              <w:r>
                <w:rPr>
                  <w:rFonts w:ascii="Arial" w:cs="Arial" w:eastAsia="Arial" w:hAnsi="Arial"/>
                  <w:sz w:val="18"/>
                  <w:szCs w:val="18"/>
                  <w:color w:val="0000FF"/>
                </w:rPr>
                <w:t>Section 1350, as adopted pursuant to Section 302 of</w:t>
              </w:r>
            </w:hyperlink>
          </w:p>
        </w:tc>
        <w:tc>
          <w:tcPr>
            <w:tcW w:w="760" w:type="dxa"/>
            <w:vAlign w:val="bottom"/>
            <w:shd w:val="clear" w:color="auto" w:fill="DCE2EF"/>
          </w:tcPr>
          <w:p>
            <w:pPr>
              <w:spacing w:after="0"/>
              <w:rPr>
                <w:sz w:val="13"/>
                <w:szCs w:val="13"/>
                <w:color w:val="auto"/>
              </w:rPr>
            </w:pPr>
          </w:p>
        </w:tc>
        <w:tc>
          <w:tcPr>
            <w:tcW w:w="1340" w:type="dxa"/>
            <w:vAlign w:val="bottom"/>
            <w:shd w:val="clear" w:color="auto" w:fill="DCE2EF"/>
          </w:tcPr>
          <w:p>
            <w:pPr>
              <w:spacing w:after="0"/>
              <w:rPr>
                <w:sz w:val="13"/>
                <w:szCs w:val="13"/>
                <w:color w:val="auto"/>
              </w:rPr>
            </w:pPr>
          </w:p>
        </w:tc>
        <w:tc>
          <w:tcPr>
            <w:tcW w:w="1000" w:type="dxa"/>
            <w:vAlign w:val="bottom"/>
            <w:shd w:val="clear" w:color="auto" w:fill="DCE2EF"/>
          </w:tcPr>
          <w:p>
            <w:pPr>
              <w:spacing w:after="0"/>
              <w:rPr>
                <w:sz w:val="13"/>
                <w:szCs w:val="13"/>
                <w:color w:val="auto"/>
              </w:rPr>
            </w:pPr>
          </w:p>
        </w:tc>
        <w:tc>
          <w:tcPr>
            <w:tcW w:w="2160" w:type="dxa"/>
            <w:vAlign w:val="bottom"/>
            <w:shd w:val="clear" w:color="auto" w:fill="DCE2EF"/>
          </w:tcPr>
          <w:p>
            <w:pPr>
              <w:spacing w:after="0"/>
              <w:rPr>
                <w:sz w:val="13"/>
                <w:szCs w:val="13"/>
                <w:color w:val="auto"/>
              </w:rPr>
            </w:pPr>
          </w:p>
        </w:tc>
      </w:tr>
      <w:tr>
        <w:trPr>
          <w:trHeight w:val="176"/>
        </w:trPr>
        <w:tc>
          <w:tcPr>
            <w:tcW w:w="1360" w:type="dxa"/>
            <w:vAlign w:val="bottom"/>
            <w:tcBorders>
              <w:top w:val="single" w:sz="8" w:color="DCE2EF"/>
              <w:bottom w:val="single" w:sz="8" w:color="DCE2EF"/>
            </w:tcBorders>
            <w:shd w:val="clear" w:color="auto" w:fill="DCE2EF"/>
          </w:tcPr>
          <w:p>
            <w:pPr>
              <w:spacing w:after="0"/>
              <w:rPr>
                <w:sz w:val="15"/>
                <w:szCs w:val="15"/>
                <w:color w:val="auto"/>
              </w:rPr>
            </w:pPr>
          </w:p>
        </w:tc>
        <w:tc>
          <w:tcPr>
            <w:tcW w:w="2560" w:type="dxa"/>
            <w:vAlign w:val="bottom"/>
            <w:tcBorders>
              <w:top w:val="single" w:sz="8" w:color="0000FF"/>
              <w:bottom w:val="single" w:sz="8" w:color="0000FF"/>
            </w:tcBorders>
            <w:gridSpan w:val="10"/>
            <w:shd w:val="clear" w:color="auto" w:fill="DCE2EF"/>
          </w:tcPr>
          <w:p>
            <w:pPr>
              <w:spacing w:after="0" w:line="156" w:lineRule="exact"/>
              <w:rPr>
                <w:rFonts w:ascii="Arial" w:cs="Arial" w:eastAsia="Arial" w:hAnsi="Arial"/>
                <w:sz w:val="18"/>
                <w:szCs w:val="18"/>
                <w:color w:val="0000FF"/>
                <w:w w:val="99"/>
              </w:rPr>
            </w:pPr>
            <w:hyperlink w:anchor="page112">
              <w:r>
                <w:rPr>
                  <w:rFonts w:ascii="Arial" w:cs="Arial" w:eastAsia="Arial" w:hAnsi="Arial"/>
                  <w:sz w:val="18"/>
                  <w:szCs w:val="18"/>
                  <w:color w:val="0000FF"/>
                  <w:w w:val="99"/>
                </w:rPr>
                <w:t>the Sarbanes-Oxley Act of 2002</w:t>
              </w:r>
            </w:hyperlink>
          </w:p>
        </w:tc>
        <w:tc>
          <w:tcPr>
            <w:tcW w:w="1660" w:type="dxa"/>
            <w:vAlign w:val="bottom"/>
            <w:tcBorders>
              <w:top w:val="single" w:sz="8" w:color="0000FF"/>
              <w:bottom w:val="single" w:sz="8" w:color="DCE2EF"/>
            </w:tcBorders>
            <w:gridSpan w:val="8"/>
            <w:shd w:val="clear" w:color="auto" w:fill="DCE2EF"/>
          </w:tcPr>
          <w:p>
            <w:pPr>
              <w:spacing w:after="0"/>
              <w:rPr>
                <w:sz w:val="15"/>
                <w:szCs w:val="15"/>
                <w:color w:val="auto"/>
              </w:rPr>
            </w:pPr>
          </w:p>
        </w:tc>
        <w:tc>
          <w:tcPr>
            <w:tcW w:w="400" w:type="dxa"/>
            <w:vAlign w:val="bottom"/>
            <w:tcBorders>
              <w:top w:val="single" w:sz="8" w:color="DCE2EF"/>
              <w:bottom w:val="single" w:sz="8" w:color="DCE2EF"/>
            </w:tcBorders>
            <w:gridSpan w:val="9"/>
            <w:shd w:val="clear" w:color="auto" w:fill="DCE2EF"/>
          </w:tcPr>
          <w:p>
            <w:pPr>
              <w:spacing w:after="0"/>
              <w:rPr>
                <w:sz w:val="15"/>
                <w:szCs w:val="15"/>
                <w:color w:val="auto"/>
              </w:rPr>
            </w:pPr>
          </w:p>
        </w:tc>
        <w:tc>
          <w:tcPr>
            <w:tcW w:w="760" w:type="dxa"/>
            <w:vAlign w:val="bottom"/>
            <w:tcBorders>
              <w:top w:val="single" w:sz="8" w:color="DCE2EF"/>
              <w:bottom w:val="single" w:sz="8" w:color="DCE2EF"/>
            </w:tcBorders>
            <w:shd w:val="clear" w:color="auto" w:fill="DCE2EF"/>
          </w:tcPr>
          <w:p>
            <w:pPr>
              <w:spacing w:after="0"/>
              <w:rPr>
                <w:sz w:val="15"/>
                <w:szCs w:val="15"/>
                <w:color w:val="auto"/>
              </w:rPr>
            </w:pPr>
          </w:p>
        </w:tc>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1000" w:type="dxa"/>
            <w:vAlign w:val="bottom"/>
            <w:tcBorders>
              <w:top w:val="single" w:sz="8" w:color="DCE2EF"/>
              <w:bottom w:val="single" w:sz="8" w:color="DCE2EF"/>
            </w:tcBorders>
            <w:shd w:val="clear" w:color="auto" w:fill="DCE2EF"/>
          </w:tcPr>
          <w:p>
            <w:pPr>
              <w:spacing w:after="0"/>
              <w:rPr>
                <w:sz w:val="15"/>
                <w:szCs w:val="15"/>
                <w:color w:val="auto"/>
              </w:rPr>
            </w:pPr>
          </w:p>
        </w:tc>
        <w:tc>
          <w:tcPr>
            <w:tcW w:w="216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8"/>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101.INS ‡</w:t>
            </w:r>
          </w:p>
        </w:tc>
        <w:tc>
          <w:tcPr>
            <w:tcW w:w="4620" w:type="dxa"/>
            <w:vAlign w:val="bottom"/>
            <w:gridSpan w:val="27"/>
          </w:tcPr>
          <w:p>
            <w:pPr>
              <w:spacing w:after="0" w:line="189" w:lineRule="exact"/>
              <w:rPr>
                <w:sz w:val="20"/>
                <w:szCs w:val="20"/>
                <w:color w:val="auto"/>
              </w:rPr>
            </w:pPr>
            <w:r>
              <w:rPr>
                <w:rFonts w:ascii="Arial" w:cs="Arial" w:eastAsia="Arial" w:hAnsi="Arial"/>
                <w:sz w:val="18"/>
                <w:szCs w:val="18"/>
                <w:color w:val="auto"/>
              </w:rPr>
              <w:t>Inline XBRL Instance Document (the instance document</w:t>
            </w: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75"/>
        </w:trPr>
        <w:tc>
          <w:tcPr>
            <w:tcW w:w="1360" w:type="dxa"/>
            <w:vAlign w:val="bottom"/>
          </w:tcPr>
          <w:p>
            <w:pPr>
              <w:spacing w:after="0"/>
              <w:rPr>
                <w:sz w:val="15"/>
                <w:szCs w:val="15"/>
                <w:color w:val="auto"/>
              </w:rPr>
            </w:pPr>
          </w:p>
        </w:tc>
        <w:tc>
          <w:tcPr>
            <w:tcW w:w="4620" w:type="dxa"/>
            <w:vAlign w:val="bottom"/>
            <w:gridSpan w:val="27"/>
          </w:tcPr>
          <w:p>
            <w:pPr>
              <w:spacing w:after="0" w:line="176" w:lineRule="exact"/>
              <w:rPr>
                <w:sz w:val="20"/>
                <w:szCs w:val="20"/>
                <w:color w:val="auto"/>
              </w:rPr>
            </w:pPr>
            <w:r>
              <w:rPr>
                <w:rFonts w:ascii="Arial" w:cs="Arial" w:eastAsia="Arial" w:hAnsi="Arial"/>
                <w:sz w:val="18"/>
                <w:szCs w:val="18"/>
                <w:color w:val="auto"/>
              </w:rPr>
              <w:t>does not appear in the Interactive Data File because its</w:t>
            </w: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75"/>
        </w:trPr>
        <w:tc>
          <w:tcPr>
            <w:tcW w:w="1360" w:type="dxa"/>
            <w:vAlign w:val="bottom"/>
          </w:tcPr>
          <w:p>
            <w:pPr>
              <w:spacing w:after="0"/>
              <w:rPr>
                <w:sz w:val="15"/>
                <w:szCs w:val="15"/>
                <w:color w:val="auto"/>
              </w:rPr>
            </w:pPr>
          </w:p>
        </w:tc>
        <w:tc>
          <w:tcPr>
            <w:tcW w:w="4620" w:type="dxa"/>
            <w:vAlign w:val="bottom"/>
            <w:gridSpan w:val="27"/>
          </w:tcPr>
          <w:p>
            <w:pPr>
              <w:spacing w:after="0" w:line="176" w:lineRule="exact"/>
              <w:rPr>
                <w:sz w:val="20"/>
                <w:szCs w:val="20"/>
                <w:color w:val="auto"/>
              </w:rPr>
            </w:pPr>
            <w:r>
              <w:rPr>
                <w:rFonts w:ascii="Arial" w:cs="Arial" w:eastAsia="Arial" w:hAnsi="Arial"/>
                <w:sz w:val="18"/>
                <w:szCs w:val="18"/>
                <w:color w:val="auto"/>
              </w:rPr>
              <w:t>XBRL tags are embedded within the Inline XBRL</w:t>
            </w: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217"/>
        </w:trPr>
        <w:tc>
          <w:tcPr>
            <w:tcW w:w="1360" w:type="dxa"/>
            <w:vAlign w:val="bottom"/>
          </w:tcPr>
          <w:p>
            <w:pPr>
              <w:spacing w:after="0"/>
              <w:rPr>
                <w:sz w:val="18"/>
                <w:szCs w:val="18"/>
                <w:color w:val="auto"/>
              </w:rPr>
            </w:pPr>
          </w:p>
        </w:tc>
        <w:tc>
          <w:tcPr>
            <w:tcW w:w="4620" w:type="dxa"/>
            <w:vAlign w:val="bottom"/>
            <w:gridSpan w:val="27"/>
          </w:tcPr>
          <w:p>
            <w:pPr>
              <w:spacing w:after="0"/>
              <w:rPr>
                <w:sz w:val="20"/>
                <w:szCs w:val="20"/>
                <w:color w:val="auto"/>
              </w:rPr>
            </w:pPr>
            <w:r>
              <w:rPr>
                <w:rFonts w:ascii="Arial" w:cs="Arial" w:eastAsia="Arial" w:hAnsi="Arial"/>
                <w:sz w:val="18"/>
                <w:szCs w:val="18"/>
                <w:color w:val="auto"/>
              </w:rPr>
              <w:t>document)</w:t>
            </w: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30"/>
        </w:trPr>
        <w:tc>
          <w:tcPr>
            <w:tcW w:w="1360" w:type="dxa"/>
            <w:vAlign w:val="bottom"/>
            <w:shd w:val="clear" w:color="auto" w:fill="DCE2EF"/>
          </w:tcPr>
          <w:p>
            <w:pPr>
              <w:ind w:left="20"/>
              <w:spacing w:after="0"/>
              <w:rPr>
                <w:sz w:val="20"/>
                <w:szCs w:val="20"/>
                <w:color w:val="auto"/>
              </w:rPr>
            </w:pPr>
            <w:r>
              <w:rPr>
                <w:rFonts w:ascii="Arial" w:cs="Arial" w:eastAsia="Arial" w:hAnsi="Arial"/>
                <w:sz w:val="18"/>
                <w:szCs w:val="18"/>
                <w:color w:val="auto"/>
              </w:rPr>
              <w:t>101.SCH ‡</w:t>
            </w:r>
          </w:p>
        </w:tc>
        <w:tc>
          <w:tcPr>
            <w:tcW w:w="4620" w:type="dxa"/>
            <w:vAlign w:val="bottom"/>
            <w:gridSpan w:val="27"/>
            <w:shd w:val="clear" w:color="auto" w:fill="DCE2EF"/>
          </w:tcPr>
          <w:p>
            <w:pPr>
              <w:spacing w:after="0"/>
              <w:rPr>
                <w:sz w:val="20"/>
                <w:szCs w:val="20"/>
                <w:color w:val="auto"/>
              </w:rPr>
            </w:pPr>
            <w:r>
              <w:rPr>
                <w:rFonts w:ascii="Arial" w:cs="Arial" w:eastAsia="Arial" w:hAnsi="Arial"/>
                <w:sz w:val="18"/>
                <w:szCs w:val="18"/>
                <w:color w:val="auto"/>
              </w:rPr>
              <w:t>Inline XBRL Taxonomy Extension Schema Document</w:t>
            </w:r>
          </w:p>
        </w:tc>
        <w:tc>
          <w:tcPr>
            <w:tcW w:w="760" w:type="dxa"/>
            <w:vAlign w:val="bottom"/>
            <w:shd w:val="clear" w:color="auto" w:fill="DCE2EF"/>
          </w:tcPr>
          <w:p>
            <w:pPr>
              <w:spacing w:after="0"/>
              <w:rPr>
                <w:sz w:val="19"/>
                <w:szCs w:val="19"/>
                <w:color w:val="auto"/>
              </w:rPr>
            </w:pPr>
          </w:p>
        </w:tc>
        <w:tc>
          <w:tcPr>
            <w:tcW w:w="1340" w:type="dxa"/>
            <w:vAlign w:val="bottom"/>
            <w:shd w:val="clear" w:color="auto" w:fill="DCE2EF"/>
          </w:tcPr>
          <w:p>
            <w:pPr>
              <w:spacing w:after="0"/>
              <w:rPr>
                <w:sz w:val="19"/>
                <w:szCs w:val="19"/>
                <w:color w:val="auto"/>
              </w:rPr>
            </w:pPr>
          </w:p>
        </w:tc>
        <w:tc>
          <w:tcPr>
            <w:tcW w:w="1000" w:type="dxa"/>
            <w:vAlign w:val="bottom"/>
            <w:shd w:val="clear" w:color="auto" w:fill="DCE2EF"/>
          </w:tcPr>
          <w:p>
            <w:pPr>
              <w:spacing w:after="0"/>
              <w:rPr>
                <w:sz w:val="19"/>
                <w:szCs w:val="19"/>
                <w:color w:val="auto"/>
              </w:rPr>
            </w:pPr>
          </w:p>
        </w:tc>
        <w:tc>
          <w:tcPr>
            <w:tcW w:w="2160" w:type="dxa"/>
            <w:vAlign w:val="bottom"/>
            <w:shd w:val="clear" w:color="auto" w:fill="DCE2EF"/>
          </w:tcPr>
          <w:p>
            <w:pPr>
              <w:spacing w:after="0"/>
              <w:rPr>
                <w:sz w:val="19"/>
                <w:szCs w:val="19"/>
                <w:color w:val="auto"/>
              </w:rPr>
            </w:pPr>
          </w:p>
        </w:tc>
      </w:tr>
      <w:tr>
        <w:trPr>
          <w:trHeight w:val="230"/>
        </w:trPr>
        <w:tc>
          <w:tcPr>
            <w:tcW w:w="1360" w:type="dxa"/>
            <w:vAlign w:val="bottom"/>
          </w:tcPr>
          <w:p>
            <w:pPr>
              <w:ind w:left="20"/>
              <w:spacing w:after="0"/>
              <w:rPr>
                <w:sz w:val="20"/>
                <w:szCs w:val="20"/>
                <w:color w:val="auto"/>
              </w:rPr>
            </w:pPr>
            <w:r>
              <w:rPr>
                <w:rFonts w:ascii="Arial" w:cs="Arial" w:eastAsia="Arial" w:hAnsi="Arial"/>
                <w:sz w:val="18"/>
                <w:szCs w:val="18"/>
                <w:color w:val="auto"/>
              </w:rPr>
              <w:t>101.CAL‡</w:t>
            </w:r>
          </w:p>
        </w:tc>
        <w:tc>
          <w:tcPr>
            <w:tcW w:w="4620" w:type="dxa"/>
            <w:vAlign w:val="bottom"/>
            <w:gridSpan w:val="27"/>
          </w:tcPr>
          <w:p>
            <w:pPr>
              <w:spacing w:after="0"/>
              <w:rPr>
                <w:sz w:val="20"/>
                <w:szCs w:val="20"/>
                <w:color w:val="auto"/>
              </w:rPr>
            </w:pPr>
            <w:r>
              <w:rPr>
                <w:rFonts w:ascii="Arial" w:cs="Arial" w:eastAsia="Arial" w:hAnsi="Arial"/>
                <w:sz w:val="18"/>
                <w:szCs w:val="18"/>
                <w:color w:val="auto"/>
              </w:rPr>
              <w:t>Inline XBRL Taxonomy Calculation Linkbase Document</w:t>
            </w: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29"/>
        </w:trPr>
        <w:tc>
          <w:tcPr>
            <w:tcW w:w="1360" w:type="dxa"/>
            <w:vAlign w:val="bottom"/>
            <w:shd w:val="clear" w:color="auto" w:fill="DCE2EF"/>
          </w:tcPr>
          <w:p>
            <w:pPr>
              <w:ind w:left="20"/>
              <w:spacing w:after="0"/>
              <w:rPr>
                <w:sz w:val="20"/>
                <w:szCs w:val="20"/>
                <w:color w:val="auto"/>
              </w:rPr>
            </w:pPr>
            <w:r>
              <w:rPr>
                <w:rFonts w:ascii="Arial" w:cs="Arial" w:eastAsia="Arial" w:hAnsi="Arial"/>
                <w:sz w:val="18"/>
                <w:szCs w:val="18"/>
                <w:color w:val="auto"/>
              </w:rPr>
              <w:t>101.LAB ‡</w:t>
            </w:r>
          </w:p>
        </w:tc>
        <w:tc>
          <w:tcPr>
            <w:tcW w:w="4620" w:type="dxa"/>
            <w:vAlign w:val="bottom"/>
            <w:gridSpan w:val="27"/>
            <w:shd w:val="clear" w:color="auto" w:fill="DCE2EF"/>
          </w:tcPr>
          <w:p>
            <w:pPr>
              <w:spacing w:after="0"/>
              <w:rPr>
                <w:sz w:val="20"/>
                <w:szCs w:val="20"/>
                <w:color w:val="auto"/>
              </w:rPr>
            </w:pPr>
            <w:r>
              <w:rPr>
                <w:rFonts w:ascii="Arial" w:cs="Arial" w:eastAsia="Arial" w:hAnsi="Arial"/>
                <w:sz w:val="18"/>
                <w:szCs w:val="18"/>
                <w:color w:val="auto"/>
              </w:rPr>
              <w:t>Inline XBRL Taxonomy Label Linkbase Document</w:t>
            </w:r>
          </w:p>
        </w:tc>
        <w:tc>
          <w:tcPr>
            <w:tcW w:w="760" w:type="dxa"/>
            <w:vAlign w:val="bottom"/>
            <w:shd w:val="clear" w:color="auto" w:fill="DCE2EF"/>
          </w:tcPr>
          <w:p>
            <w:pPr>
              <w:spacing w:after="0"/>
              <w:rPr>
                <w:sz w:val="19"/>
                <w:szCs w:val="19"/>
                <w:color w:val="auto"/>
              </w:rPr>
            </w:pPr>
          </w:p>
        </w:tc>
        <w:tc>
          <w:tcPr>
            <w:tcW w:w="1340" w:type="dxa"/>
            <w:vAlign w:val="bottom"/>
            <w:shd w:val="clear" w:color="auto" w:fill="DCE2EF"/>
          </w:tcPr>
          <w:p>
            <w:pPr>
              <w:spacing w:after="0"/>
              <w:rPr>
                <w:sz w:val="19"/>
                <w:szCs w:val="19"/>
                <w:color w:val="auto"/>
              </w:rPr>
            </w:pPr>
          </w:p>
        </w:tc>
        <w:tc>
          <w:tcPr>
            <w:tcW w:w="1000" w:type="dxa"/>
            <w:vAlign w:val="bottom"/>
            <w:shd w:val="clear" w:color="auto" w:fill="DCE2EF"/>
          </w:tcPr>
          <w:p>
            <w:pPr>
              <w:spacing w:after="0"/>
              <w:rPr>
                <w:sz w:val="19"/>
                <w:szCs w:val="19"/>
                <w:color w:val="auto"/>
              </w:rPr>
            </w:pPr>
          </w:p>
        </w:tc>
        <w:tc>
          <w:tcPr>
            <w:tcW w:w="2160" w:type="dxa"/>
            <w:vAlign w:val="bottom"/>
            <w:shd w:val="clear" w:color="auto" w:fill="DCE2EF"/>
          </w:tcPr>
          <w:p>
            <w:pPr>
              <w:spacing w:after="0"/>
              <w:rPr>
                <w:sz w:val="19"/>
                <w:szCs w:val="19"/>
                <w:color w:val="auto"/>
              </w:rPr>
            </w:pPr>
          </w:p>
        </w:tc>
      </w:tr>
      <w:tr>
        <w:trPr>
          <w:trHeight w:val="230"/>
        </w:trPr>
        <w:tc>
          <w:tcPr>
            <w:tcW w:w="1360" w:type="dxa"/>
            <w:vAlign w:val="bottom"/>
          </w:tcPr>
          <w:p>
            <w:pPr>
              <w:ind w:left="20"/>
              <w:spacing w:after="0"/>
              <w:rPr>
                <w:sz w:val="20"/>
                <w:szCs w:val="20"/>
                <w:color w:val="auto"/>
              </w:rPr>
            </w:pPr>
            <w:r>
              <w:rPr>
                <w:rFonts w:ascii="Arial" w:cs="Arial" w:eastAsia="Arial" w:hAnsi="Arial"/>
                <w:sz w:val="18"/>
                <w:szCs w:val="18"/>
                <w:color w:val="auto"/>
              </w:rPr>
              <w:t>101.PRE ‡</w:t>
            </w:r>
          </w:p>
        </w:tc>
        <w:tc>
          <w:tcPr>
            <w:tcW w:w="4620" w:type="dxa"/>
            <w:vAlign w:val="bottom"/>
            <w:gridSpan w:val="27"/>
          </w:tcPr>
          <w:p>
            <w:pPr>
              <w:spacing w:after="0"/>
              <w:rPr>
                <w:sz w:val="20"/>
                <w:szCs w:val="20"/>
                <w:color w:val="auto"/>
              </w:rPr>
            </w:pPr>
            <w:r>
              <w:rPr>
                <w:rFonts w:ascii="Arial" w:cs="Arial" w:eastAsia="Arial" w:hAnsi="Arial"/>
                <w:sz w:val="18"/>
                <w:szCs w:val="18"/>
                <w:color w:val="auto"/>
              </w:rPr>
              <w:t>Inline XBRL Presentation Linkbase Document</w:t>
            </w: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188"/>
        </w:trPr>
        <w:tc>
          <w:tcPr>
            <w:tcW w:w="1360" w:type="dxa"/>
            <w:vAlign w:val="bottom"/>
            <w:shd w:val="clear" w:color="auto" w:fill="DCE2EF"/>
          </w:tcPr>
          <w:p>
            <w:pPr>
              <w:ind w:left="20"/>
              <w:spacing w:after="0" w:line="189" w:lineRule="exact"/>
              <w:rPr>
                <w:sz w:val="20"/>
                <w:szCs w:val="20"/>
                <w:color w:val="auto"/>
              </w:rPr>
            </w:pPr>
            <w:r>
              <w:rPr>
                <w:rFonts w:ascii="Arial" w:cs="Arial" w:eastAsia="Arial" w:hAnsi="Arial"/>
                <w:sz w:val="18"/>
                <w:szCs w:val="18"/>
                <w:color w:val="auto"/>
              </w:rPr>
              <w:t>101.DEF ‡</w:t>
            </w:r>
          </w:p>
        </w:tc>
        <w:tc>
          <w:tcPr>
            <w:tcW w:w="4620" w:type="dxa"/>
            <w:vAlign w:val="bottom"/>
            <w:gridSpan w:val="27"/>
            <w:shd w:val="clear" w:color="auto" w:fill="DCE2EF"/>
          </w:tcPr>
          <w:p>
            <w:pPr>
              <w:spacing w:after="0" w:line="189" w:lineRule="exact"/>
              <w:rPr>
                <w:sz w:val="20"/>
                <w:szCs w:val="20"/>
                <w:color w:val="auto"/>
              </w:rPr>
            </w:pPr>
            <w:r>
              <w:rPr>
                <w:rFonts w:ascii="Arial" w:cs="Arial" w:eastAsia="Arial" w:hAnsi="Arial"/>
                <w:sz w:val="18"/>
                <w:szCs w:val="18"/>
                <w:color w:val="auto"/>
              </w:rPr>
              <w:t>Inline XBRL Taxonomy Extension Definition Linkbase</w:t>
            </w:r>
          </w:p>
        </w:tc>
        <w:tc>
          <w:tcPr>
            <w:tcW w:w="760" w:type="dxa"/>
            <w:vAlign w:val="bottom"/>
            <w:shd w:val="clear" w:color="auto" w:fill="DCE2EF"/>
          </w:tcPr>
          <w:p>
            <w:pPr>
              <w:spacing w:after="0"/>
              <w:rPr>
                <w:sz w:val="16"/>
                <w:szCs w:val="16"/>
                <w:color w:val="auto"/>
              </w:rPr>
            </w:pPr>
          </w:p>
        </w:tc>
        <w:tc>
          <w:tcPr>
            <w:tcW w:w="1340" w:type="dxa"/>
            <w:vAlign w:val="bottom"/>
            <w:shd w:val="clear" w:color="auto" w:fill="DCE2EF"/>
          </w:tcPr>
          <w:p>
            <w:pPr>
              <w:spacing w:after="0"/>
              <w:rPr>
                <w:sz w:val="16"/>
                <w:szCs w:val="16"/>
                <w:color w:val="auto"/>
              </w:rPr>
            </w:pPr>
          </w:p>
        </w:tc>
        <w:tc>
          <w:tcPr>
            <w:tcW w:w="1000" w:type="dxa"/>
            <w:vAlign w:val="bottom"/>
            <w:shd w:val="clear" w:color="auto" w:fill="DCE2EF"/>
          </w:tcPr>
          <w:p>
            <w:pPr>
              <w:spacing w:after="0"/>
              <w:rPr>
                <w:sz w:val="16"/>
                <w:szCs w:val="16"/>
                <w:color w:val="auto"/>
              </w:rPr>
            </w:pPr>
          </w:p>
        </w:tc>
        <w:tc>
          <w:tcPr>
            <w:tcW w:w="2160" w:type="dxa"/>
            <w:vAlign w:val="bottom"/>
            <w:shd w:val="clear" w:color="auto" w:fill="DCE2EF"/>
          </w:tcPr>
          <w:p>
            <w:pPr>
              <w:spacing w:after="0"/>
              <w:rPr>
                <w:sz w:val="16"/>
                <w:szCs w:val="16"/>
                <w:color w:val="auto"/>
              </w:rPr>
            </w:pPr>
          </w:p>
        </w:tc>
      </w:tr>
      <w:tr>
        <w:trPr>
          <w:trHeight w:val="217"/>
        </w:trPr>
        <w:tc>
          <w:tcPr>
            <w:tcW w:w="1360" w:type="dxa"/>
            <w:vAlign w:val="bottom"/>
            <w:shd w:val="clear" w:color="auto" w:fill="DCE2EF"/>
          </w:tcPr>
          <w:p>
            <w:pPr>
              <w:spacing w:after="0"/>
              <w:rPr>
                <w:sz w:val="18"/>
                <w:szCs w:val="18"/>
                <w:color w:val="auto"/>
              </w:rPr>
            </w:pPr>
          </w:p>
        </w:tc>
        <w:tc>
          <w:tcPr>
            <w:tcW w:w="4620" w:type="dxa"/>
            <w:vAlign w:val="bottom"/>
            <w:gridSpan w:val="27"/>
            <w:shd w:val="clear" w:color="auto" w:fill="DCE2EF"/>
          </w:tcPr>
          <w:p>
            <w:pPr>
              <w:spacing w:after="0"/>
              <w:rPr>
                <w:sz w:val="20"/>
                <w:szCs w:val="20"/>
                <w:color w:val="auto"/>
              </w:rPr>
            </w:pPr>
            <w:r>
              <w:rPr>
                <w:rFonts w:ascii="Arial" w:cs="Arial" w:eastAsia="Arial" w:hAnsi="Arial"/>
                <w:sz w:val="18"/>
                <w:szCs w:val="18"/>
                <w:color w:val="auto"/>
              </w:rPr>
              <w:t>Document</w:t>
            </w:r>
          </w:p>
        </w:tc>
        <w:tc>
          <w:tcPr>
            <w:tcW w:w="760" w:type="dxa"/>
            <w:vAlign w:val="bottom"/>
            <w:shd w:val="clear" w:color="auto" w:fill="DCE2EF"/>
          </w:tcPr>
          <w:p>
            <w:pPr>
              <w:spacing w:after="0"/>
              <w:rPr>
                <w:sz w:val="18"/>
                <w:szCs w:val="18"/>
                <w:color w:val="auto"/>
              </w:rPr>
            </w:pPr>
          </w:p>
        </w:tc>
        <w:tc>
          <w:tcPr>
            <w:tcW w:w="1340" w:type="dxa"/>
            <w:vAlign w:val="bottom"/>
            <w:shd w:val="clear" w:color="auto" w:fill="DCE2EF"/>
          </w:tcPr>
          <w:p>
            <w:pPr>
              <w:spacing w:after="0"/>
              <w:rPr>
                <w:sz w:val="18"/>
                <w:szCs w:val="18"/>
                <w:color w:val="auto"/>
              </w:rPr>
            </w:pPr>
          </w:p>
        </w:tc>
        <w:tc>
          <w:tcPr>
            <w:tcW w:w="1000" w:type="dxa"/>
            <w:vAlign w:val="bottom"/>
            <w:shd w:val="clear" w:color="auto" w:fill="DCE2EF"/>
          </w:tcPr>
          <w:p>
            <w:pPr>
              <w:spacing w:after="0"/>
              <w:rPr>
                <w:sz w:val="18"/>
                <w:szCs w:val="18"/>
                <w:color w:val="auto"/>
              </w:rPr>
            </w:pPr>
          </w:p>
        </w:tc>
        <w:tc>
          <w:tcPr>
            <w:tcW w:w="2160" w:type="dxa"/>
            <w:vAlign w:val="bottom"/>
            <w:shd w:val="clear" w:color="auto" w:fill="DCE2EF"/>
          </w:tcPr>
          <w:p>
            <w:pPr>
              <w:spacing w:after="0"/>
              <w:rPr>
                <w:sz w:val="18"/>
                <w:szCs w:val="18"/>
                <w:color w:val="auto"/>
              </w:rPr>
            </w:pPr>
          </w:p>
        </w:tc>
      </w:tr>
      <w:tr>
        <w:trPr>
          <w:trHeight w:val="188"/>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4620" w:type="dxa"/>
            <w:vAlign w:val="bottom"/>
            <w:gridSpan w:val="27"/>
          </w:tcPr>
          <w:p>
            <w:pPr>
              <w:spacing w:after="0" w:line="189" w:lineRule="exact"/>
              <w:rPr>
                <w:sz w:val="20"/>
                <w:szCs w:val="20"/>
                <w:color w:val="auto"/>
              </w:rPr>
            </w:pPr>
            <w:r>
              <w:rPr>
                <w:rFonts w:ascii="Arial" w:cs="Arial" w:eastAsia="Arial" w:hAnsi="Arial"/>
                <w:sz w:val="18"/>
                <w:szCs w:val="18"/>
                <w:color w:val="auto"/>
              </w:rPr>
              <w:t>Cover Page Interactive Data File (formatted as Inline</w:t>
            </w: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17"/>
        </w:trPr>
        <w:tc>
          <w:tcPr>
            <w:tcW w:w="1360" w:type="dxa"/>
            <w:vAlign w:val="bottom"/>
          </w:tcPr>
          <w:p>
            <w:pPr>
              <w:spacing w:after="0"/>
              <w:rPr>
                <w:sz w:val="18"/>
                <w:szCs w:val="18"/>
                <w:color w:val="auto"/>
              </w:rPr>
            </w:pPr>
          </w:p>
        </w:tc>
        <w:tc>
          <w:tcPr>
            <w:tcW w:w="4620" w:type="dxa"/>
            <w:vAlign w:val="bottom"/>
            <w:gridSpan w:val="27"/>
          </w:tcPr>
          <w:p>
            <w:pPr>
              <w:spacing w:after="0"/>
              <w:rPr>
                <w:sz w:val="20"/>
                <w:szCs w:val="20"/>
                <w:color w:val="auto"/>
              </w:rPr>
            </w:pPr>
            <w:r>
              <w:rPr>
                <w:rFonts w:ascii="Arial" w:cs="Arial" w:eastAsia="Arial" w:hAnsi="Arial"/>
                <w:sz w:val="18"/>
                <w:szCs w:val="18"/>
                <w:color w:val="auto"/>
              </w:rPr>
              <w:t>XBRL and contained in Exhibit 101)</w:t>
            </w: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60" w:type="dxa"/>
            <w:vAlign w:val="bottom"/>
          </w:tcPr>
          <w:p>
            <w:pPr>
              <w:spacing w:after="0"/>
              <w:rPr>
                <w:sz w:val="18"/>
                <w:szCs w:val="18"/>
                <w:color w:val="auto"/>
              </w:rPr>
            </w:pPr>
          </w:p>
        </w:tc>
      </w:tr>
    </w:tbl>
    <w:p>
      <w:pPr>
        <w:spacing w:after="0" w:line="391" w:lineRule="exact"/>
        <w:rPr>
          <w:sz w:val="20"/>
          <w:szCs w:val="20"/>
          <w:color w:val="auto"/>
        </w:rPr>
      </w:pPr>
    </w:p>
    <w:p>
      <w:pPr>
        <w:ind w:left="680" w:hanging="654"/>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arrangement</w:t>
      </w:r>
    </w:p>
    <w:p>
      <w:pPr>
        <w:spacing w:after="0" w:line="22"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Indicates filed herewith</w:t>
      </w:r>
    </w:p>
    <w:p>
      <w:pPr>
        <w:spacing w:after="0" w:line="22"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Indicates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5" w:lineRule="exact"/>
        <w:rPr>
          <w:sz w:val="20"/>
          <w:szCs w:val="20"/>
          <w:color w:val="auto"/>
        </w:rPr>
      </w:pPr>
    </w:p>
    <w:tbl>
      <w:tblPr>
        <w:tblLayout w:type="fixed"/>
        <w:tblInd w:w="1780" w:type="dxa"/>
        <w:tblCellMar>
          <w:top w:w="0" w:type="dxa"/>
          <w:left w:w="0" w:type="dxa"/>
          <w:bottom w:w="0" w:type="dxa"/>
          <w:right w:w="0" w:type="dxa"/>
        </w:tblCellMar>
      </w:tblPr>
      <w:tr>
        <w:trPr>
          <w:trHeight w:val="239"/>
        </w:trPr>
        <w:tc>
          <w:tcPr>
            <w:tcW w:w="280" w:type="dxa"/>
            <w:vAlign w:val="bottom"/>
          </w:tcPr>
          <w:p>
            <w:pPr>
              <w:spacing w:after="0"/>
              <w:rPr>
                <w:sz w:val="20"/>
                <w:szCs w:val="20"/>
                <w:color w:val="auto"/>
              </w:rPr>
            </w:pPr>
          </w:p>
        </w:tc>
        <w:tc>
          <w:tcPr>
            <w:tcW w:w="7080" w:type="dxa"/>
            <w:vAlign w:val="bottom"/>
          </w:tcPr>
          <w:p>
            <w:pPr>
              <w:jc w:val="center"/>
              <w:spacing w:after="0"/>
              <w:rPr>
                <w:sz w:val="20"/>
                <w:szCs w:val="20"/>
                <w:color w:val="auto"/>
              </w:rPr>
            </w:pPr>
            <w:r>
              <w:rPr>
                <w:rFonts w:ascii="Arial" w:cs="Arial" w:eastAsia="Arial" w:hAnsi="Arial"/>
                <w:sz w:val="18"/>
                <w:szCs w:val="18"/>
                <w:b w:val="1"/>
                <w:bCs w:val="1"/>
                <w:color w:val="auto"/>
              </w:rPr>
              <w:t>ABM Industries Incorporated</w:t>
            </w:r>
          </w:p>
        </w:tc>
      </w:tr>
      <w:tr>
        <w:trPr>
          <w:trHeight w:val="418"/>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7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Scott Salmirs</w:t>
            </w:r>
          </w:p>
        </w:tc>
      </w:tr>
      <w:tr>
        <w:trPr>
          <w:trHeight w:val="182"/>
        </w:trPr>
        <w:tc>
          <w:tcPr>
            <w:tcW w:w="280" w:type="dxa"/>
            <w:vAlign w:val="bottom"/>
          </w:tcPr>
          <w:p>
            <w:pPr>
              <w:spacing w:after="0"/>
              <w:rPr>
                <w:sz w:val="15"/>
                <w:szCs w:val="15"/>
                <w:color w:val="auto"/>
              </w:rPr>
            </w:pPr>
          </w:p>
        </w:tc>
        <w:tc>
          <w:tcPr>
            <w:tcW w:w="7080" w:type="dxa"/>
            <w:vAlign w:val="bottom"/>
          </w:tcPr>
          <w:p>
            <w:pPr>
              <w:jc w:val="center"/>
              <w:spacing w:after="0" w:line="182" w:lineRule="exact"/>
              <w:rPr>
                <w:sz w:val="20"/>
                <w:szCs w:val="20"/>
                <w:color w:val="auto"/>
              </w:rPr>
            </w:pPr>
            <w:r>
              <w:rPr>
                <w:rFonts w:ascii="Arial" w:cs="Arial" w:eastAsia="Arial" w:hAnsi="Arial"/>
                <w:sz w:val="18"/>
                <w:szCs w:val="18"/>
                <w:color w:val="auto"/>
                <w:w w:val="99"/>
              </w:rPr>
              <w:t>Scott Salmirs</w:t>
            </w:r>
          </w:p>
        </w:tc>
      </w:tr>
      <w:tr>
        <w:trPr>
          <w:trHeight w:val="217"/>
        </w:trPr>
        <w:tc>
          <w:tcPr>
            <w:tcW w:w="280" w:type="dxa"/>
            <w:vAlign w:val="bottom"/>
          </w:tcPr>
          <w:p>
            <w:pPr>
              <w:spacing w:after="0"/>
              <w:rPr>
                <w:sz w:val="18"/>
                <w:szCs w:val="18"/>
                <w:color w:val="auto"/>
              </w:rPr>
            </w:pPr>
          </w:p>
        </w:tc>
        <w:tc>
          <w:tcPr>
            <w:tcW w:w="7080" w:type="dxa"/>
            <w:vAlign w:val="bottom"/>
          </w:tcPr>
          <w:p>
            <w:pPr>
              <w:jc w:val="center"/>
              <w:spacing w:after="0"/>
              <w:rPr>
                <w:sz w:val="20"/>
                <w:szCs w:val="20"/>
                <w:color w:val="auto"/>
              </w:rPr>
            </w:pPr>
            <w:r>
              <w:rPr>
                <w:rFonts w:ascii="Arial" w:cs="Arial" w:eastAsia="Arial" w:hAnsi="Arial"/>
                <w:sz w:val="18"/>
                <w:szCs w:val="18"/>
                <w:color w:val="auto"/>
                <w:w w:val="99"/>
              </w:rPr>
              <w:t>President and Chief Executive Officer and Director</w:t>
            </w:r>
          </w:p>
        </w:tc>
      </w:tr>
      <w:tr>
        <w:trPr>
          <w:trHeight w:val="229"/>
        </w:trPr>
        <w:tc>
          <w:tcPr>
            <w:tcW w:w="280" w:type="dxa"/>
            <w:vAlign w:val="bottom"/>
          </w:tcPr>
          <w:p>
            <w:pPr>
              <w:spacing w:after="0"/>
              <w:rPr>
                <w:sz w:val="19"/>
                <w:szCs w:val="19"/>
                <w:color w:val="auto"/>
              </w:rPr>
            </w:pPr>
          </w:p>
        </w:tc>
        <w:tc>
          <w:tcPr>
            <w:tcW w:w="7080" w:type="dxa"/>
            <w:vAlign w:val="bottom"/>
          </w:tcPr>
          <w:p>
            <w:pPr>
              <w:jc w:val="center"/>
              <w:spacing w:after="0"/>
              <w:rPr>
                <w:sz w:val="20"/>
                <w:szCs w:val="20"/>
                <w:color w:val="auto"/>
              </w:rPr>
            </w:pPr>
            <w:r>
              <w:rPr>
                <w:rFonts w:ascii="Arial" w:cs="Arial" w:eastAsia="Arial" w:hAnsi="Arial"/>
                <w:sz w:val="18"/>
                <w:szCs w:val="18"/>
                <w:color w:val="auto"/>
                <w:w w:val="99"/>
              </w:rPr>
              <w:t>December 22, 2021</w:t>
            </w:r>
          </w:p>
        </w:tc>
      </w:tr>
    </w:tbl>
    <w:p>
      <w:pPr>
        <w:spacing w:after="0" w:line="148"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ABM Industries and in the capacities and on the dates indicated.</w:t>
      </w:r>
    </w:p>
    <w:p>
      <w:pPr>
        <w:spacing w:after="0" w:line="184" w:lineRule="exact"/>
        <w:rPr>
          <w:sz w:val="20"/>
          <w:szCs w:val="20"/>
          <w:color w:val="auto"/>
        </w:rPr>
      </w:pPr>
    </w:p>
    <w:tbl>
      <w:tblPr>
        <w:tblLayout w:type="fixed"/>
        <w:tblInd w:w="1780" w:type="dxa"/>
        <w:tblCellMar>
          <w:top w:w="0" w:type="dxa"/>
          <w:left w:w="0" w:type="dxa"/>
          <w:bottom w:w="0" w:type="dxa"/>
          <w:right w:w="0" w:type="dxa"/>
        </w:tblCellMar>
      </w:tblPr>
      <w:tr>
        <w:trPr>
          <w:trHeight w:val="217"/>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7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Scott Salmirs</w:t>
            </w:r>
          </w:p>
        </w:tc>
      </w:tr>
      <w:tr>
        <w:trPr>
          <w:trHeight w:val="182"/>
        </w:trPr>
        <w:tc>
          <w:tcPr>
            <w:tcW w:w="280" w:type="dxa"/>
            <w:vAlign w:val="bottom"/>
          </w:tcPr>
          <w:p>
            <w:pPr>
              <w:spacing w:after="0"/>
              <w:rPr>
                <w:sz w:val="15"/>
                <w:szCs w:val="15"/>
                <w:color w:val="auto"/>
              </w:rPr>
            </w:pPr>
          </w:p>
        </w:tc>
        <w:tc>
          <w:tcPr>
            <w:tcW w:w="7080" w:type="dxa"/>
            <w:vAlign w:val="bottom"/>
          </w:tcPr>
          <w:p>
            <w:pPr>
              <w:jc w:val="center"/>
              <w:spacing w:after="0" w:line="182" w:lineRule="exact"/>
              <w:rPr>
                <w:sz w:val="20"/>
                <w:szCs w:val="20"/>
                <w:color w:val="auto"/>
              </w:rPr>
            </w:pPr>
            <w:r>
              <w:rPr>
                <w:rFonts w:ascii="Arial" w:cs="Arial" w:eastAsia="Arial" w:hAnsi="Arial"/>
                <w:sz w:val="18"/>
                <w:szCs w:val="18"/>
                <w:color w:val="auto"/>
                <w:w w:val="99"/>
              </w:rPr>
              <w:t>Scott Salmirs</w:t>
            </w:r>
          </w:p>
        </w:tc>
      </w:tr>
      <w:tr>
        <w:trPr>
          <w:trHeight w:val="175"/>
        </w:trPr>
        <w:tc>
          <w:tcPr>
            <w:tcW w:w="280" w:type="dxa"/>
            <w:vAlign w:val="bottom"/>
          </w:tcPr>
          <w:p>
            <w:pPr>
              <w:spacing w:after="0"/>
              <w:rPr>
                <w:sz w:val="15"/>
                <w:szCs w:val="15"/>
                <w:color w:val="auto"/>
              </w:rPr>
            </w:pPr>
          </w:p>
        </w:tc>
        <w:tc>
          <w:tcPr>
            <w:tcW w:w="7080" w:type="dxa"/>
            <w:vAlign w:val="bottom"/>
          </w:tcPr>
          <w:p>
            <w:pPr>
              <w:jc w:val="center"/>
              <w:spacing w:after="0" w:line="176" w:lineRule="exact"/>
              <w:rPr>
                <w:sz w:val="20"/>
                <w:szCs w:val="20"/>
                <w:color w:val="auto"/>
              </w:rPr>
            </w:pPr>
            <w:r>
              <w:rPr>
                <w:rFonts w:ascii="Arial" w:cs="Arial" w:eastAsia="Arial" w:hAnsi="Arial"/>
                <w:sz w:val="18"/>
                <w:szCs w:val="18"/>
                <w:color w:val="auto"/>
                <w:w w:val="99"/>
              </w:rPr>
              <w:t>President and Chief Executive Officer and Director</w:t>
            </w:r>
          </w:p>
        </w:tc>
      </w:tr>
      <w:tr>
        <w:trPr>
          <w:trHeight w:val="217"/>
        </w:trPr>
        <w:tc>
          <w:tcPr>
            <w:tcW w:w="280" w:type="dxa"/>
            <w:vAlign w:val="bottom"/>
          </w:tcPr>
          <w:p>
            <w:pPr>
              <w:spacing w:after="0"/>
              <w:rPr>
                <w:sz w:val="18"/>
                <w:szCs w:val="18"/>
                <w:color w:val="auto"/>
              </w:rPr>
            </w:pPr>
          </w:p>
        </w:tc>
        <w:tc>
          <w:tcPr>
            <w:tcW w:w="708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r>
      <w:tr>
        <w:trPr>
          <w:trHeight w:val="229"/>
        </w:trPr>
        <w:tc>
          <w:tcPr>
            <w:tcW w:w="280" w:type="dxa"/>
            <w:vAlign w:val="bottom"/>
          </w:tcPr>
          <w:p>
            <w:pPr>
              <w:spacing w:after="0"/>
              <w:rPr>
                <w:sz w:val="19"/>
                <w:szCs w:val="19"/>
                <w:color w:val="auto"/>
              </w:rPr>
            </w:pPr>
          </w:p>
        </w:tc>
        <w:tc>
          <w:tcPr>
            <w:tcW w:w="7080" w:type="dxa"/>
            <w:vAlign w:val="bottom"/>
          </w:tcPr>
          <w:p>
            <w:pPr>
              <w:jc w:val="center"/>
              <w:spacing w:after="0"/>
              <w:rPr>
                <w:sz w:val="20"/>
                <w:szCs w:val="20"/>
                <w:color w:val="auto"/>
              </w:rPr>
            </w:pPr>
            <w:r>
              <w:rPr>
                <w:rFonts w:ascii="Arial" w:cs="Arial" w:eastAsia="Arial" w:hAnsi="Arial"/>
                <w:sz w:val="18"/>
                <w:szCs w:val="18"/>
                <w:color w:val="auto"/>
                <w:w w:val="99"/>
              </w:rPr>
              <w:t>December 22, 2021</w:t>
            </w:r>
          </w:p>
        </w:tc>
      </w:tr>
    </w:tbl>
    <w:p>
      <w:pPr>
        <w:spacing w:after="0" w:line="200" w:lineRule="exact"/>
        <w:rPr>
          <w:sz w:val="20"/>
          <w:szCs w:val="20"/>
          <w:color w:val="auto"/>
        </w:rPr>
      </w:pPr>
    </w:p>
    <w:p>
      <w:pPr>
        <w:sectPr>
          <w:pgSz w:w="11900" w:h="16838" w:orient="portrait"/>
          <w:cols w:equalWidth="0" w:num="1">
            <w:col w:w="11240"/>
          </w:cols>
          <w:pgMar w:left="320" w:top="1210"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 Earl R.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1032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8">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Earl R. Ellis</w:t>
      </w:r>
    </w:p>
    <w:p>
      <w:pPr>
        <w:jc w:val="center"/>
        <w:ind w:right="122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December 22, 2021</w:t>
      </w:r>
    </w:p>
    <w:p>
      <w:pPr>
        <w:spacing w:after="0" w:line="29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 Sudhakar Kesavan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1032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9">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Sudhakar Kesavan</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Chairman of the Board and Director</w:t>
      </w:r>
    </w:p>
    <w:p>
      <w:pPr>
        <w:spacing w:after="0" w:line="34"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December 22, 2021</w:t>
      </w:r>
    </w:p>
    <w:p>
      <w:pPr>
        <w:spacing w:after="0" w:line="29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 LeighAnne 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10324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0">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LeighAnne G. Baker, Director</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December 22, 2021</w:t>
      </w:r>
    </w:p>
    <w:p>
      <w:pPr>
        <w:spacing w:after="0" w:line="29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 Donald F. Colleran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1032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Donald F. Colleran, Director</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December 22, 2021</w:t>
      </w:r>
    </w:p>
    <w:p>
      <w:pPr>
        <w:spacing w:after="0" w:line="29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 Thomas M. Gartland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1032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2">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Thomas M. Gartland, Director</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December 22, 2021</w:t>
      </w:r>
    </w:p>
    <w:p>
      <w:pPr>
        <w:spacing w:after="0" w:line="29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 Winifred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10324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3">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Winifred M. Webb, Director</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December 22,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 Dean A.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6350</wp:posOffset>
            </wp:positionV>
            <wp:extent cx="31203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4">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Dean A. Chin</w:t>
      </w:r>
    </w:p>
    <w:p>
      <w:pPr>
        <w:jc w:val="center"/>
        <w:ind w:right="580"/>
        <w:spacing w:after="0" w:line="215" w:lineRule="auto"/>
        <w:rPr>
          <w:sz w:val="20"/>
          <w:szCs w:val="20"/>
          <w:color w:val="auto"/>
        </w:rPr>
      </w:pPr>
      <w:r>
        <w:rPr>
          <w:rFonts w:ascii="Arial" w:cs="Arial" w:eastAsia="Arial" w:hAnsi="Arial"/>
          <w:sz w:val="17"/>
          <w:szCs w:val="17"/>
          <w:color w:val="auto"/>
        </w:rPr>
        <w:t>Senior Vice President, Chief Accounting Officer,</w:t>
      </w:r>
    </w:p>
    <w:p>
      <w:pPr>
        <w:jc w:val="center"/>
        <w:ind w:right="580"/>
        <w:spacing w:after="0"/>
        <w:rPr>
          <w:sz w:val="20"/>
          <w:szCs w:val="20"/>
          <w:color w:val="auto"/>
        </w:rPr>
      </w:pPr>
      <w:r>
        <w:rPr>
          <w:rFonts w:ascii="Arial" w:cs="Arial" w:eastAsia="Arial" w:hAnsi="Arial"/>
          <w:sz w:val="18"/>
          <w:szCs w:val="18"/>
          <w:color w:val="auto"/>
        </w:rPr>
        <w:t>Corporate Controller and Treasurer</w:t>
      </w:r>
    </w:p>
    <w:p>
      <w:pPr>
        <w:spacing w:after="0" w:line="23"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(Principal Accounting Officer)</w:t>
      </w:r>
    </w:p>
    <w:p>
      <w:pPr>
        <w:spacing w:after="0" w:line="23"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December 22, 2021</w:t>
      </w:r>
    </w:p>
    <w:p>
      <w:pPr>
        <w:spacing w:after="0" w:line="29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 Quincy L.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6350</wp:posOffset>
            </wp:positionV>
            <wp:extent cx="31203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5">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Quincy L. Allen, Director</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December 22, 2021</w:t>
      </w:r>
    </w:p>
    <w:p>
      <w:pPr>
        <w:spacing w:after="0" w:line="200" w:lineRule="exact"/>
        <w:rPr>
          <w:sz w:val="20"/>
          <w:szCs w:val="20"/>
          <w:color w:val="auto"/>
        </w:rPr>
      </w:pPr>
    </w:p>
    <w:p>
      <w:pPr>
        <w:spacing w:after="0" w:line="32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 Linda Chavez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6350</wp:posOffset>
            </wp:positionV>
            <wp:extent cx="31203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6">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Linda Chavez, Director</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December 22, 2021</w:t>
      </w:r>
    </w:p>
    <w:p>
      <w:pPr>
        <w:spacing w:after="0" w:line="29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Art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6350</wp:posOffset>
            </wp:positionV>
            <wp:extent cx="31203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7">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Art A. Garcia, Director</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December 22, 2021</w:t>
      </w:r>
    </w:p>
    <w:p>
      <w:pPr>
        <w:spacing w:after="0" w:line="29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Jill M. Golder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6350</wp:posOffset>
            </wp:positionV>
            <wp:extent cx="31203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8">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Jill M. Golder, Director</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December 22, 2021</w:t>
      </w:r>
    </w:p>
    <w:p>
      <w:pPr>
        <w:spacing w:after="0" w:line="1172" w:lineRule="exact"/>
        <w:rPr>
          <w:sz w:val="20"/>
          <w:szCs w:val="20"/>
          <w:color w:val="auto"/>
        </w:rPr>
      </w:pPr>
    </w:p>
    <w:p>
      <w:pPr>
        <w:sectPr>
          <w:pgSz w:w="11900" w:h="16838" w:orient="portrait"/>
          <w:cols w:equalWidth="0" w:num="2">
            <w:col w:w="6140" w:space="720"/>
            <w:col w:w="4380"/>
          </w:cols>
          <w:pgMar w:left="320" w:top="121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240"/>
          </w:cols>
          <w:pgMar w:left="320" w:top="1210" w:right="339" w:bottom="144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SUBSIDIARIES OF ABM INDUSTRIES INCORPORATED</w:t>
      </w:r>
    </w:p>
    <w:p>
      <w:pPr>
        <w:spacing w:after="0" w:line="200" w:lineRule="exact"/>
        <w:rPr>
          <w:sz w:val="20"/>
          <w:szCs w:val="20"/>
          <w:color w:val="auto"/>
        </w:rPr>
      </w:pPr>
    </w:p>
    <w:p>
      <w:pPr>
        <w:spacing w:after="0" w:line="21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is a list of subsidiaries of the company as of October 31, 2021, omitting subsidiaries which, considered in the aggregate, would not constitute a significant subsidiary.</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3700" w:type="dxa"/>
            <w:vAlign w:val="bottom"/>
          </w:tcPr>
          <w:p>
            <w:pPr>
              <w:ind w:left="1640"/>
              <w:spacing w:after="0"/>
              <w:rPr>
                <w:sz w:val="20"/>
                <w:szCs w:val="20"/>
                <w:color w:val="auto"/>
              </w:rPr>
            </w:pPr>
            <w:r>
              <w:rPr>
                <w:rFonts w:ascii="Arial" w:cs="Arial" w:eastAsia="Arial" w:hAnsi="Arial"/>
                <w:sz w:val="18"/>
                <w:szCs w:val="18"/>
                <w:b w:val="1"/>
                <w:bCs w:val="1"/>
                <w:color w:val="auto"/>
              </w:rPr>
              <w:t>Where</w:t>
            </w:r>
          </w:p>
        </w:tc>
        <w:tc>
          <w:tcPr>
            <w:tcW w:w="0" w:type="dxa"/>
            <w:vAlign w:val="bottom"/>
          </w:tcPr>
          <w:p>
            <w:pPr>
              <w:spacing w:after="0"/>
              <w:rPr>
                <w:sz w:val="1"/>
                <w:szCs w:val="1"/>
                <w:color w:val="auto"/>
              </w:rPr>
            </w:pPr>
          </w:p>
        </w:tc>
      </w:tr>
      <w:tr>
        <w:trPr>
          <w:trHeight w:val="175"/>
        </w:trPr>
        <w:tc>
          <w:tcPr>
            <w:tcW w:w="6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Company</w:t>
            </w:r>
          </w:p>
        </w:tc>
        <w:tc>
          <w:tcPr>
            <w:tcW w:w="3700" w:type="dxa"/>
            <w:vAlign w:val="bottom"/>
          </w:tcPr>
          <w:p>
            <w:pPr>
              <w:ind w:left="1640"/>
              <w:spacing w:after="0" w:line="176" w:lineRule="exact"/>
              <w:rPr>
                <w:sz w:val="20"/>
                <w:szCs w:val="20"/>
                <w:color w:val="auto"/>
              </w:rPr>
            </w:pPr>
            <w:r>
              <w:rPr>
                <w:rFonts w:ascii="Arial" w:cs="Arial" w:eastAsia="Arial" w:hAnsi="Arial"/>
                <w:sz w:val="18"/>
                <w:szCs w:val="18"/>
                <w:b w:val="1"/>
                <w:bCs w:val="1"/>
                <w:color w:val="auto"/>
              </w:rPr>
              <w:t>Incorporated or</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vMerge w:val="continue"/>
          </w:tcPr>
          <w:p>
            <w:pPr>
              <w:spacing w:after="0"/>
              <w:rPr>
                <w:sz w:val="19"/>
                <w:szCs w:val="19"/>
                <w:color w:val="auto"/>
              </w:rPr>
            </w:pPr>
          </w:p>
        </w:tc>
        <w:tc>
          <w:tcPr>
            <w:tcW w:w="370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Organized</w:t>
            </w:r>
          </w:p>
        </w:tc>
        <w:tc>
          <w:tcPr>
            <w:tcW w:w="0" w:type="dxa"/>
            <w:vAlign w:val="bottom"/>
          </w:tcPr>
          <w:p>
            <w:pPr>
              <w:spacing w:after="0"/>
              <w:rPr>
                <w:sz w:val="1"/>
                <w:szCs w:val="1"/>
                <w:color w:val="auto"/>
              </w:rPr>
            </w:pPr>
          </w:p>
        </w:tc>
      </w:tr>
      <w:tr>
        <w:trPr>
          <w:trHeight w:val="222"/>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ABM INDUSTRIES INCORPORATED</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   ABM Aviation, Inc.</w:t>
            </w:r>
          </w:p>
        </w:tc>
        <w:tc>
          <w:tcPr>
            <w:tcW w:w="3700" w:type="dxa"/>
            <w:vAlign w:val="bottom"/>
          </w:tcPr>
          <w:p>
            <w:pPr>
              <w:ind w:left="164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29"/>
        </w:trPr>
        <w:tc>
          <w:tcPr>
            <w:tcW w:w="6100" w:type="dxa"/>
            <w:vAlign w:val="bottom"/>
          </w:tcPr>
          <w:p>
            <w:pPr>
              <w:ind w:left="700"/>
              <w:spacing w:after="0"/>
              <w:rPr>
                <w:sz w:val="20"/>
                <w:szCs w:val="20"/>
                <w:color w:val="auto"/>
              </w:rPr>
            </w:pPr>
            <w:r>
              <w:rPr>
                <w:rFonts w:ascii="Arial" w:cs="Arial" w:eastAsia="Arial" w:hAnsi="Arial"/>
                <w:sz w:val="18"/>
                <w:szCs w:val="18"/>
                <w:color w:val="auto"/>
              </w:rPr>
              <w:t>ABM International Limited</w:t>
            </w:r>
          </w:p>
        </w:tc>
        <w:tc>
          <w:tcPr>
            <w:tcW w:w="3700" w:type="dxa"/>
            <w:vAlign w:val="bottom"/>
          </w:tcPr>
          <w:p>
            <w:pPr>
              <w:ind w:left="164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29"/>
        </w:trPr>
        <w:tc>
          <w:tcPr>
            <w:tcW w:w="6100" w:type="dxa"/>
            <w:vAlign w:val="bottom"/>
          </w:tcPr>
          <w:p>
            <w:pPr>
              <w:ind w:left="820"/>
              <w:spacing w:after="0"/>
              <w:rPr>
                <w:sz w:val="20"/>
                <w:szCs w:val="20"/>
                <w:color w:val="auto"/>
              </w:rPr>
            </w:pPr>
            <w:r>
              <w:rPr>
                <w:rFonts w:ascii="Arial" w:cs="Arial" w:eastAsia="Arial" w:hAnsi="Arial"/>
                <w:sz w:val="18"/>
                <w:szCs w:val="18"/>
                <w:color w:val="auto"/>
              </w:rPr>
              <w:t>ABM International (Holdings) Ltd</w:t>
            </w:r>
          </w:p>
        </w:tc>
        <w:tc>
          <w:tcPr>
            <w:tcW w:w="3700" w:type="dxa"/>
            <w:vAlign w:val="bottom"/>
          </w:tcPr>
          <w:p>
            <w:pPr>
              <w:ind w:left="16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30"/>
        </w:trPr>
        <w:tc>
          <w:tcPr>
            <w:tcW w:w="6100" w:type="dxa"/>
            <w:vAlign w:val="bottom"/>
          </w:tcPr>
          <w:p>
            <w:pPr>
              <w:ind w:left="920"/>
              <w:spacing w:after="0"/>
              <w:rPr>
                <w:sz w:val="20"/>
                <w:szCs w:val="20"/>
                <w:color w:val="auto"/>
              </w:rPr>
            </w:pPr>
            <w:r>
              <w:rPr>
                <w:rFonts w:ascii="Arial" w:cs="Arial" w:eastAsia="Arial" w:hAnsi="Arial"/>
                <w:sz w:val="18"/>
                <w:szCs w:val="18"/>
                <w:color w:val="auto"/>
              </w:rPr>
              <w:t>ABM Aviation UK Limited</w:t>
            </w:r>
          </w:p>
        </w:tc>
        <w:tc>
          <w:tcPr>
            <w:tcW w:w="3700" w:type="dxa"/>
            <w:vAlign w:val="bottom"/>
          </w:tcPr>
          <w:p>
            <w:pPr>
              <w:ind w:left="16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29"/>
        </w:trPr>
        <w:tc>
          <w:tcPr>
            <w:tcW w:w="6100" w:type="dxa"/>
            <w:vAlign w:val="bottom"/>
          </w:tcPr>
          <w:p>
            <w:pPr>
              <w:ind w:left="1020"/>
              <w:spacing w:after="0"/>
              <w:rPr>
                <w:sz w:val="20"/>
                <w:szCs w:val="20"/>
                <w:color w:val="auto"/>
              </w:rPr>
            </w:pPr>
            <w:r>
              <w:rPr>
                <w:rFonts w:ascii="Arial" w:cs="Arial" w:eastAsia="Arial" w:hAnsi="Arial"/>
                <w:sz w:val="18"/>
                <w:szCs w:val="18"/>
                <w:color w:val="auto"/>
              </w:rPr>
              <w:t>Air Serv Middle East Hospitality Services LLC</w:t>
            </w:r>
          </w:p>
        </w:tc>
        <w:tc>
          <w:tcPr>
            <w:tcW w:w="3700" w:type="dxa"/>
            <w:vAlign w:val="bottom"/>
          </w:tcPr>
          <w:p>
            <w:pPr>
              <w:ind w:left="1640"/>
              <w:spacing w:after="0"/>
              <w:rPr>
                <w:sz w:val="20"/>
                <w:szCs w:val="20"/>
                <w:color w:val="auto"/>
              </w:rPr>
            </w:pPr>
            <w:r>
              <w:rPr>
                <w:rFonts w:ascii="Arial" w:cs="Arial" w:eastAsia="Arial" w:hAnsi="Arial"/>
                <w:sz w:val="18"/>
                <w:szCs w:val="18"/>
                <w:color w:val="auto"/>
              </w:rPr>
              <w:t>UAE</w:t>
            </w:r>
          </w:p>
        </w:tc>
        <w:tc>
          <w:tcPr>
            <w:tcW w:w="0" w:type="dxa"/>
            <w:vAlign w:val="bottom"/>
          </w:tcPr>
          <w:p>
            <w:pPr>
              <w:spacing w:after="0"/>
              <w:rPr>
                <w:sz w:val="1"/>
                <w:szCs w:val="1"/>
                <w:color w:val="auto"/>
              </w:rPr>
            </w:pPr>
          </w:p>
        </w:tc>
      </w:tr>
      <w:tr>
        <w:trPr>
          <w:trHeight w:val="230"/>
        </w:trPr>
        <w:tc>
          <w:tcPr>
            <w:tcW w:w="6100" w:type="dxa"/>
            <w:vAlign w:val="bottom"/>
          </w:tcPr>
          <w:p>
            <w:pPr>
              <w:ind w:left="900"/>
              <w:spacing w:after="0"/>
              <w:rPr>
                <w:sz w:val="20"/>
                <w:szCs w:val="20"/>
                <w:color w:val="auto"/>
              </w:rPr>
            </w:pPr>
            <w:r>
              <w:rPr>
                <w:rFonts w:ascii="Arial" w:cs="Arial" w:eastAsia="Arial" w:hAnsi="Arial"/>
                <w:sz w:val="18"/>
                <w:szCs w:val="18"/>
                <w:color w:val="auto"/>
              </w:rPr>
              <w:t>OFJ Connections</w:t>
            </w:r>
          </w:p>
        </w:tc>
        <w:tc>
          <w:tcPr>
            <w:tcW w:w="3700" w:type="dxa"/>
            <w:vAlign w:val="bottom"/>
          </w:tcPr>
          <w:p>
            <w:pPr>
              <w:ind w:left="16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29"/>
        </w:trPr>
        <w:tc>
          <w:tcPr>
            <w:tcW w:w="6100" w:type="dxa"/>
            <w:vAlign w:val="bottom"/>
          </w:tcPr>
          <w:p>
            <w:pPr>
              <w:ind w:left="1140"/>
              <w:spacing w:after="0"/>
              <w:rPr>
                <w:sz w:val="20"/>
                <w:szCs w:val="20"/>
                <w:color w:val="auto"/>
              </w:rPr>
            </w:pPr>
            <w:r>
              <w:rPr>
                <w:rFonts w:ascii="Arial" w:cs="Arial" w:eastAsia="Arial" w:hAnsi="Arial"/>
                <w:sz w:val="18"/>
                <w:szCs w:val="18"/>
                <w:color w:val="auto"/>
              </w:rPr>
              <w:t>OFJ Airlinks Limited</w:t>
            </w:r>
          </w:p>
        </w:tc>
        <w:tc>
          <w:tcPr>
            <w:tcW w:w="3700" w:type="dxa"/>
            <w:vAlign w:val="bottom"/>
          </w:tcPr>
          <w:p>
            <w:pPr>
              <w:ind w:left="16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29"/>
        </w:trPr>
        <w:tc>
          <w:tcPr>
            <w:tcW w:w="6100" w:type="dxa"/>
            <w:vAlign w:val="bottom"/>
          </w:tcPr>
          <w:p>
            <w:pPr>
              <w:ind w:left="700"/>
              <w:spacing w:after="0"/>
              <w:rPr>
                <w:sz w:val="20"/>
                <w:szCs w:val="20"/>
                <w:color w:val="auto"/>
              </w:rPr>
            </w:pPr>
            <w:r>
              <w:rPr>
                <w:rFonts w:ascii="Arial" w:cs="Arial" w:eastAsia="Arial" w:hAnsi="Arial"/>
                <w:sz w:val="18"/>
                <w:szCs w:val="18"/>
                <w:color w:val="auto"/>
              </w:rPr>
              <w:t>ABM Group UK Limited</w:t>
            </w:r>
          </w:p>
        </w:tc>
        <w:tc>
          <w:tcPr>
            <w:tcW w:w="3700" w:type="dxa"/>
            <w:vAlign w:val="bottom"/>
          </w:tcPr>
          <w:p>
            <w:pPr>
              <w:ind w:left="16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30"/>
        </w:trPr>
        <w:tc>
          <w:tcPr>
            <w:tcW w:w="6100" w:type="dxa"/>
            <w:vAlign w:val="bottom"/>
          </w:tcPr>
          <w:p>
            <w:pPr>
              <w:ind w:left="900"/>
              <w:spacing w:after="0"/>
              <w:rPr>
                <w:sz w:val="20"/>
                <w:szCs w:val="20"/>
                <w:color w:val="auto"/>
              </w:rPr>
            </w:pPr>
            <w:r>
              <w:rPr>
                <w:rFonts w:ascii="Arial" w:cs="Arial" w:eastAsia="Arial" w:hAnsi="Arial"/>
                <w:sz w:val="18"/>
                <w:szCs w:val="18"/>
                <w:color w:val="auto"/>
              </w:rPr>
              <w:t>ABM Facility Services UK Limited</w:t>
            </w:r>
          </w:p>
        </w:tc>
        <w:tc>
          <w:tcPr>
            <w:tcW w:w="3700" w:type="dxa"/>
            <w:vAlign w:val="bottom"/>
          </w:tcPr>
          <w:p>
            <w:pPr>
              <w:ind w:left="16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29"/>
        </w:trPr>
        <w:tc>
          <w:tcPr>
            <w:tcW w:w="6100" w:type="dxa"/>
            <w:vAlign w:val="bottom"/>
          </w:tcPr>
          <w:p>
            <w:pPr>
              <w:ind w:left="900"/>
              <w:spacing w:after="0"/>
              <w:rPr>
                <w:sz w:val="20"/>
                <w:szCs w:val="20"/>
                <w:color w:val="auto"/>
              </w:rPr>
            </w:pPr>
            <w:r>
              <w:rPr>
                <w:rFonts w:ascii="Arial" w:cs="Arial" w:eastAsia="Arial" w:hAnsi="Arial"/>
                <w:sz w:val="18"/>
                <w:szCs w:val="18"/>
                <w:color w:val="auto"/>
              </w:rPr>
              <w:t>BRBIBR Limited</w:t>
            </w:r>
          </w:p>
        </w:tc>
        <w:tc>
          <w:tcPr>
            <w:tcW w:w="3700" w:type="dxa"/>
            <w:vAlign w:val="bottom"/>
          </w:tcPr>
          <w:p>
            <w:pPr>
              <w:ind w:left="16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29"/>
        </w:trPr>
        <w:tc>
          <w:tcPr>
            <w:tcW w:w="6100" w:type="dxa"/>
            <w:vAlign w:val="bottom"/>
          </w:tcPr>
          <w:p>
            <w:pPr>
              <w:ind w:left="1140"/>
              <w:spacing w:after="0"/>
              <w:rPr>
                <w:sz w:val="20"/>
                <w:szCs w:val="20"/>
                <w:color w:val="auto"/>
              </w:rPr>
            </w:pPr>
            <w:r>
              <w:rPr>
                <w:rFonts w:ascii="Arial" w:cs="Arial" w:eastAsia="Arial" w:hAnsi="Arial"/>
                <w:sz w:val="18"/>
                <w:szCs w:val="18"/>
                <w:color w:val="auto"/>
              </w:rPr>
              <w:t>ABM Critical Solutions Limited</w:t>
            </w:r>
          </w:p>
        </w:tc>
        <w:tc>
          <w:tcPr>
            <w:tcW w:w="3700" w:type="dxa"/>
            <w:vAlign w:val="bottom"/>
          </w:tcPr>
          <w:p>
            <w:pPr>
              <w:ind w:left="16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30"/>
        </w:trPr>
        <w:tc>
          <w:tcPr>
            <w:tcW w:w="6100" w:type="dxa"/>
            <w:vAlign w:val="bottom"/>
          </w:tcPr>
          <w:p>
            <w:pPr>
              <w:ind w:left="700"/>
              <w:spacing w:after="0"/>
              <w:rPr>
                <w:sz w:val="20"/>
                <w:szCs w:val="20"/>
                <w:color w:val="auto"/>
              </w:rPr>
            </w:pPr>
            <w:r>
              <w:rPr>
                <w:rFonts w:ascii="Arial" w:cs="Arial" w:eastAsia="Arial" w:hAnsi="Arial"/>
                <w:sz w:val="18"/>
                <w:szCs w:val="18"/>
                <w:color w:val="auto"/>
              </w:rPr>
              <w:t>ABM International (Holdings) B.V.</w:t>
            </w:r>
          </w:p>
        </w:tc>
        <w:tc>
          <w:tcPr>
            <w:tcW w:w="3700" w:type="dxa"/>
            <w:vAlign w:val="bottom"/>
          </w:tcPr>
          <w:p>
            <w:pPr>
              <w:ind w:left="1640"/>
              <w:spacing w:after="0"/>
              <w:rPr>
                <w:sz w:val="20"/>
                <w:szCs w:val="20"/>
                <w:color w:val="auto"/>
              </w:rPr>
            </w:pPr>
            <w:r>
              <w:rPr>
                <w:rFonts w:ascii="Arial" w:cs="Arial" w:eastAsia="Arial" w:hAnsi="Arial"/>
                <w:sz w:val="18"/>
                <w:szCs w:val="18"/>
                <w:color w:val="auto"/>
              </w:rPr>
              <w:t>Holland</w:t>
            </w:r>
          </w:p>
        </w:tc>
        <w:tc>
          <w:tcPr>
            <w:tcW w:w="0" w:type="dxa"/>
            <w:vAlign w:val="bottom"/>
          </w:tcPr>
          <w:p>
            <w:pPr>
              <w:spacing w:after="0"/>
              <w:rPr>
                <w:sz w:val="1"/>
                <w:szCs w:val="1"/>
                <w:color w:val="auto"/>
              </w:rPr>
            </w:pPr>
          </w:p>
        </w:tc>
      </w:tr>
      <w:tr>
        <w:trPr>
          <w:trHeight w:val="229"/>
        </w:trPr>
        <w:tc>
          <w:tcPr>
            <w:tcW w:w="6100" w:type="dxa"/>
            <w:vAlign w:val="bottom"/>
          </w:tcPr>
          <w:p>
            <w:pPr>
              <w:ind w:left="700"/>
              <w:spacing w:after="0"/>
              <w:rPr>
                <w:sz w:val="20"/>
                <w:szCs w:val="20"/>
                <w:color w:val="auto"/>
              </w:rPr>
            </w:pPr>
            <w:r>
              <w:rPr>
                <w:rFonts w:ascii="Arial" w:cs="Arial" w:eastAsia="Arial" w:hAnsi="Arial"/>
                <w:sz w:val="18"/>
                <w:szCs w:val="18"/>
                <w:color w:val="auto"/>
              </w:rPr>
              <w:t>ABM Onsite Services - Canada ULC</w:t>
            </w:r>
          </w:p>
        </w:tc>
        <w:tc>
          <w:tcPr>
            <w:tcW w:w="3700" w:type="dxa"/>
            <w:vAlign w:val="bottom"/>
          </w:tcPr>
          <w:p>
            <w:pPr>
              <w:ind w:left="16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30"/>
        </w:trPr>
        <w:tc>
          <w:tcPr>
            <w:tcW w:w="6100" w:type="dxa"/>
            <w:vAlign w:val="bottom"/>
          </w:tcPr>
          <w:p>
            <w:pPr>
              <w:ind w:left="700"/>
              <w:spacing w:after="0"/>
              <w:rPr>
                <w:sz w:val="20"/>
                <w:szCs w:val="20"/>
                <w:color w:val="auto"/>
              </w:rPr>
            </w:pPr>
            <w:r>
              <w:rPr>
                <w:rFonts w:ascii="Arial" w:cs="Arial" w:eastAsia="Arial" w:hAnsi="Arial"/>
                <w:sz w:val="18"/>
                <w:szCs w:val="18"/>
                <w:color w:val="auto"/>
              </w:rPr>
              <w:t>Westway Services Holdings (2014) Ltd.</w:t>
            </w:r>
          </w:p>
        </w:tc>
        <w:tc>
          <w:tcPr>
            <w:tcW w:w="3700" w:type="dxa"/>
            <w:vAlign w:val="bottom"/>
          </w:tcPr>
          <w:p>
            <w:pPr>
              <w:ind w:left="16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30"/>
        </w:trPr>
        <w:tc>
          <w:tcPr>
            <w:tcW w:w="6100" w:type="dxa"/>
            <w:vAlign w:val="bottom"/>
          </w:tcPr>
          <w:p>
            <w:pPr>
              <w:ind w:left="900"/>
              <w:spacing w:after="0"/>
              <w:rPr>
                <w:sz w:val="20"/>
                <w:szCs w:val="20"/>
                <w:color w:val="auto"/>
              </w:rPr>
            </w:pPr>
            <w:r>
              <w:rPr>
                <w:rFonts w:ascii="Arial" w:cs="Arial" w:eastAsia="Arial" w:hAnsi="Arial"/>
                <w:sz w:val="18"/>
                <w:szCs w:val="18"/>
                <w:color w:val="auto"/>
              </w:rPr>
              <w:t>Westway Services Holdings (2010) Ltd.</w:t>
            </w:r>
          </w:p>
        </w:tc>
        <w:tc>
          <w:tcPr>
            <w:tcW w:w="3700" w:type="dxa"/>
            <w:vAlign w:val="bottom"/>
          </w:tcPr>
          <w:p>
            <w:pPr>
              <w:ind w:left="16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30"/>
        </w:trPr>
        <w:tc>
          <w:tcPr>
            <w:tcW w:w="6100" w:type="dxa"/>
            <w:vAlign w:val="bottom"/>
          </w:tcPr>
          <w:p>
            <w:pPr>
              <w:ind w:left="1140"/>
              <w:spacing w:after="0"/>
              <w:rPr>
                <w:sz w:val="20"/>
                <w:szCs w:val="20"/>
                <w:color w:val="auto"/>
              </w:rPr>
            </w:pPr>
            <w:r>
              <w:rPr>
                <w:rFonts w:ascii="Arial" w:cs="Arial" w:eastAsia="Arial" w:hAnsi="Arial"/>
                <w:sz w:val="18"/>
                <w:szCs w:val="18"/>
                <w:color w:val="auto"/>
              </w:rPr>
              <w:t>ABM Technical Solutions Limited</w:t>
            </w:r>
          </w:p>
        </w:tc>
        <w:tc>
          <w:tcPr>
            <w:tcW w:w="3700" w:type="dxa"/>
            <w:vAlign w:val="bottom"/>
          </w:tcPr>
          <w:p>
            <w:pPr>
              <w:ind w:left="16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29"/>
        </w:trPr>
        <w:tc>
          <w:tcPr>
            <w:tcW w:w="6100" w:type="dxa"/>
            <w:vAlign w:val="bottom"/>
          </w:tcPr>
          <w:p>
            <w:pPr>
              <w:ind w:left="500"/>
              <w:spacing w:after="0"/>
              <w:rPr>
                <w:sz w:val="20"/>
                <w:szCs w:val="20"/>
                <w:color w:val="auto"/>
              </w:rPr>
            </w:pPr>
            <w:r>
              <w:rPr>
                <w:rFonts w:ascii="Arial" w:cs="Arial" w:eastAsia="Arial" w:hAnsi="Arial"/>
                <w:sz w:val="18"/>
                <w:szCs w:val="18"/>
                <w:color w:val="auto"/>
              </w:rPr>
              <w:t>ABM Building &amp; Energy Solutions, LLC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00" w:type="dxa"/>
            <w:vAlign w:val="bottom"/>
          </w:tcPr>
          <w:p>
            <w:pPr>
              <w:ind w:left="700"/>
              <w:spacing w:after="0"/>
              <w:rPr>
                <w:sz w:val="20"/>
                <w:szCs w:val="20"/>
                <w:color w:val="auto"/>
              </w:rPr>
            </w:pPr>
            <w:r>
              <w:rPr>
                <w:rFonts w:ascii="Arial" w:cs="Arial" w:eastAsia="Arial" w:hAnsi="Arial"/>
                <w:sz w:val="18"/>
                <w:szCs w:val="18"/>
                <w:color w:val="auto"/>
              </w:rPr>
              <w:t>ABM Building Services, LLC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00" w:type="dxa"/>
            <w:vAlign w:val="bottom"/>
          </w:tcPr>
          <w:p>
            <w:pPr>
              <w:ind w:left="700"/>
              <w:spacing w:after="0"/>
              <w:rPr>
                <w:sz w:val="20"/>
                <w:szCs w:val="20"/>
                <w:color w:val="auto"/>
              </w:rPr>
            </w:pPr>
            <w:r>
              <w:rPr>
                <w:rFonts w:ascii="Arial" w:cs="Arial" w:eastAsia="Arial" w:hAnsi="Arial"/>
                <w:sz w:val="18"/>
                <w:szCs w:val="18"/>
                <w:color w:val="auto"/>
              </w:rPr>
              <w:t>ABM Building Solutions, LLC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00" w:type="dxa"/>
            <w:vAlign w:val="bottom"/>
          </w:tcPr>
          <w:p>
            <w:pPr>
              <w:ind w:left="700"/>
              <w:spacing w:after="0"/>
              <w:rPr>
                <w:sz w:val="20"/>
                <w:szCs w:val="20"/>
                <w:color w:val="auto"/>
              </w:rPr>
            </w:pPr>
            <w:r>
              <w:rPr>
                <w:rFonts w:ascii="Arial" w:cs="Arial" w:eastAsia="Arial" w:hAnsi="Arial"/>
                <w:sz w:val="18"/>
                <w:szCs w:val="18"/>
                <w:color w:val="auto"/>
              </w:rPr>
              <w:t>ABM Canada Power Services Ltd</w:t>
            </w:r>
          </w:p>
        </w:tc>
        <w:tc>
          <w:tcPr>
            <w:tcW w:w="3700" w:type="dxa"/>
            <w:vAlign w:val="bottom"/>
          </w:tcPr>
          <w:p>
            <w:pPr>
              <w:ind w:left="16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29"/>
        </w:trPr>
        <w:tc>
          <w:tcPr>
            <w:tcW w:w="6100" w:type="dxa"/>
            <w:vAlign w:val="bottom"/>
          </w:tcPr>
          <w:p>
            <w:pPr>
              <w:ind w:left="700"/>
              <w:spacing w:after="0"/>
              <w:rPr>
                <w:sz w:val="20"/>
                <w:szCs w:val="20"/>
                <w:color w:val="auto"/>
              </w:rPr>
            </w:pPr>
            <w:r>
              <w:rPr>
                <w:rFonts w:ascii="Arial" w:cs="Arial" w:eastAsia="Arial" w:hAnsi="Arial"/>
                <w:sz w:val="18"/>
                <w:szCs w:val="18"/>
                <w:color w:val="auto"/>
              </w:rPr>
              <w:t>ABM Electrical &amp; Lighting Services, LLC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00" w:type="dxa"/>
            <w:vAlign w:val="bottom"/>
          </w:tcPr>
          <w:p>
            <w:pPr>
              <w:ind w:left="700"/>
              <w:spacing w:after="0"/>
              <w:rPr>
                <w:sz w:val="20"/>
                <w:szCs w:val="20"/>
                <w:color w:val="auto"/>
              </w:rPr>
            </w:pPr>
            <w:r>
              <w:rPr>
                <w:rFonts w:ascii="Arial" w:cs="Arial" w:eastAsia="Arial" w:hAnsi="Arial"/>
                <w:sz w:val="18"/>
                <w:szCs w:val="18"/>
                <w:color w:val="auto"/>
              </w:rPr>
              <w:t>ABM Electrical &amp; Lighting Solutions, Inc.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00" w:type="dxa"/>
            <w:vAlign w:val="bottom"/>
          </w:tcPr>
          <w:p>
            <w:pPr>
              <w:ind w:left="700"/>
              <w:spacing w:after="0"/>
              <w:rPr>
                <w:sz w:val="20"/>
                <w:szCs w:val="20"/>
                <w:color w:val="auto"/>
              </w:rPr>
            </w:pPr>
            <w:r>
              <w:rPr>
                <w:rFonts w:ascii="Arial" w:cs="Arial" w:eastAsia="Arial" w:hAnsi="Arial"/>
                <w:sz w:val="18"/>
                <w:szCs w:val="18"/>
                <w:color w:val="auto"/>
              </w:rPr>
              <w:t>ABM Electrical Power Services, LLC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00" w:type="dxa"/>
            <w:vAlign w:val="bottom"/>
          </w:tcPr>
          <w:p>
            <w:pPr>
              <w:ind w:left="700"/>
              <w:spacing w:after="0"/>
              <w:rPr>
                <w:sz w:val="20"/>
                <w:szCs w:val="20"/>
                <w:color w:val="auto"/>
              </w:rPr>
            </w:pPr>
            <w:r>
              <w:rPr>
                <w:rFonts w:ascii="Arial" w:cs="Arial" w:eastAsia="Arial" w:hAnsi="Arial"/>
                <w:sz w:val="18"/>
                <w:szCs w:val="18"/>
                <w:color w:val="auto"/>
              </w:rPr>
              <w:t>ABM Electrical Power Solutions, LLC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6100" w:type="dxa"/>
            <w:vAlign w:val="bottom"/>
          </w:tcPr>
          <w:p>
            <w:pPr>
              <w:ind w:left="700"/>
              <w:spacing w:after="0"/>
              <w:rPr>
                <w:sz w:val="20"/>
                <w:szCs w:val="20"/>
                <w:color w:val="auto"/>
              </w:rPr>
            </w:pPr>
            <w:r>
              <w:rPr>
                <w:rFonts w:ascii="Arial" w:cs="Arial" w:eastAsia="Arial" w:hAnsi="Arial"/>
                <w:sz w:val="18"/>
                <w:szCs w:val="18"/>
                <w:color w:val="auto"/>
              </w:rPr>
              <w:t>ABM Facility Support Services, LLC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00" w:type="dxa"/>
            <w:vAlign w:val="bottom"/>
          </w:tcPr>
          <w:p>
            <w:pPr>
              <w:ind w:left="700"/>
              <w:spacing w:after="0"/>
              <w:rPr>
                <w:sz w:val="20"/>
                <w:szCs w:val="20"/>
                <w:color w:val="auto"/>
              </w:rPr>
            </w:pPr>
            <w:r>
              <w:rPr>
                <w:rFonts w:ascii="Arial" w:cs="Arial" w:eastAsia="Arial" w:hAnsi="Arial"/>
                <w:sz w:val="18"/>
                <w:szCs w:val="18"/>
                <w:color w:val="auto"/>
              </w:rPr>
              <w:t>RenewEnergy Solutions, LLC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00" w:type="dxa"/>
            <w:vAlign w:val="bottom"/>
          </w:tcPr>
          <w:p>
            <w:pPr>
              <w:ind w:left="500"/>
              <w:spacing w:after="0"/>
              <w:rPr>
                <w:sz w:val="20"/>
                <w:szCs w:val="20"/>
                <w:color w:val="auto"/>
              </w:rPr>
            </w:pPr>
            <w:r>
              <w:rPr>
                <w:rFonts w:ascii="Arial" w:cs="Arial" w:eastAsia="Arial" w:hAnsi="Arial"/>
                <w:sz w:val="18"/>
                <w:szCs w:val="18"/>
                <w:color w:val="auto"/>
              </w:rPr>
              <w:t>ABM Franchising Group, LLC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00" w:type="dxa"/>
            <w:vAlign w:val="bottom"/>
          </w:tcPr>
          <w:p>
            <w:pPr>
              <w:ind w:left="500"/>
              <w:spacing w:after="0"/>
              <w:rPr>
                <w:sz w:val="20"/>
                <w:szCs w:val="20"/>
                <w:color w:val="auto"/>
              </w:rPr>
            </w:pPr>
            <w:r>
              <w:rPr>
                <w:rFonts w:ascii="Arial" w:cs="Arial" w:eastAsia="Arial" w:hAnsi="Arial"/>
                <w:sz w:val="18"/>
                <w:szCs w:val="18"/>
                <w:color w:val="auto"/>
              </w:rPr>
              <w:t>ABM General Services, Inc.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6100" w:type="dxa"/>
            <w:vAlign w:val="bottom"/>
          </w:tcPr>
          <w:p>
            <w:pPr>
              <w:ind w:left="500"/>
              <w:spacing w:after="0"/>
              <w:rPr>
                <w:sz w:val="20"/>
                <w:szCs w:val="20"/>
                <w:color w:val="auto"/>
              </w:rPr>
            </w:pPr>
            <w:r>
              <w:rPr>
                <w:rFonts w:ascii="Arial" w:cs="Arial" w:eastAsia="Arial" w:hAnsi="Arial"/>
                <w:sz w:val="18"/>
                <w:szCs w:val="18"/>
                <w:color w:val="auto"/>
              </w:rPr>
              <w:t>ABM Healthcare Support Services, Inc.</w:t>
            </w:r>
          </w:p>
        </w:tc>
        <w:tc>
          <w:tcPr>
            <w:tcW w:w="3700" w:type="dxa"/>
            <w:vAlign w:val="bottom"/>
          </w:tcPr>
          <w:p>
            <w:pPr>
              <w:ind w:left="164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30"/>
        </w:trPr>
        <w:tc>
          <w:tcPr>
            <w:tcW w:w="6100" w:type="dxa"/>
            <w:vAlign w:val="bottom"/>
          </w:tcPr>
          <w:p>
            <w:pPr>
              <w:ind w:left="500"/>
              <w:spacing w:after="0"/>
              <w:rPr>
                <w:sz w:val="20"/>
                <w:szCs w:val="20"/>
                <w:color w:val="auto"/>
              </w:rPr>
            </w:pPr>
            <w:r>
              <w:rPr>
                <w:rFonts w:ascii="Arial" w:cs="Arial" w:eastAsia="Arial" w:hAnsi="Arial"/>
                <w:sz w:val="18"/>
                <w:szCs w:val="18"/>
                <w:color w:val="auto"/>
              </w:rPr>
              <w:t>ABM Industrial Services, Inc.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00" w:type="dxa"/>
            <w:vAlign w:val="bottom"/>
          </w:tcPr>
          <w:p>
            <w:pPr>
              <w:ind w:left="500"/>
              <w:spacing w:after="0"/>
              <w:rPr>
                <w:sz w:val="20"/>
                <w:szCs w:val="20"/>
                <w:color w:val="auto"/>
              </w:rPr>
            </w:pPr>
            <w:r>
              <w:rPr>
                <w:rFonts w:ascii="Arial" w:cs="Arial" w:eastAsia="Arial" w:hAnsi="Arial"/>
                <w:sz w:val="18"/>
                <w:szCs w:val="18"/>
                <w:color w:val="auto"/>
              </w:rPr>
              <w:t>ABM Industry Groups, LLC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00" w:type="dxa"/>
            <w:vAlign w:val="bottom"/>
          </w:tcPr>
          <w:p>
            <w:pPr>
              <w:ind w:left="500"/>
              <w:spacing w:after="0"/>
              <w:rPr>
                <w:sz w:val="20"/>
                <w:szCs w:val="20"/>
                <w:color w:val="auto"/>
              </w:rPr>
            </w:pPr>
            <w:r>
              <w:rPr>
                <w:rFonts w:ascii="Arial" w:cs="Arial" w:eastAsia="Arial" w:hAnsi="Arial"/>
                <w:sz w:val="18"/>
                <w:szCs w:val="18"/>
                <w:color w:val="auto"/>
              </w:rPr>
              <w:t>ABM Texas General Services, Inc.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00" w:type="dxa"/>
            <w:vAlign w:val="bottom"/>
          </w:tcPr>
          <w:p>
            <w:pPr>
              <w:ind w:left="500"/>
              <w:spacing w:after="0"/>
              <w:rPr>
                <w:sz w:val="20"/>
                <w:szCs w:val="20"/>
                <w:color w:val="auto"/>
              </w:rPr>
            </w:pPr>
            <w:r>
              <w:rPr>
                <w:rFonts w:ascii="Arial" w:cs="Arial" w:eastAsia="Arial" w:hAnsi="Arial"/>
                <w:sz w:val="18"/>
                <w:szCs w:val="18"/>
                <w:color w:val="auto"/>
              </w:rPr>
              <w:t>Crown Building Maintenance Co.</w:t>
            </w:r>
          </w:p>
        </w:tc>
        <w:tc>
          <w:tcPr>
            <w:tcW w:w="3700" w:type="dxa"/>
            <w:vAlign w:val="bottom"/>
          </w:tcPr>
          <w:p>
            <w:pPr>
              <w:ind w:left="16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29"/>
        </w:trPr>
        <w:tc>
          <w:tcPr>
            <w:tcW w:w="6100" w:type="dxa"/>
            <w:vAlign w:val="bottom"/>
          </w:tcPr>
          <w:p>
            <w:pPr>
              <w:ind w:left="600"/>
              <w:spacing w:after="0"/>
              <w:rPr>
                <w:sz w:val="20"/>
                <w:szCs w:val="20"/>
                <w:color w:val="auto"/>
              </w:rPr>
            </w:pPr>
            <w:r>
              <w:rPr>
                <w:rFonts w:ascii="Arial" w:cs="Arial" w:eastAsia="Arial" w:hAnsi="Arial"/>
                <w:sz w:val="18"/>
                <w:szCs w:val="18"/>
                <w:color w:val="auto"/>
              </w:rPr>
              <w:t>AbleServe Management Company</w:t>
            </w:r>
          </w:p>
        </w:tc>
        <w:tc>
          <w:tcPr>
            <w:tcW w:w="3700" w:type="dxa"/>
            <w:vAlign w:val="bottom"/>
          </w:tcPr>
          <w:p>
            <w:pPr>
              <w:ind w:left="16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30"/>
        </w:trPr>
        <w:tc>
          <w:tcPr>
            <w:tcW w:w="6100" w:type="dxa"/>
            <w:vAlign w:val="bottom"/>
          </w:tcPr>
          <w:p>
            <w:pPr>
              <w:ind w:left="600"/>
              <w:spacing w:after="0"/>
              <w:rPr>
                <w:sz w:val="20"/>
                <w:szCs w:val="20"/>
                <w:color w:val="auto"/>
              </w:rPr>
            </w:pPr>
            <w:r>
              <w:rPr>
                <w:rFonts w:ascii="Arial" w:cs="Arial" w:eastAsia="Arial" w:hAnsi="Arial"/>
                <w:sz w:val="18"/>
                <w:szCs w:val="18"/>
                <w:color w:val="auto"/>
              </w:rPr>
              <w:t>CBM MGMT LLC</w:t>
            </w:r>
          </w:p>
        </w:tc>
        <w:tc>
          <w:tcPr>
            <w:tcW w:w="3700" w:type="dxa"/>
            <w:vAlign w:val="bottom"/>
          </w:tcPr>
          <w:p>
            <w:pPr>
              <w:ind w:left="16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29"/>
        </w:trPr>
        <w:tc>
          <w:tcPr>
            <w:tcW w:w="6100" w:type="dxa"/>
            <w:vAlign w:val="bottom"/>
          </w:tcPr>
          <w:p>
            <w:pPr>
              <w:ind w:left="500"/>
              <w:spacing w:after="0"/>
              <w:rPr>
                <w:sz w:val="20"/>
                <w:szCs w:val="20"/>
                <w:color w:val="auto"/>
              </w:rPr>
            </w:pPr>
            <w:r>
              <w:rPr>
                <w:rFonts w:ascii="Arial" w:cs="Arial" w:eastAsia="Arial" w:hAnsi="Arial"/>
                <w:sz w:val="18"/>
                <w:szCs w:val="18"/>
                <w:color w:val="auto"/>
              </w:rPr>
              <w:t>Crown Energy Services Inc.</w:t>
            </w:r>
          </w:p>
        </w:tc>
        <w:tc>
          <w:tcPr>
            <w:tcW w:w="3700" w:type="dxa"/>
            <w:vAlign w:val="bottom"/>
          </w:tcPr>
          <w:p>
            <w:pPr>
              <w:ind w:left="16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29"/>
        </w:trPr>
        <w:tc>
          <w:tcPr>
            <w:tcW w:w="6100" w:type="dxa"/>
            <w:vAlign w:val="bottom"/>
          </w:tcPr>
          <w:p>
            <w:pPr>
              <w:ind w:left="600"/>
              <w:spacing w:after="0"/>
              <w:rPr>
                <w:sz w:val="20"/>
                <w:szCs w:val="20"/>
                <w:color w:val="auto"/>
              </w:rPr>
            </w:pPr>
            <w:r>
              <w:rPr>
                <w:rFonts w:ascii="Arial" w:cs="Arial" w:eastAsia="Arial" w:hAnsi="Arial"/>
                <w:sz w:val="18"/>
                <w:szCs w:val="18"/>
                <w:color w:val="auto"/>
              </w:rPr>
              <w:t>Able Advantage Acquisition Inc.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00" w:type="dxa"/>
            <w:vAlign w:val="bottom"/>
          </w:tcPr>
          <w:p>
            <w:pPr>
              <w:ind w:left="600"/>
              <w:spacing w:after="0"/>
              <w:rPr>
                <w:sz w:val="20"/>
                <w:szCs w:val="20"/>
                <w:color w:val="auto"/>
              </w:rPr>
            </w:pPr>
            <w:r>
              <w:rPr>
                <w:rFonts w:ascii="Arial" w:cs="Arial" w:eastAsia="Arial" w:hAnsi="Arial"/>
                <w:sz w:val="18"/>
                <w:szCs w:val="18"/>
                <w:color w:val="auto"/>
              </w:rPr>
              <w:t>AES MGMT LLC</w:t>
            </w:r>
          </w:p>
        </w:tc>
        <w:tc>
          <w:tcPr>
            <w:tcW w:w="3700" w:type="dxa"/>
            <w:vAlign w:val="bottom"/>
          </w:tcPr>
          <w:p>
            <w:pPr>
              <w:ind w:left="16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30"/>
        </w:trPr>
        <w:tc>
          <w:tcPr>
            <w:tcW w:w="6100" w:type="dxa"/>
            <w:vAlign w:val="bottom"/>
          </w:tcPr>
          <w:p>
            <w:pPr>
              <w:ind w:left="500"/>
              <w:spacing w:after="0"/>
              <w:rPr>
                <w:sz w:val="20"/>
                <w:szCs w:val="20"/>
                <w:color w:val="auto"/>
              </w:rPr>
            </w:pPr>
            <w:r>
              <w:rPr>
                <w:rFonts w:ascii="Arial" w:cs="Arial" w:eastAsia="Arial" w:hAnsi="Arial"/>
                <w:sz w:val="18"/>
                <w:szCs w:val="18"/>
                <w:color w:val="auto"/>
              </w:rPr>
              <w:t>Grade Sub Two, LLC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580"/>
          </w:cols>
          <w:pgMar w:left="980" w:top="118" w:right="339" w:bottom="1440" w:gutter="0" w:footer="0" w:header="0"/>
        </w:sectPr>
      </w:pPr>
    </w:p>
    <w:bookmarkStart w:id="107" w:name="page108"/>
    <w:bookmarkEnd w:id="107"/>
    <w:p>
      <w:pPr>
        <w:ind w:left="1360"/>
        <w:spacing w:after="0"/>
        <w:rPr>
          <w:sz w:val="20"/>
          <w:szCs w:val="20"/>
          <w:color w:val="auto"/>
        </w:rPr>
      </w:pPr>
      <w:r>
        <w:rPr>
          <w:rFonts w:ascii="Arial" w:cs="Arial" w:eastAsia="Arial" w:hAnsi="Arial"/>
          <w:sz w:val="18"/>
          <w:szCs w:val="18"/>
          <w:color w:val="auto"/>
        </w:rPr>
        <w:t>GCA Services Group,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Associated Facility Management, LLC</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GCA Cleaning Specialties, LP</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GCA Services Group Mountain States, LP</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GCA Services Group of Texas, LP</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Associated Facility Ventures, LLC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GCA Education Services,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GCA Education Services Central States,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GCA Education Services of New England,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GCA K12 Education Services,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GCA Nuclear Facility Services,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GCA Production Services,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GCA Services Group of California,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GCA Services Group of Colorado,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GCA Services Group of North Carolina,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GCA Services Group of Northwestern States,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GCA Staffing Services,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National Building Maintenance Corp.</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IFM Assurance Company</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Linc International, Inc.</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Linc Facility Services Iraq LLC</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Wassl Al-Iraq Project Services &amp; General Contracting LLPC</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Linc Facility Services ME, LLC</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Linc Facility Services Saudi Arabia,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North Carolina</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Iraq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200" w:lineRule="exact"/>
        <w:rPr>
          <w:sz w:val="20"/>
          <w:szCs w:val="20"/>
          <w:color w:val="auto"/>
        </w:rPr>
      </w:pPr>
    </w:p>
    <w:p>
      <w:pPr>
        <w:sectPr>
          <w:pgSz w:w="11900" w:h="16838" w:orient="portrait"/>
          <w:cols w:equalWidth="0" w:num="2">
            <w:col w:w="7680" w:space="720"/>
            <w:col w:w="1739"/>
          </w:cols>
          <w:pgMar w:left="320" w:top="1300" w:right="1440" w:bottom="144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*Subsidiary relationship to Company or to subsidiary parents shown by progressive indentation.</w:t>
      </w:r>
    </w:p>
    <w:p>
      <w:pPr>
        <w:sectPr>
          <w:pgSz w:w="11900" w:h="16838" w:orient="portrait"/>
          <w:cols w:equalWidth="0" w:num="1">
            <w:col w:w="10139"/>
          </w:cols>
          <w:pgMar w:left="320" w:top="1300" w:right="1440"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statements listed below of our reports dated December 22, 2021, with respect to the consolidated financial statements and financial statement schedule II of ABM Industries Incorporated and the effectiveness of internal control over financial reporting.</w:t>
      </w:r>
    </w:p>
    <w:p>
      <w:pPr>
        <w:spacing w:after="0" w:line="202" w:lineRule="exact"/>
        <w:rPr>
          <w:sz w:val="20"/>
          <w:szCs w:val="20"/>
          <w:color w:val="auto"/>
        </w:rPr>
      </w:pPr>
    </w:p>
    <w:tbl>
      <w:tblPr>
        <w:tblLayout w:type="fixed"/>
        <w:tblInd w:w="760" w:type="dxa"/>
        <w:tblCellMar>
          <w:top w:w="0" w:type="dxa"/>
          <w:left w:w="0" w:type="dxa"/>
          <w:bottom w:w="0" w:type="dxa"/>
          <w:right w:w="0" w:type="dxa"/>
        </w:tblCellMar>
      </w:tblPr>
      <w:tr>
        <w:trPr>
          <w:trHeight w:val="217"/>
        </w:trPr>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Registration No.</w:t>
            </w: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Form</w:t>
            </w:r>
          </w:p>
        </w:tc>
        <w:tc>
          <w:tcPr>
            <w:tcW w:w="8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Plan</w:t>
            </w:r>
          </w:p>
        </w:tc>
        <w:tc>
          <w:tcPr>
            <w:tcW w:w="5820" w:type="dxa"/>
            <w:vAlign w:val="bottom"/>
            <w:tcBorders>
              <w:bottom w:val="single" w:sz="8" w:color="auto"/>
            </w:tcBorders>
          </w:tcPr>
          <w:p>
            <w:pPr>
              <w:spacing w:after="0"/>
              <w:rPr>
                <w:sz w:val="18"/>
                <w:szCs w:val="18"/>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333-78423</w:t>
            </w:r>
          </w:p>
        </w:tc>
        <w:tc>
          <w:tcPr>
            <w:tcW w:w="1320" w:type="dxa"/>
            <w:vAlign w:val="bottom"/>
          </w:tcPr>
          <w:p>
            <w:pPr>
              <w:ind w:left="480"/>
              <w:spacing w:after="0"/>
              <w:rPr>
                <w:sz w:val="20"/>
                <w:szCs w:val="20"/>
                <w:color w:val="auto"/>
              </w:rPr>
            </w:pPr>
            <w:r>
              <w:rPr>
                <w:rFonts w:ascii="Arial" w:cs="Arial" w:eastAsia="Arial" w:hAnsi="Arial"/>
                <w:sz w:val="18"/>
                <w:szCs w:val="18"/>
                <w:color w:val="auto"/>
              </w:rPr>
              <w:t>S-8</w:t>
            </w: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“Age-Vested” Career Stock Option Plan</w:t>
            </w:r>
          </w:p>
        </w:tc>
      </w:tr>
      <w:tr>
        <w:trPr>
          <w:trHeight w:val="229"/>
        </w:trPr>
        <w:tc>
          <w:tcPr>
            <w:tcW w:w="1760" w:type="dxa"/>
            <w:vAlign w:val="bottom"/>
          </w:tcPr>
          <w:p>
            <w:pPr>
              <w:spacing w:after="0"/>
              <w:rPr>
                <w:sz w:val="20"/>
                <w:szCs w:val="20"/>
                <w:color w:val="auto"/>
              </w:rPr>
            </w:pPr>
            <w:r>
              <w:rPr>
                <w:rFonts w:ascii="Arial" w:cs="Arial" w:eastAsia="Arial" w:hAnsi="Arial"/>
                <w:sz w:val="18"/>
                <w:szCs w:val="18"/>
                <w:color w:val="auto"/>
              </w:rPr>
              <w:t>333-78421</w:t>
            </w:r>
          </w:p>
        </w:tc>
        <w:tc>
          <w:tcPr>
            <w:tcW w:w="1320" w:type="dxa"/>
            <w:vAlign w:val="bottom"/>
          </w:tcPr>
          <w:p>
            <w:pPr>
              <w:ind w:left="480"/>
              <w:spacing w:after="0"/>
              <w:rPr>
                <w:sz w:val="20"/>
                <w:szCs w:val="20"/>
                <w:color w:val="auto"/>
              </w:rPr>
            </w:pPr>
            <w:r>
              <w:rPr>
                <w:rFonts w:ascii="Arial" w:cs="Arial" w:eastAsia="Arial" w:hAnsi="Arial"/>
                <w:sz w:val="18"/>
                <w:szCs w:val="18"/>
                <w:color w:val="auto"/>
              </w:rPr>
              <w:t>S-8</w:t>
            </w: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“Time-Vested” Incentive Stock Option Plan</w:t>
            </w:r>
          </w:p>
        </w:tc>
      </w:tr>
      <w:tr>
        <w:trPr>
          <w:trHeight w:val="229"/>
        </w:trPr>
        <w:tc>
          <w:tcPr>
            <w:tcW w:w="1760" w:type="dxa"/>
            <w:vAlign w:val="bottom"/>
          </w:tcPr>
          <w:p>
            <w:pPr>
              <w:spacing w:after="0"/>
              <w:rPr>
                <w:sz w:val="20"/>
                <w:szCs w:val="20"/>
                <w:color w:val="auto"/>
              </w:rPr>
            </w:pPr>
            <w:r>
              <w:rPr>
                <w:rFonts w:ascii="Arial" w:cs="Arial" w:eastAsia="Arial" w:hAnsi="Arial"/>
                <w:sz w:val="18"/>
                <w:szCs w:val="18"/>
                <w:color w:val="auto"/>
              </w:rPr>
              <w:t>333-48857</w:t>
            </w:r>
          </w:p>
        </w:tc>
        <w:tc>
          <w:tcPr>
            <w:tcW w:w="1320" w:type="dxa"/>
            <w:vAlign w:val="bottom"/>
          </w:tcPr>
          <w:p>
            <w:pPr>
              <w:ind w:left="48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1996</w:t>
            </w:r>
          </w:p>
        </w:tc>
        <w:tc>
          <w:tcPr>
            <w:tcW w:w="5820" w:type="dxa"/>
            <w:vAlign w:val="bottom"/>
          </w:tcPr>
          <w:p>
            <w:pPr>
              <w:ind w:left="20"/>
              <w:spacing w:after="0"/>
              <w:rPr>
                <w:sz w:val="20"/>
                <w:szCs w:val="20"/>
                <w:color w:val="auto"/>
              </w:rPr>
            </w:pPr>
            <w:r>
              <w:rPr>
                <w:rFonts w:ascii="Arial" w:cs="Arial" w:eastAsia="Arial" w:hAnsi="Arial"/>
                <w:sz w:val="18"/>
                <w:szCs w:val="18"/>
                <w:color w:val="auto"/>
              </w:rPr>
              <w:t>Price Vested Performance Stock Option Plan</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333-85390</w:t>
            </w:r>
          </w:p>
        </w:tc>
        <w:tc>
          <w:tcPr>
            <w:tcW w:w="1320" w:type="dxa"/>
            <w:vAlign w:val="bottom"/>
          </w:tcPr>
          <w:p>
            <w:pPr>
              <w:ind w:left="48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2002</w:t>
            </w:r>
          </w:p>
        </w:tc>
        <w:tc>
          <w:tcPr>
            <w:tcW w:w="5820" w:type="dxa"/>
            <w:vAlign w:val="bottom"/>
          </w:tcPr>
          <w:p>
            <w:pPr>
              <w:ind w:left="20"/>
              <w:spacing w:after="0"/>
              <w:rPr>
                <w:sz w:val="20"/>
                <w:szCs w:val="20"/>
                <w:color w:val="auto"/>
              </w:rPr>
            </w:pPr>
            <w:r>
              <w:rPr>
                <w:rFonts w:ascii="Arial" w:cs="Arial" w:eastAsia="Arial" w:hAnsi="Arial"/>
                <w:sz w:val="18"/>
                <w:szCs w:val="18"/>
                <w:color w:val="auto"/>
              </w:rPr>
              <w:t>Price Vested Performance Stock Option Plan</w:t>
            </w:r>
          </w:p>
        </w:tc>
      </w:tr>
      <w:tr>
        <w:trPr>
          <w:trHeight w:val="229"/>
        </w:trPr>
        <w:tc>
          <w:tcPr>
            <w:tcW w:w="1760" w:type="dxa"/>
            <w:vAlign w:val="bottom"/>
          </w:tcPr>
          <w:p>
            <w:pPr>
              <w:spacing w:after="0"/>
              <w:rPr>
                <w:sz w:val="20"/>
                <w:szCs w:val="20"/>
                <w:color w:val="auto"/>
              </w:rPr>
            </w:pPr>
            <w:r>
              <w:rPr>
                <w:rFonts w:ascii="Arial" w:cs="Arial" w:eastAsia="Arial" w:hAnsi="Arial"/>
                <w:sz w:val="18"/>
                <w:szCs w:val="18"/>
                <w:color w:val="auto"/>
              </w:rPr>
              <w:t>333-116487</w:t>
            </w:r>
          </w:p>
        </w:tc>
        <w:tc>
          <w:tcPr>
            <w:tcW w:w="1320" w:type="dxa"/>
            <w:vAlign w:val="bottom"/>
          </w:tcPr>
          <w:p>
            <w:pPr>
              <w:ind w:left="48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2004</w:t>
            </w:r>
          </w:p>
        </w:tc>
        <w:tc>
          <w:tcPr>
            <w:tcW w:w="58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333-137241</w:t>
            </w:r>
          </w:p>
        </w:tc>
        <w:tc>
          <w:tcPr>
            <w:tcW w:w="1320" w:type="dxa"/>
            <w:vAlign w:val="bottom"/>
          </w:tcPr>
          <w:p>
            <w:pPr>
              <w:ind w:left="48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2006</w:t>
            </w:r>
          </w:p>
        </w:tc>
        <w:tc>
          <w:tcPr>
            <w:tcW w:w="5820" w:type="dxa"/>
            <w:vAlign w:val="bottom"/>
          </w:tcPr>
          <w:p>
            <w:pPr>
              <w:ind w:left="20"/>
              <w:spacing w:after="0"/>
              <w:rPr>
                <w:sz w:val="20"/>
                <w:szCs w:val="20"/>
                <w:color w:val="auto"/>
              </w:rPr>
            </w:pPr>
            <w:r>
              <w:rPr>
                <w:rFonts w:ascii="Arial" w:cs="Arial" w:eastAsia="Arial" w:hAnsi="Arial"/>
                <w:sz w:val="18"/>
                <w:szCs w:val="18"/>
                <w:color w:val="auto"/>
              </w:rPr>
              <w:t>Equity Incentive Plan</w:t>
            </w:r>
          </w:p>
        </w:tc>
      </w:tr>
      <w:tr>
        <w:trPr>
          <w:trHeight w:val="229"/>
        </w:trPr>
        <w:tc>
          <w:tcPr>
            <w:tcW w:w="1760" w:type="dxa"/>
            <w:vAlign w:val="bottom"/>
          </w:tcPr>
          <w:p>
            <w:pPr>
              <w:spacing w:after="0"/>
              <w:rPr>
                <w:sz w:val="20"/>
                <w:szCs w:val="20"/>
                <w:color w:val="auto"/>
              </w:rPr>
            </w:pPr>
            <w:r>
              <w:rPr>
                <w:rFonts w:ascii="Arial" w:cs="Arial" w:eastAsia="Arial" w:hAnsi="Arial"/>
                <w:sz w:val="18"/>
                <w:szCs w:val="18"/>
                <w:color w:val="auto"/>
              </w:rPr>
              <w:t>333-159770</w:t>
            </w:r>
          </w:p>
        </w:tc>
        <w:tc>
          <w:tcPr>
            <w:tcW w:w="1320" w:type="dxa"/>
            <w:vAlign w:val="bottom"/>
          </w:tcPr>
          <w:p>
            <w:pPr>
              <w:ind w:left="48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2006</w:t>
            </w:r>
          </w:p>
        </w:tc>
        <w:tc>
          <w:tcPr>
            <w:tcW w:w="5820" w:type="dxa"/>
            <w:vAlign w:val="bottom"/>
          </w:tcPr>
          <w:p>
            <w:pPr>
              <w:ind w:left="20"/>
              <w:spacing w:after="0"/>
              <w:rPr>
                <w:sz w:val="20"/>
                <w:szCs w:val="20"/>
                <w:color w:val="auto"/>
              </w:rPr>
            </w:pPr>
            <w:r>
              <w:rPr>
                <w:rFonts w:ascii="Arial" w:cs="Arial" w:eastAsia="Arial" w:hAnsi="Arial"/>
                <w:sz w:val="18"/>
                <w:szCs w:val="18"/>
                <w:color w:val="auto"/>
              </w:rPr>
              <w:t>Equity Incentive Plan</w:t>
            </w:r>
          </w:p>
        </w:tc>
      </w:tr>
      <w:tr>
        <w:trPr>
          <w:trHeight w:val="229"/>
        </w:trPr>
        <w:tc>
          <w:tcPr>
            <w:tcW w:w="1760" w:type="dxa"/>
            <w:vAlign w:val="bottom"/>
          </w:tcPr>
          <w:p>
            <w:pPr>
              <w:spacing w:after="0"/>
              <w:rPr>
                <w:sz w:val="20"/>
                <w:szCs w:val="20"/>
                <w:color w:val="auto"/>
              </w:rPr>
            </w:pPr>
            <w:r>
              <w:rPr>
                <w:rFonts w:ascii="Arial" w:cs="Arial" w:eastAsia="Arial" w:hAnsi="Arial"/>
                <w:sz w:val="18"/>
                <w:szCs w:val="18"/>
                <w:color w:val="auto"/>
              </w:rPr>
              <w:t>333-167464</w:t>
            </w:r>
          </w:p>
        </w:tc>
        <w:tc>
          <w:tcPr>
            <w:tcW w:w="1320" w:type="dxa"/>
            <w:vAlign w:val="bottom"/>
          </w:tcPr>
          <w:p>
            <w:pPr>
              <w:ind w:left="48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2004</w:t>
            </w:r>
          </w:p>
        </w:tc>
        <w:tc>
          <w:tcPr>
            <w:tcW w:w="58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333-179991</w:t>
            </w:r>
          </w:p>
        </w:tc>
        <w:tc>
          <w:tcPr>
            <w:tcW w:w="1320" w:type="dxa"/>
            <w:vAlign w:val="bottom"/>
          </w:tcPr>
          <w:p>
            <w:pPr>
              <w:ind w:left="48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2006</w:t>
            </w:r>
          </w:p>
        </w:tc>
        <w:tc>
          <w:tcPr>
            <w:tcW w:w="5820" w:type="dxa"/>
            <w:vAlign w:val="bottom"/>
          </w:tcPr>
          <w:p>
            <w:pPr>
              <w:ind w:left="20"/>
              <w:spacing w:after="0"/>
              <w:rPr>
                <w:sz w:val="20"/>
                <w:szCs w:val="20"/>
                <w:color w:val="auto"/>
              </w:rPr>
            </w:pPr>
            <w:r>
              <w:rPr>
                <w:rFonts w:ascii="Arial" w:cs="Arial" w:eastAsia="Arial" w:hAnsi="Arial"/>
                <w:sz w:val="18"/>
                <w:szCs w:val="18"/>
                <w:color w:val="auto"/>
              </w:rPr>
              <w:t>Equity Incentive Plan</w:t>
            </w:r>
          </w:p>
        </w:tc>
      </w:tr>
      <w:tr>
        <w:trPr>
          <w:trHeight w:val="229"/>
        </w:trPr>
        <w:tc>
          <w:tcPr>
            <w:tcW w:w="1760" w:type="dxa"/>
            <w:vAlign w:val="bottom"/>
          </w:tcPr>
          <w:p>
            <w:pPr>
              <w:spacing w:after="0"/>
              <w:rPr>
                <w:sz w:val="20"/>
                <w:szCs w:val="20"/>
                <w:color w:val="auto"/>
              </w:rPr>
            </w:pPr>
            <w:r>
              <w:rPr>
                <w:rFonts w:ascii="Arial" w:cs="Arial" w:eastAsia="Arial" w:hAnsi="Arial"/>
                <w:sz w:val="18"/>
                <w:szCs w:val="18"/>
                <w:color w:val="auto"/>
              </w:rPr>
              <w:t>333-202521</w:t>
            </w:r>
          </w:p>
        </w:tc>
        <w:tc>
          <w:tcPr>
            <w:tcW w:w="1320" w:type="dxa"/>
            <w:vAlign w:val="bottom"/>
          </w:tcPr>
          <w:p>
            <w:pPr>
              <w:ind w:left="48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2006</w:t>
            </w:r>
          </w:p>
        </w:tc>
        <w:tc>
          <w:tcPr>
            <w:tcW w:w="5820" w:type="dxa"/>
            <w:vAlign w:val="bottom"/>
          </w:tcPr>
          <w:p>
            <w:pPr>
              <w:ind w:left="20"/>
              <w:spacing w:after="0"/>
              <w:rPr>
                <w:sz w:val="20"/>
                <w:szCs w:val="20"/>
                <w:color w:val="auto"/>
              </w:rPr>
            </w:pPr>
            <w:r>
              <w:rPr>
                <w:rFonts w:ascii="Arial" w:cs="Arial" w:eastAsia="Arial" w:hAnsi="Arial"/>
                <w:sz w:val="18"/>
                <w:szCs w:val="18"/>
                <w:color w:val="auto"/>
              </w:rPr>
              <w:t>Equity Incentive Plan</w:t>
            </w:r>
          </w:p>
        </w:tc>
      </w:tr>
      <w:tr>
        <w:trPr>
          <w:trHeight w:val="229"/>
        </w:trPr>
        <w:tc>
          <w:tcPr>
            <w:tcW w:w="1760" w:type="dxa"/>
            <w:vAlign w:val="bottom"/>
          </w:tcPr>
          <w:p>
            <w:pPr>
              <w:spacing w:after="0"/>
              <w:rPr>
                <w:sz w:val="20"/>
                <w:szCs w:val="20"/>
                <w:color w:val="auto"/>
              </w:rPr>
            </w:pPr>
            <w:r>
              <w:rPr>
                <w:rFonts w:ascii="Arial" w:cs="Arial" w:eastAsia="Arial" w:hAnsi="Arial"/>
                <w:sz w:val="18"/>
                <w:szCs w:val="18"/>
                <w:color w:val="auto"/>
              </w:rPr>
              <w:t>333-211991</w:t>
            </w:r>
          </w:p>
        </w:tc>
        <w:tc>
          <w:tcPr>
            <w:tcW w:w="1320" w:type="dxa"/>
            <w:vAlign w:val="bottom"/>
          </w:tcPr>
          <w:p>
            <w:pPr>
              <w:ind w:left="48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2004</w:t>
            </w:r>
          </w:p>
        </w:tc>
        <w:tc>
          <w:tcPr>
            <w:tcW w:w="58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333-223233</w:t>
            </w:r>
          </w:p>
        </w:tc>
        <w:tc>
          <w:tcPr>
            <w:tcW w:w="1320" w:type="dxa"/>
            <w:vAlign w:val="bottom"/>
          </w:tcPr>
          <w:p>
            <w:pPr>
              <w:ind w:left="480"/>
              <w:spacing w:after="0"/>
              <w:rPr>
                <w:sz w:val="20"/>
                <w:szCs w:val="20"/>
                <w:color w:val="auto"/>
              </w:rPr>
            </w:pPr>
            <w:r>
              <w:rPr>
                <w:rFonts w:ascii="Arial" w:cs="Arial" w:eastAsia="Arial" w:hAnsi="Arial"/>
                <w:sz w:val="18"/>
                <w:szCs w:val="18"/>
                <w:color w:val="auto"/>
              </w:rPr>
              <w:t>S-3</w:t>
            </w: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ABM Industries Automatic Shelf Registration Statement</w:t>
            </w:r>
          </w:p>
        </w:tc>
      </w:tr>
      <w:tr>
        <w:trPr>
          <w:trHeight w:val="229"/>
        </w:trPr>
        <w:tc>
          <w:tcPr>
            <w:tcW w:w="1760" w:type="dxa"/>
            <w:vAlign w:val="bottom"/>
          </w:tcPr>
          <w:p>
            <w:pPr>
              <w:spacing w:after="0"/>
              <w:rPr>
                <w:sz w:val="20"/>
                <w:szCs w:val="20"/>
                <w:color w:val="auto"/>
              </w:rPr>
            </w:pPr>
            <w:r>
              <w:rPr>
                <w:rFonts w:ascii="Arial" w:cs="Arial" w:eastAsia="Arial" w:hAnsi="Arial"/>
                <w:sz w:val="18"/>
                <w:szCs w:val="18"/>
                <w:color w:val="auto"/>
              </w:rPr>
              <w:t>333-224183</w:t>
            </w:r>
          </w:p>
        </w:tc>
        <w:tc>
          <w:tcPr>
            <w:tcW w:w="1320" w:type="dxa"/>
            <w:vAlign w:val="bottom"/>
          </w:tcPr>
          <w:p>
            <w:pPr>
              <w:ind w:left="48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2006</w:t>
            </w:r>
          </w:p>
        </w:tc>
        <w:tc>
          <w:tcPr>
            <w:tcW w:w="5820" w:type="dxa"/>
            <w:vAlign w:val="bottom"/>
          </w:tcPr>
          <w:p>
            <w:pPr>
              <w:ind w:left="20"/>
              <w:spacing w:after="0"/>
              <w:rPr>
                <w:sz w:val="20"/>
                <w:szCs w:val="20"/>
                <w:color w:val="auto"/>
              </w:rPr>
            </w:pPr>
            <w:r>
              <w:rPr>
                <w:rFonts w:ascii="Arial" w:cs="Arial" w:eastAsia="Arial" w:hAnsi="Arial"/>
                <w:sz w:val="18"/>
                <w:szCs w:val="18"/>
                <w:color w:val="auto"/>
              </w:rPr>
              <w:t>Equity Incentive Plan</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333-254769</w:t>
            </w:r>
          </w:p>
        </w:tc>
        <w:tc>
          <w:tcPr>
            <w:tcW w:w="1320" w:type="dxa"/>
            <w:vAlign w:val="bottom"/>
          </w:tcPr>
          <w:p>
            <w:pPr>
              <w:ind w:left="48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2021</w:t>
            </w:r>
          </w:p>
        </w:tc>
        <w:tc>
          <w:tcPr>
            <w:tcW w:w="5820" w:type="dxa"/>
            <w:vAlign w:val="bottom"/>
          </w:tcPr>
          <w:p>
            <w:pPr>
              <w:ind w:left="20"/>
              <w:spacing w:after="0"/>
              <w:rPr>
                <w:sz w:val="20"/>
                <w:szCs w:val="20"/>
                <w:color w:val="auto"/>
              </w:rPr>
            </w:pPr>
            <w:r>
              <w:rPr>
                <w:rFonts w:ascii="Arial" w:cs="Arial" w:eastAsia="Arial" w:hAnsi="Arial"/>
                <w:sz w:val="18"/>
                <w:szCs w:val="18"/>
                <w:color w:val="auto"/>
              </w:rPr>
              <w:t>Equity and Incentive Compensation Plan</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22, 2021</w:t>
      </w:r>
    </w:p>
    <w:p>
      <w:pPr>
        <w:sectPr>
          <w:pgSz w:w="11900" w:h="16838" w:orient="portrait"/>
          <w:cols w:equalWidth="0" w:num="1">
            <w:col w:w="11240"/>
          </w:cols>
          <w:pgMar w:left="320" w:top="118"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 Scott Salmirs, certify that:</w:t>
      </w:r>
    </w:p>
    <w:p>
      <w:pPr>
        <w:spacing w:after="0" w:line="185" w:lineRule="exact"/>
        <w:rPr>
          <w:sz w:val="20"/>
          <w:szCs w:val="20"/>
          <w:color w:val="auto"/>
        </w:rPr>
      </w:pPr>
    </w:p>
    <w:p>
      <w:pPr>
        <w:ind w:left="360" w:hanging="352"/>
        <w:spacing w:after="0"/>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ABM Industries Incorporated;</w:t>
      </w:r>
    </w:p>
    <w:p>
      <w:pPr>
        <w:spacing w:after="0" w:line="198" w:lineRule="exact"/>
        <w:rPr>
          <w:rFonts w:ascii="Arial" w:cs="Arial" w:eastAsia="Arial" w:hAnsi="Arial"/>
          <w:sz w:val="18"/>
          <w:szCs w:val="18"/>
          <w:color w:val="auto"/>
        </w:rPr>
      </w:pPr>
    </w:p>
    <w:p>
      <w:pPr>
        <w:ind w:left="340" w:right="40" w:hanging="332"/>
        <w:spacing w:after="0" w:line="256" w:lineRule="auto"/>
        <w:tabs>
          <w:tab w:leader="none" w:pos="366"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8"/>
          <w:szCs w:val="18"/>
          <w:color w:val="auto"/>
        </w:rPr>
      </w:pPr>
    </w:p>
    <w:p>
      <w:pPr>
        <w:ind w:left="340" w:right="160" w:hanging="332"/>
        <w:spacing w:after="0" w:line="291" w:lineRule="auto"/>
        <w:tabs>
          <w:tab w:leader="none" w:pos="366"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340" w:right="140" w:hanging="332"/>
        <w:spacing w:after="0" w:line="265" w:lineRule="auto"/>
        <w:tabs>
          <w:tab w:leader="none" w:pos="36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98" w:lineRule="exact"/>
        <w:rPr>
          <w:rFonts w:ascii="Arial" w:cs="Arial" w:eastAsia="Arial" w:hAnsi="Arial"/>
          <w:sz w:val="17"/>
          <w:szCs w:val="17"/>
          <w:color w:val="auto"/>
        </w:rPr>
      </w:pPr>
    </w:p>
    <w:p>
      <w:pPr>
        <w:ind w:left="660" w:right="60" w:hanging="328"/>
        <w:spacing w:after="0" w:line="256" w:lineRule="auto"/>
        <w:tabs>
          <w:tab w:leader="none" w:pos="696"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8"/>
          <w:szCs w:val="18"/>
          <w:color w:val="auto"/>
        </w:rPr>
      </w:pPr>
    </w:p>
    <w:p>
      <w:pPr>
        <w:ind w:left="660" w:right="100" w:hanging="328"/>
        <w:spacing w:after="0" w:line="256" w:lineRule="auto"/>
        <w:tabs>
          <w:tab w:leader="none" w:pos="696"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8"/>
          <w:szCs w:val="18"/>
          <w:color w:val="auto"/>
        </w:rPr>
      </w:pPr>
    </w:p>
    <w:p>
      <w:pPr>
        <w:ind w:left="660" w:right="60" w:hanging="328"/>
        <w:spacing w:after="0" w:line="256" w:lineRule="auto"/>
        <w:tabs>
          <w:tab w:leader="none" w:pos="686"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8"/>
          <w:szCs w:val="18"/>
          <w:color w:val="auto"/>
        </w:rPr>
      </w:pPr>
    </w:p>
    <w:p>
      <w:pPr>
        <w:ind w:left="660" w:right="360" w:hanging="328"/>
        <w:spacing w:after="0" w:line="256" w:lineRule="auto"/>
        <w:tabs>
          <w:tab w:leader="none" w:pos="696"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8"/>
          <w:szCs w:val="18"/>
          <w:color w:val="auto"/>
        </w:rPr>
      </w:pPr>
    </w:p>
    <w:p>
      <w:pPr>
        <w:ind w:left="340" w:right="140" w:hanging="332"/>
        <w:spacing w:after="0" w:line="256" w:lineRule="auto"/>
        <w:tabs>
          <w:tab w:leader="none" w:pos="36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8"/>
          <w:szCs w:val="18"/>
          <w:color w:val="auto"/>
        </w:rPr>
      </w:pPr>
    </w:p>
    <w:p>
      <w:pPr>
        <w:ind w:left="660" w:right="240" w:hanging="328"/>
        <w:spacing w:after="0" w:line="261" w:lineRule="auto"/>
        <w:tabs>
          <w:tab w:leader="none" w:pos="686"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60" w:hanging="328"/>
        <w:spacing w:after="0" w:line="261" w:lineRule="auto"/>
        <w:tabs>
          <w:tab w:leader="none" w:pos="686"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2220" w:type="dxa"/>
            <w:vAlign w:val="bottom"/>
          </w:tcPr>
          <w:p>
            <w:pPr>
              <w:spacing w:after="0"/>
              <w:rPr>
                <w:sz w:val="20"/>
                <w:szCs w:val="20"/>
                <w:color w:val="auto"/>
              </w:rPr>
            </w:pPr>
            <w:r>
              <w:rPr>
                <w:rFonts w:ascii="Arial" w:cs="Arial" w:eastAsia="Arial" w:hAnsi="Arial"/>
                <w:sz w:val="18"/>
                <w:szCs w:val="18"/>
                <w:color w:val="auto"/>
              </w:rPr>
              <w:t>December 22, 2021</w:t>
            </w: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Scott Salmirs</w:t>
            </w:r>
          </w:p>
        </w:tc>
        <w:tc>
          <w:tcPr>
            <w:tcW w:w="920" w:type="dxa"/>
            <w:vAlign w:val="bottom"/>
          </w:tcPr>
          <w:p>
            <w:pPr>
              <w:spacing w:after="0"/>
              <w:rPr>
                <w:sz w:val="18"/>
                <w:szCs w:val="18"/>
                <w:color w:val="auto"/>
              </w:rPr>
            </w:pPr>
          </w:p>
        </w:tc>
      </w:tr>
      <w:tr>
        <w:trPr>
          <w:trHeight w:val="250"/>
        </w:trPr>
        <w:tc>
          <w:tcPr>
            <w:tcW w:w="2220" w:type="dxa"/>
            <w:vAlign w:val="bottom"/>
          </w:tcPr>
          <w:p>
            <w:pPr>
              <w:spacing w:after="0"/>
              <w:rPr>
                <w:sz w:val="21"/>
                <w:szCs w:val="21"/>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Scott Salmirs</w:t>
            </w:r>
          </w:p>
        </w:tc>
      </w:tr>
      <w:tr>
        <w:trPr>
          <w:trHeight w:val="230"/>
        </w:trPr>
        <w:tc>
          <w:tcPr>
            <w:tcW w:w="2220" w:type="dxa"/>
            <w:vAlign w:val="bottom"/>
          </w:tcPr>
          <w:p>
            <w:pPr>
              <w:spacing w:after="0"/>
              <w:rPr>
                <w:sz w:val="19"/>
                <w:szCs w:val="19"/>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29"/>
        </w:trPr>
        <w:tc>
          <w:tcPr>
            <w:tcW w:w="2220" w:type="dxa"/>
            <w:vAlign w:val="bottom"/>
          </w:tcPr>
          <w:p>
            <w:pPr>
              <w:spacing w:after="0"/>
              <w:rPr>
                <w:sz w:val="19"/>
                <w:szCs w:val="19"/>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w w:val="99"/>
              </w:rPr>
              <w:t>(Principal Executive Officer)</w:t>
            </w:r>
          </w:p>
        </w:tc>
      </w:tr>
    </w:tbl>
    <w:p>
      <w:pPr>
        <w:sectPr>
          <w:pgSz w:w="11900" w:h="16838" w:orient="portrait"/>
          <w:cols w:equalWidth="0" w:num="1">
            <w:col w:w="11240"/>
          </w:cols>
          <w:pgMar w:left="320" w:top="118"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Earl R. Ellis, certify that:</w:t>
      </w:r>
    </w:p>
    <w:p>
      <w:pPr>
        <w:spacing w:after="0" w:line="185" w:lineRule="exact"/>
        <w:rPr>
          <w:sz w:val="20"/>
          <w:szCs w:val="20"/>
          <w:color w:val="auto"/>
        </w:rPr>
      </w:pPr>
    </w:p>
    <w:p>
      <w:pPr>
        <w:ind w:left="200" w:hanging="192"/>
        <w:spacing w:after="0"/>
        <w:tabs>
          <w:tab w:leader="none" w:pos="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ABM Industries Incorporated;</w:t>
      </w:r>
    </w:p>
    <w:p>
      <w:pPr>
        <w:spacing w:after="0" w:line="198" w:lineRule="exact"/>
        <w:rPr>
          <w:rFonts w:ascii="Arial" w:cs="Arial" w:eastAsia="Arial" w:hAnsi="Arial"/>
          <w:sz w:val="18"/>
          <w:szCs w:val="18"/>
          <w:color w:val="auto"/>
        </w:rPr>
      </w:pPr>
    </w:p>
    <w:p>
      <w:pPr>
        <w:ind w:left="340" w:right="40" w:hanging="332"/>
        <w:spacing w:after="0" w:line="256" w:lineRule="auto"/>
        <w:tabs>
          <w:tab w:leader="none" w:pos="366"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8"/>
          <w:szCs w:val="18"/>
          <w:color w:val="auto"/>
        </w:rPr>
      </w:pPr>
    </w:p>
    <w:p>
      <w:pPr>
        <w:ind w:left="340" w:right="160" w:hanging="332"/>
        <w:spacing w:after="0" w:line="291" w:lineRule="auto"/>
        <w:tabs>
          <w:tab w:leader="none" w:pos="366"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340" w:right="140" w:hanging="332"/>
        <w:spacing w:after="0" w:line="265" w:lineRule="auto"/>
        <w:tabs>
          <w:tab w:leader="none" w:pos="363"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98" w:lineRule="exact"/>
        <w:rPr>
          <w:rFonts w:ascii="Arial" w:cs="Arial" w:eastAsia="Arial" w:hAnsi="Arial"/>
          <w:sz w:val="17"/>
          <w:szCs w:val="17"/>
          <w:color w:val="auto"/>
        </w:rPr>
      </w:pPr>
    </w:p>
    <w:p>
      <w:pPr>
        <w:ind w:left="660" w:right="60" w:hanging="328"/>
        <w:spacing w:after="0" w:line="256" w:lineRule="auto"/>
        <w:tabs>
          <w:tab w:leader="none" w:pos="696"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8"/>
          <w:szCs w:val="18"/>
          <w:color w:val="auto"/>
        </w:rPr>
      </w:pPr>
    </w:p>
    <w:p>
      <w:pPr>
        <w:ind w:left="660" w:right="100" w:hanging="328"/>
        <w:spacing w:after="0" w:line="256" w:lineRule="auto"/>
        <w:tabs>
          <w:tab w:leader="none" w:pos="696"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8"/>
          <w:szCs w:val="18"/>
          <w:color w:val="auto"/>
        </w:rPr>
      </w:pPr>
    </w:p>
    <w:p>
      <w:pPr>
        <w:ind w:left="660" w:right="60" w:hanging="328"/>
        <w:spacing w:after="0" w:line="256" w:lineRule="auto"/>
        <w:tabs>
          <w:tab w:leader="none" w:pos="686"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8"/>
          <w:szCs w:val="18"/>
          <w:color w:val="auto"/>
        </w:rPr>
      </w:pPr>
    </w:p>
    <w:p>
      <w:pPr>
        <w:ind w:left="660" w:right="360" w:hanging="328"/>
        <w:spacing w:after="0" w:line="256" w:lineRule="auto"/>
        <w:tabs>
          <w:tab w:leader="none" w:pos="696"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8"/>
          <w:szCs w:val="18"/>
          <w:color w:val="auto"/>
        </w:rPr>
      </w:pPr>
    </w:p>
    <w:p>
      <w:pPr>
        <w:ind w:left="340" w:right="140" w:hanging="332"/>
        <w:spacing w:after="0" w:line="256" w:lineRule="auto"/>
        <w:tabs>
          <w:tab w:leader="none" w:pos="36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8"/>
          <w:szCs w:val="18"/>
          <w:color w:val="auto"/>
        </w:rPr>
      </w:pPr>
    </w:p>
    <w:p>
      <w:pPr>
        <w:ind w:left="660" w:right="240" w:hanging="328"/>
        <w:spacing w:after="0" w:line="261" w:lineRule="auto"/>
        <w:tabs>
          <w:tab w:leader="none" w:pos="686"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60" w:hanging="328"/>
        <w:spacing w:after="0" w:line="261" w:lineRule="auto"/>
        <w:tabs>
          <w:tab w:leader="none" w:pos="686"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2220" w:type="dxa"/>
            <w:vAlign w:val="bottom"/>
          </w:tcPr>
          <w:p>
            <w:pPr>
              <w:spacing w:after="0"/>
              <w:rPr>
                <w:sz w:val="20"/>
                <w:szCs w:val="20"/>
                <w:color w:val="auto"/>
              </w:rPr>
            </w:pPr>
            <w:r>
              <w:rPr>
                <w:rFonts w:ascii="Arial" w:cs="Arial" w:eastAsia="Arial" w:hAnsi="Arial"/>
                <w:sz w:val="18"/>
                <w:szCs w:val="18"/>
                <w:color w:val="auto"/>
              </w:rPr>
              <w:t>December 22, 2021</w:t>
            </w:r>
          </w:p>
        </w:tc>
        <w:tc>
          <w:tcPr>
            <w:tcW w:w="2160" w:type="dxa"/>
            <w:vAlign w:val="bottom"/>
            <w:gridSpan w:val="2"/>
          </w:tcPr>
          <w:p>
            <w:pPr>
              <w:spacing w:after="0"/>
              <w:rPr>
                <w:sz w:val="20"/>
                <w:szCs w:val="20"/>
                <w:color w:val="auto"/>
              </w:rPr>
            </w:pPr>
            <w:r>
              <w:rPr>
                <w:rFonts w:ascii="Arial" w:cs="Arial" w:eastAsia="Arial" w:hAnsi="Arial"/>
                <w:sz w:val="18"/>
                <w:szCs w:val="18"/>
                <w:color w:val="auto"/>
              </w:rPr>
              <w:t>/s/ Earl R. Ellis</w:t>
            </w:r>
          </w:p>
        </w:tc>
      </w:tr>
      <w:tr>
        <w:trPr>
          <w:trHeight w:val="250"/>
        </w:trPr>
        <w:tc>
          <w:tcPr>
            <w:tcW w:w="2220" w:type="dxa"/>
            <w:vAlign w:val="bottom"/>
          </w:tcPr>
          <w:p>
            <w:pPr>
              <w:spacing w:after="0"/>
              <w:rPr>
                <w:sz w:val="21"/>
                <w:szCs w:val="21"/>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Earl R. Ellis</w:t>
            </w:r>
          </w:p>
        </w:tc>
        <w:tc>
          <w:tcPr>
            <w:tcW w:w="1000" w:type="dxa"/>
            <w:vAlign w:val="bottom"/>
          </w:tcPr>
          <w:p>
            <w:pPr>
              <w:spacing w:after="0"/>
              <w:rPr>
                <w:sz w:val="21"/>
                <w:szCs w:val="21"/>
                <w:color w:val="auto"/>
              </w:rPr>
            </w:pPr>
          </w:p>
        </w:tc>
      </w:tr>
      <w:tr>
        <w:trPr>
          <w:trHeight w:val="229"/>
        </w:trPr>
        <w:tc>
          <w:tcPr>
            <w:tcW w:w="222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22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w w:val="99"/>
              </w:rPr>
              <w:t>(Principal Financial Officer)</w:t>
            </w:r>
          </w:p>
        </w:tc>
      </w:tr>
    </w:tbl>
    <w:p>
      <w:pPr>
        <w:sectPr>
          <w:pgSz w:w="11900" w:h="16838" w:orient="portrait"/>
          <w:cols w:equalWidth="0" w:num="1">
            <w:col w:w="11240"/>
          </w:cols>
          <w:pgMar w:left="320" w:top="118"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In connection with the Annual Report of ABM Industries Incorporated (the “Company”) for the year ended October 31, 2021, as filed with the Securities and Exchange Commission on the date hereof (the “Report”), Scott Salmirs, Chief Executive Officer of the Company, and Earl R. Ellis,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232" w:lineRule="exact"/>
        <w:rPr>
          <w:sz w:val="20"/>
          <w:szCs w:val="20"/>
          <w:color w:val="auto"/>
        </w:rPr>
      </w:pPr>
    </w:p>
    <w:p>
      <w:pPr>
        <w:ind w:left="980" w:hanging="648"/>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9" w:lineRule="exact"/>
        <w:rPr>
          <w:rFonts w:ascii="Arial" w:cs="Arial" w:eastAsia="Arial" w:hAnsi="Arial"/>
          <w:sz w:val="18"/>
          <w:szCs w:val="18"/>
          <w:color w:val="auto"/>
        </w:rPr>
      </w:pPr>
    </w:p>
    <w:p>
      <w:pPr>
        <w:ind w:left="980" w:right="60" w:hanging="648"/>
        <w:spacing w:after="0" w:line="261" w:lineRule="auto"/>
        <w:tabs>
          <w:tab w:leader="none" w:pos="9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tbl>
      <w:tblPr>
        <w:tblLayout w:type="fixed"/>
        <w:tblInd w:w="4560" w:type="dxa"/>
        <w:tblCellMar>
          <w:top w:w="0" w:type="dxa"/>
          <w:left w:w="0" w:type="dxa"/>
          <w:bottom w:w="0" w:type="dxa"/>
          <w:right w:w="0" w:type="dxa"/>
        </w:tblCellMar>
      </w:tblPr>
      <w:tr>
        <w:trPr>
          <w:trHeight w:val="207"/>
        </w:trPr>
        <w:tc>
          <w:tcPr>
            <w:tcW w:w="2060" w:type="dxa"/>
            <w:vAlign w:val="bottom"/>
          </w:tcPr>
          <w:p>
            <w:pPr>
              <w:spacing w:after="0"/>
              <w:rPr>
                <w:sz w:val="20"/>
                <w:szCs w:val="20"/>
                <w:color w:val="auto"/>
              </w:rPr>
            </w:pPr>
            <w:r>
              <w:rPr>
                <w:rFonts w:ascii="Arial" w:cs="Arial" w:eastAsia="Arial" w:hAnsi="Arial"/>
                <w:sz w:val="18"/>
                <w:szCs w:val="18"/>
                <w:color w:val="auto"/>
              </w:rPr>
              <w:t>December 22, 2021</w:t>
            </w:r>
          </w:p>
        </w:tc>
        <w:tc>
          <w:tcPr>
            <w:tcW w:w="2220" w:type="dxa"/>
            <w:vAlign w:val="bottom"/>
            <w:gridSpan w:val="3"/>
          </w:tcPr>
          <w:p>
            <w:pPr>
              <w:spacing w:after="0"/>
              <w:rPr>
                <w:sz w:val="20"/>
                <w:szCs w:val="20"/>
                <w:color w:val="auto"/>
              </w:rPr>
            </w:pPr>
            <w:r>
              <w:rPr>
                <w:rFonts w:ascii="Arial" w:cs="Arial" w:eastAsia="Arial" w:hAnsi="Arial"/>
                <w:sz w:val="18"/>
                <w:szCs w:val="18"/>
                <w:color w:val="auto"/>
              </w:rPr>
              <w:t>/s/ Scott Salmirs</w:t>
            </w:r>
          </w:p>
        </w:tc>
      </w:tr>
      <w:tr>
        <w:trPr>
          <w:trHeight w:val="250"/>
        </w:trPr>
        <w:tc>
          <w:tcPr>
            <w:tcW w:w="2060" w:type="dxa"/>
            <w:vAlign w:val="bottom"/>
          </w:tcPr>
          <w:p>
            <w:pPr>
              <w:spacing w:after="0"/>
              <w:rPr>
                <w:sz w:val="21"/>
                <w:szCs w:val="21"/>
                <w:color w:val="auto"/>
              </w:rPr>
            </w:pPr>
          </w:p>
        </w:tc>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Scott Salmirs</w:t>
            </w:r>
          </w:p>
        </w:tc>
        <w:tc>
          <w:tcPr>
            <w:tcW w:w="920" w:type="dxa"/>
            <w:vAlign w:val="bottom"/>
          </w:tcPr>
          <w:p>
            <w:pPr>
              <w:spacing w:after="0"/>
              <w:rPr>
                <w:sz w:val="21"/>
                <w:szCs w:val="21"/>
                <w:color w:val="auto"/>
              </w:rPr>
            </w:pPr>
          </w:p>
        </w:tc>
      </w:tr>
      <w:tr>
        <w:trPr>
          <w:trHeight w:val="230"/>
        </w:trPr>
        <w:tc>
          <w:tcPr>
            <w:tcW w:w="2060" w:type="dxa"/>
            <w:vAlign w:val="bottom"/>
          </w:tcPr>
          <w:p>
            <w:pPr>
              <w:spacing w:after="0"/>
              <w:rPr>
                <w:sz w:val="19"/>
                <w:szCs w:val="19"/>
                <w:color w:val="auto"/>
              </w:rPr>
            </w:pPr>
          </w:p>
        </w:tc>
        <w:tc>
          <w:tcPr>
            <w:tcW w:w="222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r>
      <w:tr>
        <w:trPr>
          <w:trHeight w:val="229"/>
        </w:trPr>
        <w:tc>
          <w:tcPr>
            <w:tcW w:w="2060" w:type="dxa"/>
            <w:vAlign w:val="bottom"/>
          </w:tcPr>
          <w:p>
            <w:pPr>
              <w:spacing w:after="0"/>
              <w:rPr>
                <w:sz w:val="19"/>
                <w:szCs w:val="19"/>
                <w:color w:val="auto"/>
              </w:rPr>
            </w:pPr>
          </w:p>
        </w:tc>
        <w:tc>
          <w:tcPr>
            <w:tcW w:w="2220" w:type="dxa"/>
            <w:vAlign w:val="bottom"/>
            <w:gridSpan w:val="3"/>
          </w:tcPr>
          <w:p>
            <w:pPr>
              <w:spacing w:after="0"/>
              <w:rPr>
                <w:sz w:val="20"/>
                <w:szCs w:val="20"/>
                <w:color w:val="auto"/>
              </w:rPr>
            </w:pPr>
            <w:r>
              <w:rPr>
                <w:rFonts w:ascii="Arial" w:cs="Arial" w:eastAsia="Arial" w:hAnsi="Arial"/>
                <w:sz w:val="18"/>
                <w:szCs w:val="18"/>
                <w:color w:val="auto"/>
                <w:w w:val="99"/>
              </w:rPr>
              <w:t>(Principal Executive Officer)</w:t>
            </w:r>
          </w:p>
        </w:tc>
      </w:tr>
      <w:tr>
        <w:trPr>
          <w:trHeight w:val="810"/>
        </w:trPr>
        <w:tc>
          <w:tcPr>
            <w:tcW w:w="2060" w:type="dxa"/>
            <w:vAlign w:val="bottom"/>
          </w:tcPr>
          <w:p>
            <w:pPr>
              <w:spacing w:after="0"/>
              <w:rPr>
                <w:sz w:val="20"/>
                <w:szCs w:val="20"/>
                <w:color w:val="auto"/>
              </w:rPr>
            </w:pPr>
            <w:r>
              <w:rPr>
                <w:rFonts w:ascii="Arial" w:cs="Arial" w:eastAsia="Arial" w:hAnsi="Arial"/>
                <w:sz w:val="18"/>
                <w:szCs w:val="18"/>
                <w:color w:val="auto"/>
              </w:rPr>
              <w:t>December 22, 2021</w:t>
            </w:r>
          </w:p>
        </w:tc>
        <w:tc>
          <w:tcPr>
            <w:tcW w:w="2220" w:type="dxa"/>
            <w:vAlign w:val="bottom"/>
            <w:gridSpan w:val="3"/>
          </w:tcPr>
          <w:p>
            <w:pPr>
              <w:spacing w:after="0"/>
              <w:rPr>
                <w:sz w:val="20"/>
                <w:szCs w:val="20"/>
                <w:color w:val="auto"/>
              </w:rPr>
            </w:pPr>
            <w:r>
              <w:rPr>
                <w:rFonts w:ascii="Arial" w:cs="Arial" w:eastAsia="Arial" w:hAnsi="Arial"/>
                <w:sz w:val="18"/>
                <w:szCs w:val="18"/>
                <w:color w:val="auto"/>
              </w:rPr>
              <w:t>/s/ Earl R. Ellis</w:t>
            </w:r>
          </w:p>
        </w:tc>
      </w:tr>
      <w:tr>
        <w:trPr>
          <w:trHeight w:val="250"/>
        </w:trPr>
        <w:tc>
          <w:tcPr>
            <w:tcW w:w="2060" w:type="dxa"/>
            <w:vAlign w:val="bottom"/>
          </w:tcPr>
          <w:p>
            <w:pPr>
              <w:spacing w:after="0"/>
              <w:rPr>
                <w:sz w:val="21"/>
                <w:szCs w:val="21"/>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Earl R. Ellis</w:t>
            </w:r>
          </w:p>
        </w:tc>
        <w:tc>
          <w:tcPr>
            <w:tcW w:w="1060" w:type="dxa"/>
            <w:vAlign w:val="bottom"/>
            <w:gridSpan w:val="2"/>
          </w:tcPr>
          <w:p>
            <w:pPr>
              <w:spacing w:after="0"/>
              <w:rPr>
                <w:sz w:val="21"/>
                <w:szCs w:val="21"/>
                <w:color w:val="auto"/>
              </w:rPr>
            </w:pPr>
          </w:p>
        </w:tc>
      </w:tr>
      <w:tr>
        <w:trPr>
          <w:trHeight w:val="230"/>
        </w:trPr>
        <w:tc>
          <w:tcPr>
            <w:tcW w:w="2060" w:type="dxa"/>
            <w:vAlign w:val="bottom"/>
          </w:tcPr>
          <w:p>
            <w:pPr>
              <w:spacing w:after="0"/>
              <w:rPr>
                <w:sz w:val="19"/>
                <w:szCs w:val="19"/>
                <w:color w:val="auto"/>
              </w:rPr>
            </w:pPr>
          </w:p>
        </w:tc>
        <w:tc>
          <w:tcPr>
            <w:tcW w:w="222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060" w:type="dxa"/>
            <w:vAlign w:val="bottom"/>
          </w:tcPr>
          <w:p>
            <w:pPr>
              <w:spacing w:after="0"/>
              <w:rPr>
                <w:sz w:val="19"/>
                <w:szCs w:val="19"/>
                <w:color w:val="auto"/>
              </w:rPr>
            </w:pPr>
          </w:p>
        </w:tc>
        <w:tc>
          <w:tcPr>
            <w:tcW w:w="2220" w:type="dxa"/>
            <w:vAlign w:val="bottom"/>
            <w:gridSpan w:val="3"/>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59"/>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lvl w:ilvl="1">
      <w:lvlJc w:val="left"/>
      <w:lvlText w:val="◦"/>
      <w:numFmt w:val="bullet"/>
      <w:start w:val="1"/>
    </w:lvl>
  </w:abstractNum>
  <w:abstractNum w:abstractNumId="9">
    <w:nsid w:val="836C40E"/>
    <w:multiLevelType w:val="hybridMultilevel"/>
    <w:lvl w:ilvl="0">
      <w:lvlJc w:val="left"/>
      <w:lvlText w:val="•"/>
      <w:numFmt w:val="bullet"/>
      <w:start w:val="1"/>
    </w:lvl>
    <w:lvl w:ilvl="1">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decimal"/>
      <w:start w:val="1"/>
    </w:lvl>
    <w:lvl w:ilvl="1">
      <w:lvlJc w:val="left"/>
      <w:lvlText w:val="•"/>
      <w:numFmt w:val="bullet"/>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5"/>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8"/>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lowerRoman"/>
      <w:start w:val="2"/>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71"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84" Type="http://schemas.openxmlformats.org/officeDocument/2006/relationships/image" Target="media/image157.png"/><Relationship Id="rId187" Type="http://schemas.openxmlformats.org/officeDocument/2006/relationships/image" Target="media/image158.png"/><Relationship Id="rId189" Type="http://schemas.openxmlformats.org/officeDocument/2006/relationships/image" Target="media/image159.png"/><Relationship Id="rId209" Type="http://schemas.openxmlformats.org/officeDocument/2006/relationships/image" Target="media/image160.png"/><Relationship Id="rId210" Type="http://schemas.openxmlformats.org/officeDocument/2006/relationships/image" Target="media/image161.png"/><Relationship Id="rId217" Type="http://schemas.openxmlformats.org/officeDocument/2006/relationships/image" Target="media/image162.png"/><Relationship Id="rId218" Type="http://schemas.openxmlformats.org/officeDocument/2006/relationships/image" Target="media/image163.png"/><Relationship Id="rId219" Type="http://schemas.openxmlformats.org/officeDocument/2006/relationships/image" Target="media/image164.png"/><Relationship Id="rId220" Type="http://schemas.openxmlformats.org/officeDocument/2006/relationships/image" Target="media/image165.png"/><Relationship Id="rId221" Type="http://schemas.openxmlformats.org/officeDocument/2006/relationships/image" Target="media/image166.png"/><Relationship Id="rId222" Type="http://schemas.openxmlformats.org/officeDocument/2006/relationships/image" Target="media/image167.png"/><Relationship Id="rId223" Type="http://schemas.openxmlformats.org/officeDocument/2006/relationships/image" Target="media/image168.png"/><Relationship Id="rId224" Type="http://schemas.openxmlformats.org/officeDocument/2006/relationships/image" Target="media/image169.png"/><Relationship Id="rId225" Type="http://schemas.openxmlformats.org/officeDocument/2006/relationships/image" Target="media/image170.png"/><Relationship Id="rId226" Type="http://schemas.openxmlformats.org/officeDocument/2006/relationships/image" Target="media/image171.png"/><Relationship Id="rId227" Type="http://schemas.openxmlformats.org/officeDocument/2006/relationships/image" Target="media/image172.png"/><Relationship Id="rId228" Type="http://schemas.openxmlformats.org/officeDocument/2006/relationships/image" Target="media/image173.png"/><Relationship Id="rId161" Type="http://schemas.openxmlformats.org/officeDocument/2006/relationships/hyperlink" Target="http://www.sec.gov/Archives/edgar/data/771497/000114420418015512/tv488684_ex1-1.htm" TargetMode="External"/><Relationship Id="rId162" Type="http://schemas.openxmlformats.org/officeDocument/2006/relationships/hyperlink" Target="http://www.sec.gov/Archives/edgar/data/771497/000157104917006648/t1702122_ex2-1.htm" TargetMode="External"/><Relationship Id="rId163" Type="http://schemas.openxmlformats.org/officeDocument/2006/relationships/hyperlink" Target="https://www.sec.gov/Archives/edgar/data/771497/000110465921109342/tm2125912d1_ex2-1.htm" TargetMode="External"/><Relationship Id="rId164" Type="http://schemas.openxmlformats.org/officeDocument/2006/relationships/hyperlink" Target="https://www.sec.gov/Archives/edgar/data/771497/000110465920039488/tm2014024d1_ex3-1.htm" TargetMode="External"/><Relationship Id="rId165" Type="http://schemas.openxmlformats.org/officeDocument/2006/relationships/hyperlink" Target="https://www.sec.gov/Archives/edgar/data/771497/000110465920039488/tm2014024d1_ex3-2.htm" TargetMode="External"/><Relationship Id="rId166" Type="http://schemas.openxmlformats.org/officeDocument/2006/relationships/hyperlink" Target="https://www.sec.gov/Archives/edgar/data/771497/000077149720000018/abm10312020ex41.htm" TargetMode="External"/><Relationship Id="rId167" Type="http://schemas.openxmlformats.org/officeDocument/2006/relationships/hyperlink" Target="http://www.sec.gov/Archives/edgar/data/771497/000157104917007803/t1702518_ex10-2.htm" TargetMode="External"/><Relationship Id="rId168" Type="http://schemas.openxmlformats.org/officeDocument/2006/relationships/hyperlink" Target="http://www.sec.gov/Archives/edgar/data/771497/000162828017012508/exhibit103103117.htm" TargetMode="External"/><Relationship Id="rId169" Type="http://schemas.openxmlformats.org/officeDocument/2006/relationships/hyperlink" Target="http://www.sec.gov/Archives/edgar/data/771497/000162828018011684/abm7312018ex101.htm" TargetMode="External"/><Relationship Id="rId170" Type="http://schemas.openxmlformats.org/officeDocument/2006/relationships/hyperlink" Target="http://www.sec.gov/Archives/edgar/data/771497/000162828018011684/abm7312018ex102.htm" TargetMode="External"/><Relationship Id="rId172" Type="http://schemas.openxmlformats.org/officeDocument/2006/relationships/hyperlink" Target="https://www.sec.gov/Archives/edgar/data/771497/000162828020009677/abm4302020ex101.htm" TargetMode="External"/><Relationship Id="rId173" Type="http://schemas.openxmlformats.org/officeDocument/2006/relationships/hyperlink" Target="https://www.sec.gov/Archives/edgar/data/771497/000077149721000026/abm73121ex101.htm" TargetMode="External"/><Relationship Id="rId174" Type="http://schemas.openxmlformats.org/officeDocument/2006/relationships/hyperlink" Target="http://www.sec.gov/Archives/edgar/data/771497/000095013405000777/f04468exv10w17.htm" TargetMode="External"/><Relationship Id="rId175" Type="http://schemas.openxmlformats.org/officeDocument/2006/relationships/hyperlink" Target="http://www.sec.gov/Archives/edgar/data/771497/000095013406017513/f23539exv10w1.htm" TargetMode="External"/><Relationship Id="rId178" Type="http://schemas.openxmlformats.org/officeDocument/2006/relationships/hyperlink" Target="http://www.sec.gov/Archives/edgar/data/771497/000095012310116105/y87222exv10w7.htm" TargetMode="External"/><Relationship Id="rId179" Type="http://schemas.openxmlformats.org/officeDocument/2006/relationships/hyperlink" Target="http://www.sec.gov/Archives/edgar/data/771497/000162828018015372/abm10312018ex109.htm" TargetMode="External"/><Relationship Id="rId180" Type="http://schemas.openxmlformats.org/officeDocument/2006/relationships/hyperlink" Target="http://www.sec.gov/Archives/edgar/data/771497/000114420418013607/tv488007_ex10-1.htm" TargetMode="External"/><Relationship Id="rId181" Type="http://schemas.openxmlformats.org/officeDocument/2006/relationships/hyperlink" Target="https://www.sec.gov/Archives/edgar/data/771497/000110465921042414/tm2111054d1_ex10-1.htm" TargetMode="External"/><Relationship Id="rId182" Type="http://schemas.openxmlformats.org/officeDocument/2006/relationships/hyperlink" Target="http://www.sec.gov/Archives/edgar/data/771497/000162828015004719/abm4302015ex102.htm" TargetMode="External"/><Relationship Id="rId183" Type="http://schemas.openxmlformats.org/officeDocument/2006/relationships/hyperlink" Target="https://www.sec.gov/Archives/edgar/data/771497/000162828020003032/abm1312020ex101.htm" TargetMode="External"/><Relationship Id="rId185" Type="http://schemas.openxmlformats.org/officeDocument/2006/relationships/hyperlink" Target="https://www.sec.gov/Archives/edgar/data/771497/000077149720000018/abm10312020ex1016.htm" TargetMode="External"/><Relationship Id="rId186" Type="http://schemas.openxmlformats.org/officeDocument/2006/relationships/hyperlink" Target="https://www.sec.gov/Archives/edgar/data/771497/000077149720000018/abm10312020ex1017.htm" TargetMode="External"/><Relationship Id="rId188" Type="http://schemas.openxmlformats.org/officeDocument/2006/relationships/hyperlink" Target="https://www.sec.gov/Archives/edgar/data/771497/000077149721000016/abm4302021ex101.htm" TargetMode="External"/><Relationship Id="rId190" Type="http://schemas.openxmlformats.org/officeDocument/2006/relationships/hyperlink" Target="http://www.sec.gov/Archives/edgar/data/771497/000162828015004719/abm4302015ex103.htm" TargetMode="External"/><Relationship Id="rId191" Type="http://schemas.openxmlformats.org/officeDocument/2006/relationships/hyperlink" Target="https://www.sec.gov/Archives/edgar/data/771497/000162828020003032/abm1312020ex102.htm" TargetMode="External"/><Relationship Id="rId192" Type="http://schemas.openxmlformats.org/officeDocument/2006/relationships/hyperlink" Target="https://www.sec.gov/Archives/edgar/data/771497/000077149721000016/abm4302021ex102.htm" TargetMode="External"/><Relationship Id="rId193" Type="http://schemas.openxmlformats.org/officeDocument/2006/relationships/hyperlink" Target="https://www.sec.gov/Archives/edgar/data/771497/000162828019015259/abm10312019ex1018.htm" TargetMode="External"/><Relationship Id="rId194" Type="http://schemas.openxmlformats.org/officeDocument/2006/relationships/hyperlink" Target="https://www.sec.gov/Archives/edgar/data/771497/000162828019015259/abm10312019ex1019.htm" TargetMode="External"/><Relationship Id="rId195" Type="http://schemas.openxmlformats.org/officeDocument/2006/relationships/hyperlink" Target="http://www.sec.gov/Archives/edgar/data/771497/000119312512382523/d383898dex101.htm" TargetMode="External"/><Relationship Id="rId196" Type="http://schemas.openxmlformats.org/officeDocument/2006/relationships/hyperlink" Target="http://www.sec.gov/Archives/edgar/data/771497/000095012310116105/y87222exv10w22.htm" TargetMode="External"/><Relationship Id="rId197" Type="http://schemas.openxmlformats.org/officeDocument/2006/relationships/hyperlink" Target="http://www.sec.gov/Archives/edgar/data/771497/000095012308010739/y71046exv10w4.htm" TargetMode="External"/><Relationship Id="rId198" Type="http://schemas.openxmlformats.org/officeDocument/2006/relationships/hyperlink" Target="http://www.sec.gov/Archives/edgar/data/771497/000095012308010739/y71046exv10w5.htm" TargetMode="External"/><Relationship Id="rId199" Type="http://schemas.openxmlformats.org/officeDocument/2006/relationships/hyperlink" Target="http://www.sec.gov/Archives/edgar/data/771497/000095012311023988/c12908exv10w1.htm" TargetMode="External"/><Relationship Id="rId200" Type="http://schemas.openxmlformats.org/officeDocument/2006/relationships/hyperlink" Target="http://www.sec.gov/Archives/edgar/data/771497/000162828017012508/exhibit102810312017.htm" TargetMode="External"/><Relationship Id="rId201" Type="http://schemas.openxmlformats.org/officeDocument/2006/relationships/hyperlink" Target="http://www.sec.gov/Archives/edgar/data/771497/000162828017012508/exhibit102910312017.htm" TargetMode="External"/><Relationship Id="rId202" Type="http://schemas.openxmlformats.org/officeDocument/2006/relationships/hyperlink" Target="http://www.sec.gov/Archives/edgar/data/771497/000162828018002860/abm1312018ex101.htm" TargetMode="External"/><Relationship Id="rId203" Type="http://schemas.openxmlformats.org/officeDocument/2006/relationships/hyperlink" Target="http://www.sec.gov/Archives/edgar/data/771497/000162828018002860/abm1312018ex102.htm" TargetMode="External"/><Relationship Id="rId204" Type="http://schemas.openxmlformats.org/officeDocument/2006/relationships/hyperlink" Target="https://www.sec.gov/Archives/edgar/data/771497/000077149721000016/abm4302021ex105.htm" TargetMode="External"/><Relationship Id="rId205" Type="http://schemas.openxmlformats.org/officeDocument/2006/relationships/hyperlink" Target="https://www.sec.gov/Archives/edgar/data/771497/000077149721000016/abm4302021ex108.htm" TargetMode="External"/><Relationship Id="rId206" Type="http://schemas.openxmlformats.org/officeDocument/2006/relationships/hyperlink" Target="http://www.sec.gov/Archives/edgar/data/771497/000162828018002860/abm1312018ex103.htm" TargetMode="External"/><Relationship Id="rId207" Type="http://schemas.openxmlformats.org/officeDocument/2006/relationships/hyperlink" Target="http://www.sec.gov/Archives/edgar/data/771497/000162828018002860/abm1312018ex104.htm" TargetMode="External"/><Relationship Id="rId208" Type="http://schemas.openxmlformats.org/officeDocument/2006/relationships/hyperlink" Target="http://www.sec.gov/Archives/edgar/data/771497/000162828019002600/abm1312019ex101.htm" TargetMode="External"/><Relationship Id="rId211" Type="http://schemas.openxmlformats.org/officeDocument/2006/relationships/hyperlink" Target="http://www.sec.gov/Archives/edgar/data/771497/000162828019002600/abm1312019ex102.htm" TargetMode="External"/><Relationship Id="rId212" Type="http://schemas.openxmlformats.org/officeDocument/2006/relationships/hyperlink" Target="https://www.sec.gov/Archives/edgar/data/771497/000162828019015259/abm10312019ex1035.htm" TargetMode="External"/><Relationship Id="rId213" Type="http://schemas.openxmlformats.org/officeDocument/2006/relationships/hyperlink" Target="https://www.sec.gov/Archives/edgar/data/771497/000077149721000016/abm4302021ex104.htm" TargetMode="External"/><Relationship Id="rId214" Type="http://schemas.openxmlformats.org/officeDocument/2006/relationships/hyperlink" Target="https://www.sec.gov/Archives/edgar/data/771497/000077149721000016/abm4302021ex106.htm" TargetMode="External"/><Relationship Id="rId215" Type="http://schemas.openxmlformats.org/officeDocument/2006/relationships/hyperlink" Target="https://www.sec.gov/Archives/edgar/data/771497/000077149721000016/abm4302021ex107.htm" TargetMode="External"/><Relationship Id="rId216" Type="http://schemas.openxmlformats.org/officeDocument/2006/relationships/hyperlink" Target="https://www.sec.gov/Archives/edgar/data/771497/000077149721000016/abm4302021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2021-12-22T14:04:33Z</dcterms:created>
  <dcterms:modified xsi:type="dcterms:W3CDTF">2021-12-22T14:04:33Z</dcterms:modified>
</cp:coreProperties>
</file>