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VALENTIN RAUL JAVIER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was effected pursuant to a Rule 10b5-1 trading plan entered into by the reporting person on April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acquired pursuant to dividend reinvestment in transactions exempt from Section 16 pursuant to Rule 16a-11.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83013" TargetMode="External"/><Relationship Id="rId5" Type="http://schemas.openxmlformats.org/officeDocument/2006/relationships/hyperlink" Target="http://www.sec.gov/cgi-bin/browse-edgar?action=getcompany&amp;CIK=00007714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3284</Characters>
  <CharactersWithSpaces>3838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