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doc4.xml.htm"/>
      <w:bookmarkStart w:id="1" w:name="ksdoc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CHIN DEAN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LIBERTY PLAZA</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7TH FL</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10006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ABM INDUSTRIES INC /DE/</w:t>
              </w:r>
            </w:hyperlink>
            <w:r>
              <w:rPr/>
              <w:t xml:space="preserve"> [ </w:t>
            </w:r>
            <w:r>
              <w:rPr>
                <w:rFonts w:ascii="Times;serif" w:hAnsi="Times;serif"/>
                <w:color w:val="0000FF"/>
                <w:sz w:val="24"/>
                <w:shd w:fill="FFFFFF" w:val="clear"/>
              </w:rPr>
              <w:t>ABM</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 Chief Accounting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07/13/2026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5"/>
        <w:gridCol w:w="913"/>
        <w:gridCol w:w="782"/>
        <w:gridCol w:w="606"/>
        <w:gridCol w:w="347"/>
        <w:gridCol w:w="835"/>
        <w:gridCol w:w="443"/>
        <w:gridCol w:w="981"/>
        <w:gridCol w:w="1149"/>
        <w:gridCol w:w="98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07/13/2026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3,958</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45.3123</w:t>
            </w:r>
            <w:r>
              <w:rPr>
                <w:rFonts w:ascii="Times;serif" w:hAnsi="Times;serif"/>
                <w:color w:val="008000"/>
                <w:position w:val="7"/>
                <w:sz w:val="16"/>
                <w:sz w:val="20"/>
                <w:shd w:fill="FFFFFF" w:val="clear"/>
              </w:rPr>
              <w:t>(1)</w:t>
            </w:r>
            <w:r>
              <w:rPr/>
              <w:t xml:space="preserve"> </w:t>
            </w:r>
          </w:p>
        </w:tc>
        <w:tc>
          <w:tcPr>
            <w:tcW w:w="11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16,993</w:t>
            </w:r>
            <w:r>
              <w:rPr>
                <w:rFonts w:ascii="Times;serif" w:hAnsi="Times;serif"/>
                <w:color w:val="008000"/>
                <w:position w:val="7"/>
                <w:sz w:val="16"/>
                <w:sz w:val="20"/>
                <w:shd w:fill="FFFFFF" w:val="clear"/>
              </w:rPr>
              <w:t>(2)</w:t>
            </w:r>
            <w:r>
              <w:rPr/>
              <w:t xml:space="preserve"> </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$45.30 to $45.36, inclusive. The reporting person undertakes to provide ABM Industries Incorporated, any security holder of ABM Industries Incorporated, or the staff of the Securities and Exchange Commission, upon request, full information regarding the number of shares sold at each separate price within the ranges set forth in footnote 1 of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shares acquired pursuant to dividend reinvestment in transactions exempt from Section 16 pursuant to Rule 16a-11.</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David R. Goldman,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92719" TargetMode="External"/><Relationship Id="rId5" Type="http://schemas.openxmlformats.org/officeDocument/2006/relationships/hyperlink" Target="http://www.sec.gov/cgi-bin/browse-edgar?action=getcompany&amp;CIK=000077149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665</Words>
  <Characters>3584</Characters>
  <CharactersWithSpaces>4188</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