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January 31, 2017</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7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Delaware</w:t>
            </w:r>
          </w:p>
        </w:tc>
        <w:tc>
          <w:tcPr>
            <w:tcW w:w="7380" w:type="dxa"/>
            <w:vAlign w:val="bottom"/>
            <w:gridSpan w:val="3"/>
          </w:tcPr>
          <w:p>
            <w:pPr>
              <w:jc w:val="center"/>
              <w:ind w:left="5890"/>
              <w:spacing w:after="0"/>
              <w:rPr>
                <w:sz w:val="20"/>
                <w:szCs w:val="20"/>
                <w:color w:val="auto"/>
              </w:rPr>
            </w:pPr>
            <w:r>
              <w:rPr>
                <w:rFonts w:ascii="Arial" w:cs="Arial" w:eastAsia="Arial" w:hAnsi="Arial"/>
                <w:sz w:val="18"/>
                <w:szCs w:val="18"/>
                <w:b w:val="1"/>
                <w:bCs w:val="1"/>
                <w:color w:val="auto"/>
                <w:w w:val="99"/>
              </w:rPr>
              <w:t>94-1369354</w:t>
            </w:r>
          </w:p>
        </w:tc>
      </w:tr>
      <w:tr>
        <w:trPr>
          <w:trHeight w:val="391"/>
        </w:trPr>
        <w:tc>
          <w:tcPr>
            <w:tcW w:w="2760" w:type="dxa"/>
            <w:vAlign w:val="bottom"/>
          </w:tcPr>
          <w:p>
            <w:pPr>
              <w:jc w:val="center"/>
              <w:ind w:right="330"/>
              <w:spacing w:after="0"/>
              <w:rPr>
                <w:sz w:val="20"/>
                <w:szCs w:val="20"/>
                <w:color w:val="auto"/>
              </w:rPr>
            </w:pPr>
            <w:r>
              <w:rPr>
                <w:rFonts w:ascii="Arial" w:cs="Arial" w:eastAsia="Arial" w:hAnsi="Arial"/>
                <w:sz w:val="18"/>
                <w:szCs w:val="18"/>
                <w:color w:val="auto"/>
              </w:rPr>
              <w:t>(State or other jurisdiction of</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(I.R.S. Employer</w:t>
            </w:r>
          </w:p>
        </w:tc>
      </w:tr>
      <w:tr>
        <w:trPr>
          <w:trHeight w:val="217"/>
        </w:trPr>
        <w:tc>
          <w:tcPr>
            <w:tcW w:w="2760" w:type="dxa"/>
            <w:vAlign w:val="bottom"/>
          </w:tcPr>
          <w:p>
            <w:pPr>
              <w:jc w:val="center"/>
              <w:ind w:right="330"/>
              <w:spacing w:after="0"/>
              <w:rPr>
                <w:sz w:val="20"/>
                <w:szCs w:val="20"/>
                <w:color w:val="auto"/>
              </w:rPr>
            </w:pPr>
            <w:r>
              <w:rPr>
                <w:rFonts w:ascii="Arial" w:cs="Arial" w:eastAsia="Arial" w:hAnsi="Arial"/>
                <w:sz w:val="18"/>
                <w:szCs w:val="18"/>
                <w:color w:val="auto"/>
                <w:w w:val="99"/>
              </w:rPr>
              <w:t>incorporation or organization)</w:t>
            </w: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__________________________</w:t>
            </w:r>
          </w:p>
        </w:tc>
      </w:tr>
      <w:tr>
        <w:trPr>
          <w:trHeight w:val="301"/>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39"/>
        </w:trPr>
        <w:tc>
          <w:tcPr>
            <w:tcW w:w="2760" w:type="dxa"/>
            <w:vAlign w:val="bottom"/>
          </w:tcPr>
          <w:p>
            <w:pPr>
              <w:spacing w:after="0"/>
              <w:rPr>
                <w:sz w:val="20"/>
                <w:szCs w:val="20"/>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24"/>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(Address of principal executive offices)</w:t>
            </w:r>
          </w:p>
        </w:tc>
      </w:tr>
      <w:tr>
        <w:trPr>
          <w:trHeight w:val="716"/>
        </w:trPr>
        <w:tc>
          <w:tcPr>
            <w:tcW w:w="2760" w:type="dxa"/>
            <w:vAlign w:val="bottom"/>
          </w:tcPr>
          <w:p>
            <w:pPr>
              <w:spacing w:after="0"/>
              <w:rPr>
                <w:sz w:val="24"/>
                <w:szCs w:val="24"/>
                <w:color w:val="auto"/>
              </w:rPr>
            </w:pPr>
          </w:p>
        </w:tc>
        <w:tc>
          <w:tcPr>
            <w:tcW w:w="31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(212) 297-0200</w:t>
            </w:r>
          </w:p>
        </w:tc>
        <w:tc>
          <w:tcPr>
            <w:tcW w:w="426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399"/>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-2125980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170" w:right="279" w:bottom="1440" w:gutter="0" w:footer="0" w:header="0"/>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60" w:right="239" w:bottom="1440" w:gutter="0" w:footer="0" w:header="0"/>
        </w:sectPr>
      </w:pPr>
    </w:p>
    <w:p>
      <w:pPr>
        <w:spacing w:after="0" w:line="100" w:lineRule="exact"/>
        <w:rPr>
          <w:sz w:val="20"/>
          <w:szCs w:val="20"/>
          <w:color w:val="auto"/>
        </w:rPr>
      </w:pPr>
    </w:p>
    <w:p>
      <w:pPr>
        <w:ind w:left="2280"/>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18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8" w:lineRule="exact"/>
        <w:rPr>
          <w:sz w:val="20"/>
          <w:szCs w:val="20"/>
          <w:color w:val="auto"/>
        </w:rPr>
      </w:pPr>
    </w:p>
    <w:p>
      <w:pPr>
        <w:sectPr>
          <w:pgSz w:w="11900" w:h="16838" w:orient="portrait"/>
          <w:cols w:equalWidth="0" w:num="4">
            <w:col w:w="4320" w:space="720"/>
            <w:col w:w="2000" w:space="720"/>
            <w:col w:w="2680" w:space="720"/>
            <w:col w:w="260"/>
          </w:cols>
          <w:pgMar w:left="240" w:top="760" w:right="239" w:bottom="1440" w:gutter="0" w:footer="0" w:header="0"/>
          <w:type w:val="continuous"/>
        </w:sectPr>
      </w:pPr>
    </w:p>
    <w:p>
      <w:pPr>
        <w:ind w:left="2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Smaller reporting company</w:t>
      </w:r>
    </w:p>
    <w:p>
      <w:pPr>
        <w:spacing w:after="0" w:line="131" w:lineRule="exact"/>
        <w:rPr>
          <w:sz w:val="20"/>
          <w:szCs w:val="20"/>
          <w:color w:val="auto"/>
        </w:rPr>
      </w:pPr>
    </w:p>
    <w:p>
      <w:pPr>
        <w:sectPr>
          <w:pgSz w:w="11900" w:h="16838" w:orient="portrait"/>
          <w:cols w:equalWidth="0" w:num="4">
            <w:col w:w="2400" w:space="720"/>
            <w:col w:w="1820" w:space="720"/>
            <w:col w:w="2120" w:space="720"/>
            <w:col w:w="2920"/>
          </w:cols>
          <w:pgMar w:left="240" w:top="760" w:right="239" w:bottom="1440" w:gutter="0" w:footer="0" w:header="0"/>
          <w:type w:val="continuous"/>
        </w:sectPr>
      </w:pPr>
    </w:p>
    <w:p>
      <w:pPr>
        <w:ind w:right="120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the registrant’s common stock outstanding as of March 1, 2017: 55,675,641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5">
              <w:r>
                <w:rPr>
                  <w:rFonts w:ascii="Arial" w:cs="Arial" w:eastAsia="Arial" w:hAnsi="Arial"/>
                  <w:sz w:val="15"/>
                  <w:szCs w:val="15"/>
                  <w:color w:val="0000EE"/>
                  <w:w w:val="95"/>
                </w:rPr>
                <w:t>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1">
              <w:r>
                <w:rPr>
                  <w:rFonts w:ascii="Arial" w:cs="Arial" w:eastAsia="Arial" w:hAnsi="Arial"/>
                  <w:sz w:val="15"/>
                  <w:szCs w:val="15"/>
                  <w:color w:val="0000EE"/>
                  <w:w w:val="95"/>
                </w:rPr>
                <w:t>17</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5">
              <w:r>
                <w:rPr>
                  <w:rFonts w:ascii="Arial" w:cs="Arial" w:eastAsia="Arial" w:hAnsi="Arial"/>
                  <w:sz w:val="15"/>
                  <w:szCs w:val="15"/>
                  <w:color w:val="0000EE"/>
                  <w:w w:val="95"/>
                </w:rPr>
                <w:t>31</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5">
              <w:r>
                <w:rPr>
                  <w:rFonts w:ascii="Arial" w:cs="Arial" w:eastAsia="Arial" w:hAnsi="Arial"/>
                  <w:sz w:val="15"/>
                  <w:szCs w:val="15"/>
                  <w:color w:val="0000EE"/>
                  <w:w w:val="95"/>
                </w:rPr>
                <w:t>31</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5">
              <w:r>
                <w:rPr>
                  <w:rFonts w:ascii="Arial" w:cs="Arial" w:eastAsia="Arial" w:hAnsi="Arial"/>
                  <w:sz w:val="15"/>
                  <w:szCs w:val="15"/>
                  <w:color w:val="0000EE"/>
                  <w:w w:val="95"/>
                </w:rPr>
                <w:t>31</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5">
              <w:r>
                <w:rPr>
                  <w:rFonts w:ascii="Arial" w:cs="Arial" w:eastAsia="Arial" w:hAnsi="Arial"/>
                  <w:sz w:val="15"/>
                  <w:szCs w:val="15"/>
                  <w:color w:val="0000EE"/>
                  <w:w w:val="95"/>
                </w:rPr>
                <w:t>31</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6">
              <w:r>
                <w:rPr>
                  <w:rFonts w:ascii="Arial" w:cs="Arial" w:eastAsia="Arial" w:hAnsi="Arial"/>
                  <w:sz w:val="15"/>
                  <w:szCs w:val="15"/>
                  <w:color w:val="0000EE"/>
                  <w:w w:val="95"/>
                </w:rPr>
                <w:t>32</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37">
              <w:r>
                <w:rPr>
                  <w:rFonts w:ascii="Arial" w:cs="Arial" w:eastAsia="Arial" w:hAnsi="Arial"/>
                  <w:sz w:val="15"/>
                  <w:szCs w:val="15"/>
                  <w:color w:val="0000EE"/>
                  <w:w w:val="95"/>
                </w:rPr>
                <w:t>33</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Form 10-Q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w:t>
      </w:r>
    </w:p>
    <w:p>
      <w:pPr>
        <w:spacing w:after="0" w:line="23" w:lineRule="exact"/>
        <w:rPr>
          <w:sz w:val="20"/>
          <w:szCs w:val="20"/>
          <w:color w:val="auto"/>
        </w:rPr>
      </w:pPr>
    </w:p>
    <w:p>
      <w:pPr>
        <w:ind w:left="660" w:hanging="328"/>
        <w:spacing w:after="0" w:line="28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strategic transformation initiative;</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estimates of ultimate insurance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implementing our risk management and safety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in future cash flows, increases in the level of our borrowings, or inability to repurchase shares at anticipated levels;</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preserving long-term client relationships, passing through costs to clients, responding to competitive pressures, and retaining qualified personnel;</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 identifying, acquiring, and integrating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tax liabilities or changes in tax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energy prices or energy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general economic conditions and reductions in commercial office building occupancy;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joint venture partners to perform their obligations;</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complete the sale of our Government Services business in a timely manner or within the price range we have assumed, or at all;</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or other incidents at facilities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responding to cyber-security risks and business interruptions;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associated with participation in multiemployer pension plans;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of activist investors;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catastrophic events, disasters, operations in areas of military conflict, and terrorist attacks.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2016 and in other reports we file from time to time with the Securities and Exchange Commission (including all amendments to those reports).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200" w:type="dxa"/>
            <w:vAlign w:val="bottom"/>
          </w:tcPr>
          <w:p>
            <w:pPr>
              <w:spacing w:after="0"/>
              <w:rPr>
                <w:sz w:val="14"/>
                <w:szCs w:val="14"/>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January 31, 2017</w:t>
            </w:r>
          </w:p>
        </w:tc>
        <w:tc>
          <w:tcPr>
            <w:tcW w:w="240" w:type="dxa"/>
            <w:vAlign w:val="bottom"/>
          </w:tcPr>
          <w:p>
            <w:pPr>
              <w:spacing w:after="0"/>
              <w:rPr>
                <w:sz w:val="14"/>
                <w:szCs w:val="14"/>
                <w:color w:val="auto"/>
              </w:rPr>
            </w:pPr>
          </w:p>
        </w:tc>
        <w:tc>
          <w:tcPr>
            <w:tcW w:w="17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October 31, 2016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60" w:type="dxa"/>
            <w:vAlign w:val="bottom"/>
            <w:tcBorders>
              <w:top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75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56.0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Trade accounts receivable, net of allowances of $16.8</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20" w:type="dxa"/>
            <w:vAlign w:val="bottom"/>
            <w:gridSpan w:val="2"/>
          </w:tcPr>
          <w:p>
            <w:pPr>
              <w:ind w:left="480"/>
              <w:spacing w:after="0"/>
              <w:rPr>
                <w:sz w:val="20"/>
                <w:szCs w:val="20"/>
                <w:color w:val="auto"/>
              </w:rPr>
            </w:pPr>
            <w:r>
              <w:rPr>
                <w:rFonts w:ascii="Arial" w:cs="Arial" w:eastAsia="Arial" w:hAnsi="Arial"/>
                <w:sz w:val="15"/>
                <w:szCs w:val="15"/>
                <w:color w:val="auto"/>
              </w:rPr>
              <w:t>and $15.9 at January 31, 2017 and October 31, 2016, respectively</w:t>
            </w:r>
          </w:p>
        </w:tc>
        <w:tc>
          <w:tcPr>
            <w:tcW w:w="200" w:type="dxa"/>
            <w:vAlign w:val="bottom"/>
          </w:tcPr>
          <w:p>
            <w:pPr>
              <w:spacing w:after="0"/>
              <w:rPr>
                <w:sz w:val="16"/>
                <w:szCs w:val="16"/>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855.9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795.6</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Prepaid expenses</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Other current assets</w:t>
            </w:r>
          </w:p>
        </w:tc>
        <w:tc>
          <w:tcPr>
            <w:tcW w:w="200" w:type="dxa"/>
            <w:vAlign w:val="bottom"/>
          </w:tcPr>
          <w:p>
            <w:pPr>
              <w:spacing w:after="0"/>
              <w:rPr>
                <w:sz w:val="23"/>
                <w:szCs w:val="23"/>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Assets held for sale</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44.1</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520" w:type="dxa"/>
            <w:vAlign w:val="bottom"/>
            <w:tcBorders>
              <w:bottom w:val="single" w:sz="8" w:color="CCEEFF"/>
            </w:tcBorders>
            <w:gridSpan w:val="2"/>
          </w:tcPr>
          <w:p>
            <w:pPr>
              <w:ind w:left="680"/>
              <w:spacing w:after="0"/>
              <w:rPr>
                <w:sz w:val="20"/>
                <w:szCs w:val="20"/>
                <w:color w:val="auto"/>
              </w:rPr>
            </w:pPr>
            <w:r>
              <w:rPr>
                <w:rFonts w:ascii="Arial" w:cs="Arial" w:eastAsia="Arial" w:hAnsi="Arial"/>
                <w:sz w:val="15"/>
                <w:szCs w:val="15"/>
                <w:color w:val="auto"/>
              </w:rPr>
              <w:t>Total current assets</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1,059.5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993.7</w:t>
            </w:r>
          </w:p>
        </w:tc>
        <w:tc>
          <w:tcPr>
            <w:tcW w:w="0" w:type="dxa"/>
            <w:vAlign w:val="bottom"/>
          </w:tcPr>
          <w:p>
            <w:pPr>
              <w:spacing w:after="0"/>
              <w:rPr>
                <w:sz w:val="1"/>
                <w:szCs w:val="1"/>
                <w:color w:val="auto"/>
              </w:rPr>
            </w:pPr>
          </w:p>
        </w:tc>
      </w:tr>
      <w:tr>
        <w:trPr>
          <w:trHeight w:val="25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investments</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86"/>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Property, plant and equipment, net of accumulated depreciation of $168.8</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20" w:type="dxa"/>
            <w:vAlign w:val="bottom"/>
            <w:gridSpan w:val="2"/>
          </w:tcPr>
          <w:p>
            <w:pPr>
              <w:ind w:left="120"/>
              <w:spacing w:after="0"/>
              <w:rPr>
                <w:sz w:val="20"/>
                <w:szCs w:val="20"/>
                <w:color w:val="auto"/>
              </w:rPr>
            </w:pPr>
            <w:r>
              <w:rPr>
                <w:rFonts w:ascii="Arial" w:cs="Arial" w:eastAsia="Arial" w:hAnsi="Arial"/>
                <w:sz w:val="15"/>
                <w:szCs w:val="15"/>
                <w:color w:val="auto"/>
              </w:rPr>
              <w:t>and $163.4 at January 31, 2017 and October 31, 2016, respectively</w:t>
            </w:r>
          </w:p>
        </w:tc>
        <w:tc>
          <w:tcPr>
            <w:tcW w:w="200" w:type="dxa"/>
            <w:vAlign w:val="bottom"/>
          </w:tcPr>
          <w:p>
            <w:pPr>
              <w:spacing w:after="0"/>
              <w:rPr>
                <w:sz w:val="16"/>
                <w:szCs w:val="16"/>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87.5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81.8</w:t>
            </w:r>
          </w:p>
        </w:tc>
        <w:tc>
          <w:tcPr>
            <w:tcW w:w="0" w:type="dxa"/>
            <w:vAlign w:val="bottom"/>
          </w:tcPr>
          <w:p>
            <w:pPr>
              <w:spacing w:after="0"/>
              <w:rPr>
                <w:sz w:val="1"/>
                <w:szCs w:val="1"/>
                <w:color w:val="auto"/>
              </w:rPr>
            </w:pPr>
          </w:p>
        </w:tc>
      </w:tr>
      <w:tr>
        <w:trPr>
          <w:trHeight w:val="19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intangible assets, net of accumulated amortization of $162.7</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5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and $157.0 at January 31, 2017 and October 31, 2016, respectively</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103.8</w:t>
            </w:r>
          </w:p>
        </w:tc>
        <w:tc>
          <w:tcPr>
            <w:tcW w:w="0" w:type="dxa"/>
            <w:vAlign w:val="bottom"/>
          </w:tcPr>
          <w:p>
            <w:pPr>
              <w:spacing w:after="0"/>
              <w:rPr>
                <w:sz w:val="1"/>
                <w:szCs w:val="1"/>
                <w:color w:val="auto"/>
              </w:rPr>
            </w:pPr>
          </w:p>
        </w:tc>
      </w:tr>
      <w:tr>
        <w:trPr>
          <w:trHeight w:val="266"/>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23"/>
                <w:szCs w:val="23"/>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924.7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912.8</w:t>
            </w:r>
          </w:p>
        </w:tc>
        <w:tc>
          <w:tcPr>
            <w:tcW w:w="0" w:type="dxa"/>
            <w:vAlign w:val="bottom"/>
          </w:tcPr>
          <w:p>
            <w:pPr>
              <w:spacing w:after="0"/>
              <w:rPr>
                <w:sz w:val="1"/>
                <w:szCs w:val="1"/>
                <w:color w:val="auto"/>
              </w:rPr>
            </w:pPr>
          </w:p>
        </w:tc>
      </w:tr>
      <w:tr>
        <w:trPr>
          <w:trHeight w:val="27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income taxes, net</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37.4</w:t>
            </w:r>
          </w:p>
        </w:tc>
        <w:tc>
          <w:tcPr>
            <w:tcW w:w="0" w:type="dxa"/>
            <w:vAlign w:val="bottom"/>
          </w:tcPr>
          <w:p>
            <w:pPr>
              <w:spacing w:after="0"/>
              <w:rPr>
                <w:sz w:val="1"/>
                <w:szCs w:val="1"/>
                <w:color w:val="auto"/>
              </w:rPr>
            </w:pPr>
          </w:p>
        </w:tc>
      </w:tr>
      <w:tr>
        <w:trPr>
          <w:trHeight w:val="266"/>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140.7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134.3</w:t>
            </w:r>
          </w:p>
        </w:tc>
        <w:tc>
          <w:tcPr>
            <w:tcW w:w="0" w:type="dxa"/>
            <w:vAlign w:val="bottom"/>
          </w:tcPr>
          <w:p>
            <w:pPr>
              <w:spacing w:after="0"/>
              <w:rPr>
                <w:sz w:val="1"/>
                <w:szCs w:val="1"/>
                <w:color w:val="auto"/>
              </w:rPr>
            </w:pPr>
          </w:p>
        </w:tc>
      </w:tr>
      <w:tr>
        <w:trPr>
          <w:trHeight w:val="241"/>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2,411.9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2,281.2</w:t>
            </w: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54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Trade accounts payable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187.3</w:t>
            </w:r>
          </w:p>
        </w:tc>
        <w:tc>
          <w:tcPr>
            <w:tcW w:w="100" w:type="dxa"/>
            <w:vAlign w:val="bottom"/>
          </w:tcPr>
          <w:p>
            <w:pPr>
              <w:spacing w:after="0"/>
              <w:rPr>
                <w:sz w:val="23"/>
                <w:szCs w:val="23"/>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174.3</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Accrued compensation</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Accrued taxes—other than income</w:t>
            </w:r>
          </w:p>
        </w:tc>
        <w:tc>
          <w:tcPr>
            <w:tcW w:w="200" w:type="dxa"/>
            <w:vAlign w:val="bottom"/>
          </w:tcPr>
          <w:p>
            <w:pPr>
              <w:spacing w:after="0"/>
              <w:rPr>
                <w:sz w:val="23"/>
                <w:szCs w:val="23"/>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52.1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40.6</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Insurance claims</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92.2</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23"/>
                <w:szCs w:val="23"/>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135.9</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Liabilities held for sale</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52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741.3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599.2</w:t>
            </w:r>
          </w:p>
        </w:tc>
        <w:tc>
          <w:tcPr>
            <w:tcW w:w="0" w:type="dxa"/>
            <w:vAlign w:val="bottom"/>
          </w:tcPr>
          <w:p>
            <w:pPr>
              <w:spacing w:after="0"/>
              <w:rPr>
                <w:sz w:val="1"/>
                <w:szCs w:val="1"/>
                <w:color w:val="auto"/>
              </w:rPr>
            </w:pPr>
          </w:p>
        </w:tc>
      </w:tr>
      <w:tr>
        <w:trPr>
          <w:trHeight w:val="250"/>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Noncurrent income taxes payable</w:t>
            </w:r>
          </w:p>
        </w:tc>
        <w:tc>
          <w:tcPr>
            <w:tcW w:w="200" w:type="dxa"/>
            <w:vAlign w:val="bottom"/>
          </w:tcPr>
          <w:p>
            <w:pPr>
              <w:spacing w:after="0"/>
              <w:rPr>
                <w:sz w:val="21"/>
                <w:szCs w:val="21"/>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27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Line of credit</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268.3</w:t>
            </w:r>
          </w:p>
        </w:tc>
        <w:tc>
          <w:tcPr>
            <w:tcW w:w="0" w:type="dxa"/>
            <w:vAlign w:val="bottom"/>
          </w:tcPr>
          <w:p>
            <w:pPr>
              <w:spacing w:after="0"/>
              <w:rPr>
                <w:sz w:val="1"/>
                <w:szCs w:val="1"/>
                <w:color w:val="auto"/>
              </w:rPr>
            </w:pPr>
          </w:p>
        </w:tc>
      </w:tr>
      <w:tr>
        <w:trPr>
          <w:trHeight w:val="266"/>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Deferred income tax liability, net</w:t>
            </w:r>
          </w:p>
        </w:tc>
        <w:tc>
          <w:tcPr>
            <w:tcW w:w="200" w:type="dxa"/>
            <w:vAlign w:val="bottom"/>
          </w:tcPr>
          <w:p>
            <w:pPr>
              <w:spacing w:after="0"/>
              <w:rPr>
                <w:sz w:val="23"/>
                <w:szCs w:val="23"/>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7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Noncurrent insurance claims</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331.6</w:t>
            </w:r>
          </w:p>
        </w:tc>
        <w:tc>
          <w:tcPr>
            <w:tcW w:w="0" w:type="dxa"/>
            <w:vAlign w:val="bottom"/>
          </w:tcPr>
          <w:p>
            <w:pPr>
              <w:spacing w:after="0"/>
              <w:rPr>
                <w:sz w:val="1"/>
                <w:szCs w:val="1"/>
                <w:color w:val="auto"/>
              </w:rPr>
            </w:pPr>
          </w:p>
        </w:tc>
      </w:tr>
      <w:tr>
        <w:trPr>
          <w:trHeight w:val="266"/>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noncurrent liabilities</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80.7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71.2</w:t>
            </w: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1,504.5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1,307.2</w:t>
            </w:r>
          </w:p>
        </w:tc>
        <w:tc>
          <w:tcPr>
            <w:tcW w:w="0" w:type="dxa"/>
            <w:vAlign w:val="bottom"/>
          </w:tcPr>
          <w:p>
            <w:pPr>
              <w:spacing w:after="0"/>
              <w:rPr>
                <w:sz w:val="1"/>
                <w:szCs w:val="1"/>
                <w:color w:val="auto"/>
              </w:rPr>
            </w:pPr>
          </w:p>
        </w:tc>
      </w:tr>
      <w:tr>
        <w:trPr>
          <w:trHeight w:val="246"/>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Commitments and contingencies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00" w:type="dxa"/>
            <w:vAlign w:val="bottom"/>
          </w:tcPr>
          <w:p>
            <w:pPr>
              <w:spacing w:after="0"/>
              <w:rPr>
                <w:sz w:val="23"/>
                <w:szCs w:val="23"/>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Common stock, $0.01 par value; 100,000,000 shares authorized;</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520" w:type="dxa"/>
            <w:vAlign w:val="bottom"/>
            <w:gridSpan w:val="2"/>
            <w:shd w:val="clear" w:color="auto" w:fill="CCEEFF"/>
          </w:tcPr>
          <w:p>
            <w:pPr>
              <w:ind w:left="360"/>
              <w:spacing w:after="0" w:line="162" w:lineRule="exact"/>
              <w:rPr>
                <w:sz w:val="20"/>
                <w:szCs w:val="20"/>
                <w:color w:val="auto"/>
              </w:rPr>
            </w:pPr>
            <w:r>
              <w:rPr>
                <w:rFonts w:ascii="Arial" w:cs="Arial" w:eastAsia="Arial" w:hAnsi="Arial"/>
                <w:sz w:val="15"/>
                <w:szCs w:val="15"/>
                <w:color w:val="auto"/>
              </w:rPr>
              <w:t>55,653,715 and 55,599,322 shares issued and outstanding at</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January 31, 2017 and October 31, 2016, respectively</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20" w:type="dxa"/>
            <w:vAlign w:val="bottom"/>
            <w:gridSpan w:val="2"/>
          </w:tcPr>
          <w:p>
            <w:pPr>
              <w:ind w:left="36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23"/>
                <w:szCs w:val="23"/>
                <w:color w:val="auto"/>
              </w:rPr>
            </w:pPr>
          </w:p>
        </w:tc>
        <w:tc>
          <w:tcPr>
            <w:tcW w:w="1620" w:type="dxa"/>
            <w:vAlign w:val="bottom"/>
          </w:tcPr>
          <w:p>
            <w:pPr>
              <w:jc w:val="right"/>
              <w:ind w:right="43"/>
              <w:spacing w:after="0"/>
              <w:rPr>
                <w:sz w:val="20"/>
                <w:szCs w:val="20"/>
                <w:color w:val="auto"/>
              </w:rPr>
            </w:pPr>
            <w:r>
              <w:rPr>
                <w:rFonts w:ascii="Arial" w:cs="Arial" w:eastAsia="Arial" w:hAnsi="Arial"/>
                <w:sz w:val="15"/>
                <w:szCs w:val="15"/>
                <w:color w:val="auto"/>
              </w:rPr>
              <w:t>243.6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248.6</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 net of taxes</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Retained earnings</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689.9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756.4</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5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907.4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974.0</w:t>
            </w:r>
          </w:p>
        </w:tc>
        <w:tc>
          <w:tcPr>
            <w:tcW w:w="0" w:type="dxa"/>
            <w:vAlign w:val="bottom"/>
          </w:tcPr>
          <w:p>
            <w:pPr>
              <w:spacing w:after="0"/>
              <w:rPr>
                <w:sz w:val="1"/>
                <w:szCs w:val="1"/>
                <w:color w:val="auto"/>
              </w:rPr>
            </w:pPr>
          </w:p>
        </w:tc>
      </w:tr>
      <w:tr>
        <w:trPr>
          <w:trHeight w:val="241"/>
        </w:trPr>
        <w:tc>
          <w:tcPr>
            <w:tcW w:w="7540" w:type="dxa"/>
            <w:vAlign w:val="bottom"/>
            <w:gridSpan w:val="3"/>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2,411.9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46" w:right="239" w:bottom="1440" w:gutter="0" w:footer="0" w:header="0"/>
          <w:type w:val="continuous"/>
        </w:sectPr>
      </w:pPr>
    </w:p>
    <w:bookmarkStart w:id="5" w:name="page6"/>
    <w:bookmarkEnd w:id="5"/>
    <w:p>
      <w:pPr>
        <w:jc w:val="center"/>
        <w:ind w:right="20"/>
        <w:spacing w:after="0" w:line="472" w:lineRule="auto"/>
        <w:rPr>
          <w:sz w:val="20"/>
          <w:szCs w:val="20"/>
          <w:color w:val="auto"/>
        </w:rPr>
      </w:pPr>
      <w:r>
        <w:rPr>
          <w:rFonts w:ascii="Arial" w:cs="Arial" w:eastAsia="Arial" w:hAnsi="Arial"/>
          <w:sz w:val="18"/>
          <w:szCs w:val="18"/>
          <w:b w:val="1"/>
          <w:bCs w:val="1"/>
          <w:color w:val="auto"/>
        </w:rPr>
        <w:t>ABM INDUSTRIES INCORPORATED AND SUBSIDIARIES CONSOLIDATED STATEMENTS OF COMPREHENSIVE (LOSS) INCOME (UNAUDITED)</w:t>
      </w:r>
    </w:p>
    <w:p>
      <w:pPr>
        <w:spacing w:after="0" w:line="70"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20955</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80" w:type="dxa"/>
            <w:vAlign w:val="bottom"/>
          </w:tcPr>
          <w:p>
            <w:pPr>
              <w:spacing w:after="0"/>
              <w:rPr>
                <w:sz w:val="16"/>
                <w:szCs w:val="16"/>
                <w:color w:val="auto"/>
              </w:rPr>
            </w:pPr>
          </w:p>
        </w:tc>
        <w:tc>
          <w:tcPr>
            <w:tcW w:w="1340" w:type="dxa"/>
            <w:vAlign w:val="bottom"/>
          </w:tcPr>
          <w:p>
            <w:pPr>
              <w:jc w:val="right"/>
              <w:ind w:right="62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0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1,326.7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1,268.4</w:t>
            </w:r>
          </w:p>
        </w:tc>
        <w:tc>
          <w:tcPr>
            <w:tcW w:w="0" w:type="dxa"/>
            <w:vAlign w:val="bottom"/>
          </w:tcPr>
          <w:p>
            <w:pPr>
              <w:spacing w:after="0"/>
              <w:rPr>
                <w:sz w:val="1"/>
                <w:szCs w:val="1"/>
                <w:color w:val="auto"/>
              </w:rPr>
            </w:pPr>
          </w:p>
        </w:tc>
      </w:tr>
      <w:tr>
        <w:trPr>
          <w:trHeight w:val="266"/>
        </w:trPr>
        <w:tc>
          <w:tcPr>
            <w:tcW w:w="7880" w:type="dxa"/>
            <w:vAlign w:val="bottom"/>
            <w:gridSpan w:val="3"/>
          </w:tcPr>
          <w:p>
            <w:pPr>
              <w:ind w:left="2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1,195.1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1,141.3</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6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Restructuring and related</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7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8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expenses</w:t>
            </w: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1,302.9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1,254.8</w:t>
            </w:r>
          </w:p>
        </w:tc>
        <w:tc>
          <w:tcPr>
            <w:tcW w:w="0" w:type="dxa"/>
            <w:vAlign w:val="bottom"/>
          </w:tcPr>
          <w:p>
            <w:pPr>
              <w:spacing w:after="0"/>
              <w:rPr>
                <w:sz w:val="1"/>
                <w:szCs w:val="1"/>
                <w:color w:val="auto"/>
              </w:rPr>
            </w:pPr>
          </w:p>
        </w:tc>
      </w:tr>
      <w:tr>
        <w:trPr>
          <w:trHeight w:val="250"/>
        </w:trPr>
        <w:tc>
          <w:tcPr>
            <w:tcW w:w="7880" w:type="dxa"/>
            <w:vAlign w:val="bottom"/>
            <w:gridSpan w:val="3"/>
          </w:tcPr>
          <w:p>
            <w:pPr>
              <w:ind w:left="20"/>
              <w:spacing w:after="0"/>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21"/>
                <w:szCs w:val="21"/>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74"/>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unconsolidated affiliates, net</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66"/>
        </w:trPr>
        <w:tc>
          <w:tcPr>
            <w:tcW w:w="78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4"/>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66"/>
        </w:trPr>
        <w:tc>
          <w:tcPr>
            <w:tcW w:w="78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Income tax (provision) benefit</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54"/>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66"/>
        </w:trPr>
        <w:tc>
          <w:tcPr>
            <w:tcW w:w="788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Net (loss) income from discontinued operations</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54"/>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60"/>
        </w:trPr>
        <w:tc>
          <w:tcPr>
            <w:tcW w:w="7880" w:type="dxa"/>
            <w:vAlign w:val="bottom"/>
            <w:gridSpan w:val="3"/>
          </w:tcPr>
          <w:p>
            <w:pPr>
              <w:ind w:left="2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Foreign currency translation</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7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1"/>
        </w:trPr>
        <w:tc>
          <w:tcPr>
            <w:tcW w:w="7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(loss) income per common share — Basic</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880" w:type="dxa"/>
            <w:vAlign w:val="bottom"/>
            <w:gridSpan w:val="3"/>
            <w:vMerge w:val="continue"/>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7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(Loss) income from discontinued operations</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Net (loss) income</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(loss) income per common share — Diluted</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880" w:type="dxa"/>
            <w:vAlign w:val="bottom"/>
            <w:gridSpan w:val="3"/>
            <w:vMerge w:val="continue"/>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Income from continuing operations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7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8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Net (loss) income</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ind w:left="20"/>
              <w:spacing w:after="0" w:line="181" w:lineRule="exact"/>
              <w:rPr>
                <w:sz w:val="20"/>
                <w:szCs w:val="20"/>
                <w:color w:val="auto"/>
              </w:rPr>
            </w:pPr>
            <w:r>
              <w:rPr>
                <w:rFonts w:ascii="Arial" w:cs="Arial" w:eastAsia="Arial" w:hAnsi="Arial"/>
                <w:sz w:val="16"/>
                <w:szCs w:val="16"/>
                <w:b w:val="1"/>
                <w:bCs w:val="1"/>
                <w:color w:val="auto"/>
              </w:rPr>
              <w:t>Weighted-average common and common</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8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880" w:type="dxa"/>
            <w:vAlign w:val="bottom"/>
            <w:gridSpan w:val="3"/>
          </w:tcPr>
          <w:p>
            <w:pPr>
              <w:ind w:left="20"/>
              <w:spacing w:after="0"/>
              <w:rPr>
                <w:sz w:val="20"/>
                <w:szCs w:val="20"/>
                <w:color w:val="auto"/>
              </w:rPr>
            </w:pPr>
            <w:r>
              <w:rPr>
                <w:rFonts w:ascii="Arial" w:cs="Arial" w:eastAsia="Arial" w:hAnsi="Arial"/>
                <w:sz w:val="16"/>
                <w:szCs w:val="16"/>
                <w:b w:val="1"/>
                <w:bCs w:val="1"/>
                <w:color w:val="auto"/>
              </w:rPr>
              <w:t>equivalent shares outstanding</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78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60" w:type="dxa"/>
            <w:vAlign w:val="bottom"/>
            <w:gridSpan w:val="2"/>
          </w:tcPr>
          <w:p>
            <w:pPr>
              <w:ind w:left="36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74"/>
        </w:trPr>
        <w:tc>
          <w:tcPr>
            <w:tcW w:w="78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0.170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0.165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45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34"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4992370</wp:posOffset>
            </wp:positionH>
            <wp:positionV relativeFrom="paragraph">
              <wp:posOffset>26035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40" w:type="dxa"/>
            <w:vAlign w:val="bottom"/>
            <w:gridSpan w:val="2"/>
          </w:tcPr>
          <w:p>
            <w:pPr>
              <w:spacing w:after="0"/>
              <w:rPr>
                <w:sz w:val="20"/>
                <w:szCs w:val="20"/>
                <w:color w:val="auto"/>
              </w:rPr>
            </w:pPr>
            <w:r>
              <w:rPr>
                <w:rFonts w:ascii="Arial" w:cs="Arial" w:eastAsia="Arial" w:hAnsi="Arial"/>
                <w:sz w:val="13"/>
                <w:szCs w:val="13"/>
                <w:i w:val="1"/>
                <w:iCs w:val="1"/>
                <w:color w:val="auto"/>
              </w:rPr>
              <w:t>(in millions)</w:t>
            </w:r>
          </w:p>
        </w:tc>
        <w:tc>
          <w:tcPr>
            <w:tcW w:w="400" w:type="dxa"/>
            <w:vAlign w:val="bottom"/>
          </w:tcPr>
          <w:p>
            <w:pPr>
              <w:spacing w:after="0"/>
              <w:rPr>
                <w:sz w:val="14"/>
                <w:szCs w:val="14"/>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7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Net (loss) income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 (income) from discontinued operations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Adjustments to reconcile income from continuing operations to net cash used in operating activities of</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continuing operations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income taxes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Share-based compensation expense</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bad debt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Discount accretion on insurance claims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Gain on sale of assets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Income from unconsolidated affiliates, net</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Distributions from unconsolidated affiliates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Trade accounts receivable</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noncurrent assets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Trade accounts payable and other accrued liabilities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Insurance claims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ind w:left="360"/>
              <w:spacing w:after="0"/>
              <w:rPr>
                <w:sz w:val="20"/>
                <w:szCs w:val="20"/>
                <w:color w:val="auto"/>
              </w:rPr>
            </w:pPr>
            <w:r>
              <w:rPr>
                <w:rFonts w:ascii="Arial" w:cs="Arial" w:eastAsia="Arial" w:hAnsi="Arial"/>
                <w:sz w:val="14"/>
                <w:szCs w:val="14"/>
                <w:color w:val="auto"/>
              </w:rPr>
              <w:t>Income taxes payable</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noncurrent liabilities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Total adjustments</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53"/>
        </w:trPr>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2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operating activities of continuing operations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 of discontinued operations</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60"/>
        </w:trPr>
        <w:tc>
          <w:tcPr>
            <w:tcW w:w="20" w:type="dxa"/>
            <w:vAlign w:val="bottom"/>
            <w:tcBorders>
              <w:bottom w:val="single" w:sz="8" w:color="CCEEFF"/>
            </w:tcBorders>
          </w:tcPr>
          <w:p>
            <w:pPr>
              <w:spacing w:after="0"/>
              <w:rPr>
                <w:sz w:val="5"/>
                <w:szCs w:val="5"/>
                <w:color w:val="auto"/>
              </w:rPr>
            </w:pPr>
          </w:p>
        </w:tc>
        <w:tc>
          <w:tcPr>
            <w:tcW w:w="7840" w:type="dxa"/>
            <w:vAlign w:val="bottom"/>
            <w:tcBorders>
              <w:bottom w:val="single" w:sz="8" w:color="CCEEFF"/>
            </w:tcBorders>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cash used in operating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Additions to property, plant and equipment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Proceeds from sale of assets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Purchase of businesses, net of cash acquired</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7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(Taxes withheld) and proceeds from issuance of share-based compensation awards, net</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Incremental tax benefit from share-based compensation awards</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Repurchases of common stock</w:t>
            </w:r>
          </w:p>
        </w:tc>
        <w:tc>
          <w:tcPr>
            <w:tcW w:w="400" w:type="dxa"/>
            <w:vAlign w:val="bottom"/>
          </w:tcPr>
          <w:p>
            <w:pPr>
              <w:spacing w:after="0"/>
              <w:rPr>
                <w:sz w:val="17"/>
                <w:szCs w:val="17"/>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Dividends paid</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Deferred financing costs paid</w:t>
            </w:r>
          </w:p>
        </w:tc>
        <w:tc>
          <w:tcPr>
            <w:tcW w:w="40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Borrowings from line of credit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Repayment of borrowings from line of credit</w:t>
            </w:r>
          </w:p>
        </w:tc>
        <w:tc>
          <w:tcPr>
            <w:tcW w:w="4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(169.7)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(170.9)</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Changes in book cash overdrafts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Financing of energy savings performance contracts</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Repayment of capital lease obligations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Net cash provided by financing activities</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119.4</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400" w:type="dxa"/>
            <w:vAlign w:val="bottom"/>
          </w:tcPr>
          <w:p>
            <w:pPr>
              <w:spacing w:after="0"/>
              <w:rPr>
                <w:sz w:val="21"/>
                <w:szCs w:val="21"/>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Change in cash related to assets held for sale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722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2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40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53"/>
        </w:trPr>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72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380"/>
          </w:cols>
          <w:pgMar w:left="260" w:top="527" w:right="259" w:bottom="38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60" w:top="527" w:right="259" w:bottom="381"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ABM Industries Incorporated, which operates through its subsidiaries (collectively referred to as “ABM,” “we,” “us,” “our,” or the “Company”), is a leading provider of integrated facility solutions, customized by industry, that enable our clients to deliver exceptional facilities experiences. Our mission is to make a difference, every person, every day. ABM’s comprehensive services include electrical and lighting, energy solutions, facilities engineering, HVAC and mechanical, janitorial, landscape and turf, mission critical solutions, and parking, which we provide through stand-alone or integrated solutions. We serve urban, suburban, and rural areas and properties of all sizes—from schools and commercial buildings to airports, data centers, hospitals, and manufacturing plants.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Accordingly, such financial statements do not include all of the information and footnotes required by U.S. GAAP for complete financial statements.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fiscal year ended October 31, 2016. Unless otherwise noted, all references to years are to our fiscal year, which ends on October 31.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 Reclassifications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November 1, 2016, we reorganized our reportable segments to reflect how we now manage our business by industry group. We have revised our prior period segment information to reflect this reorganization, including a related reclassification of certain Corporate expenses. See Note 15, “Segment Information,” for further information. Concurrent with the reorganization, we recategorized certain expenses that were historically included in operating expenses to selling, general, and administrative expenses. To conform to the new categorization, we reclassified $5.1 million of prior year operating expenses to selling, general, and administrative expenses. Additionally, certain prior year amounts in the accompanying unaudited consolidated statements of cash flows have been reclassified to conform with the current year presentation.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Held for Sale</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fourth quarter of 2016, we decided to divest our Government Services business. The assets and liabilities of this business have been classified as held for sale at January 31, 2017 and October 31, 2016. See Note 4, “Held for Sale,” for further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13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Reimbursement Revenue Presentation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operate certain parking facilities primarily in our Business &amp; Industry and Aviation segments under managed location arrangements. Under these arrangements, we manage the parking facility for a management fee and pass through the revenue and expenses associated with the facility to the owner. These revenues and expenses are reported in equal amounts for costs reimbursed from our managed locations.</w:t>
      </w:r>
    </w:p>
    <w:p>
      <w:pPr>
        <w:spacing w:after="0" w:line="322"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31750</wp:posOffset>
            </wp:positionV>
            <wp:extent cx="2538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69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714"/>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0"/>
        </w:trPr>
        <w:tc>
          <w:tcPr>
            <w:tcW w:w="4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Management reimbursement revenues</w:t>
            </w:r>
          </w:p>
        </w:tc>
        <w:tc>
          <w:tcPr>
            <w:tcW w:w="3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80.1</w:t>
            </w:r>
          </w:p>
        </w:tc>
      </w:tr>
      <w:tr>
        <w:trPr>
          <w:trHeight w:val="45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020" w:type="dxa"/>
            <w:vAlign w:val="bottom"/>
          </w:tcPr>
          <w:p>
            <w:pPr>
              <w:jc w:val="right"/>
              <w:ind w:right="157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RESTRUCTURING AND RELATED COSTS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expect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activities to be complete by the end of 2017, with remaining costs primarily related to external support fees and office consolidations. As described in Note 15, “Segment Information,” we include restructuring and related costs within corporate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Related Liabilities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External</w:t>
            </w: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Employee</w:t>
            </w:r>
          </w:p>
        </w:tc>
        <w:tc>
          <w:tcPr>
            <w:tcW w:w="1140" w:type="dxa"/>
            <w:vAlign w:val="bottom"/>
            <w:gridSpan w:val="3"/>
          </w:tcPr>
          <w:p>
            <w:pPr>
              <w:ind w:left="40"/>
              <w:spacing w:after="0"/>
              <w:rPr>
                <w:sz w:val="20"/>
                <w:szCs w:val="20"/>
                <w:color w:val="auto"/>
              </w:rPr>
            </w:pPr>
            <w:r>
              <w:rPr>
                <w:rFonts w:ascii="Arial" w:cs="Arial" w:eastAsia="Arial" w:hAnsi="Arial"/>
                <w:sz w:val="15"/>
                <w:szCs w:val="15"/>
                <w:b w:val="1"/>
                <w:bCs w:val="1"/>
                <w:color w:val="auto"/>
              </w:rPr>
              <w:t>Other Project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280" w:type="dxa"/>
            <w:vAlign w:val="bottom"/>
            <w:gridSpan w:val="3"/>
          </w:tcPr>
          <w:p>
            <w:pPr>
              <w:jc w:val="center"/>
              <w:ind w:right="100"/>
              <w:spacing w:after="0" w:line="170" w:lineRule="exact"/>
              <w:rPr>
                <w:sz w:val="20"/>
                <w:szCs w:val="20"/>
                <w:color w:val="auto"/>
              </w:rPr>
            </w:pPr>
            <w:r>
              <w:rPr>
                <w:rFonts w:ascii="Arial" w:cs="Arial" w:eastAsia="Arial" w:hAnsi="Arial"/>
                <w:sz w:val="15"/>
                <w:szCs w:val="15"/>
                <w:b w:val="1"/>
                <w:bCs w:val="1"/>
                <w:color w:val="auto"/>
              </w:rPr>
              <w:t>Support Fees</w:t>
            </w:r>
          </w:p>
        </w:tc>
        <w:tc>
          <w:tcPr>
            <w:tcW w:w="160" w:type="dxa"/>
            <w:vAlign w:val="bottom"/>
          </w:tcPr>
          <w:p>
            <w:pPr>
              <w:spacing w:after="0"/>
              <w:rPr>
                <w:sz w:val="14"/>
                <w:szCs w:val="14"/>
                <w:color w:val="auto"/>
              </w:rPr>
            </w:pPr>
          </w:p>
        </w:tc>
        <w:tc>
          <w:tcPr>
            <w:tcW w:w="1080" w:type="dxa"/>
            <w:vAlign w:val="bottom"/>
            <w:gridSpan w:val="2"/>
          </w:tcPr>
          <w:p>
            <w:pPr>
              <w:ind w:left="40"/>
              <w:spacing w:after="0" w:line="170" w:lineRule="exact"/>
              <w:rPr>
                <w:sz w:val="20"/>
                <w:szCs w:val="20"/>
                <w:color w:val="auto"/>
              </w:rPr>
            </w:pPr>
            <w:r>
              <w:rPr>
                <w:rFonts w:ascii="Arial" w:cs="Arial" w:eastAsia="Arial" w:hAnsi="Arial"/>
                <w:sz w:val="15"/>
                <w:szCs w:val="15"/>
                <w:b w:val="1"/>
                <w:bCs w:val="1"/>
                <w:color w:val="auto"/>
              </w:rPr>
              <w:t>Severance</w:t>
            </w:r>
          </w:p>
        </w:tc>
        <w:tc>
          <w:tcPr>
            <w:tcW w:w="240" w:type="dxa"/>
            <w:vAlign w:val="bottom"/>
          </w:tcPr>
          <w:p>
            <w:pPr>
              <w:spacing w:after="0"/>
              <w:rPr>
                <w:sz w:val="14"/>
                <w:szCs w:val="14"/>
                <w:color w:val="auto"/>
              </w:rPr>
            </w:pPr>
          </w:p>
        </w:tc>
        <w:tc>
          <w:tcPr>
            <w:tcW w:w="900" w:type="dxa"/>
            <w:vAlign w:val="bottom"/>
            <w:gridSpan w:val="2"/>
          </w:tcPr>
          <w:p>
            <w:pPr>
              <w:ind w:left="100"/>
              <w:spacing w:after="0" w:line="170" w:lineRule="exact"/>
              <w:rPr>
                <w:sz w:val="20"/>
                <w:szCs w:val="20"/>
                <w:color w:val="auto"/>
              </w:rPr>
            </w:pPr>
            <w:r>
              <w:rPr>
                <w:rFonts w:ascii="Arial" w:cs="Arial" w:eastAsia="Arial" w:hAnsi="Arial"/>
                <w:sz w:val="15"/>
                <w:szCs w:val="15"/>
                <w:b w:val="1"/>
                <w:bCs w:val="1"/>
                <w:color w:val="auto"/>
              </w:rPr>
              <w:t>Fees</w:t>
            </w:r>
          </w:p>
        </w:tc>
        <w:tc>
          <w:tcPr>
            <w:tcW w:w="160" w:type="dxa"/>
            <w:vAlign w:val="bottom"/>
          </w:tcPr>
          <w:p>
            <w:pPr>
              <w:spacing w:after="0"/>
              <w:rPr>
                <w:sz w:val="14"/>
                <w:szCs w:val="14"/>
                <w:color w:val="auto"/>
              </w:rPr>
            </w:pPr>
          </w:p>
        </w:tc>
        <w:tc>
          <w:tcPr>
            <w:tcW w:w="1080" w:type="dxa"/>
            <w:vAlign w:val="bottom"/>
            <w:gridSpan w:val="2"/>
          </w:tcPr>
          <w:p>
            <w:pPr>
              <w:ind w:left="40"/>
              <w:spacing w:after="0" w:line="170" w:lineRule="exact"/>
              <w:rPr>
                <w:sz w:val="20"/>
                <w:szCs w:val="20"/>
                <w:color w:val="auto"/>
              </w:rPr>
            </w:pPr>
            <w:r>
              <w:rPr>
                <w:rFonts w:ascii="Arial" w:cs="Arial" w:eastAsia="Arial" w:hAnsi="Arial"/>
                <w:sz w:val="15"/>
                <w:szCs w:val="15"/>
                <w:b w:val="1"/>
                <w:bCs w:val="1"/>
                <w:color w:val="auto"/>
              </w:rPr>
              <w:t>Lease Exit</w:t>
            </w:r>
          </w:p>
        </w:tc>
        <w:tc>
          <w:tcPr>
            <w:tcW w:w="260" w:type="dxa"/>
            <w:vAlign w:val="bottom"/>
          </w:tcPr>
          <w:p>
            <w:pPr>
              <w:spacing w:after="0"/>
              <w:rPr>
                <w:sz w:val="14"/>
                <w:szCs w:val="14"/>
                <w:color w:val="auto"/>
              </w:rPr>
            </w:pPr>
          </w:p>
        </w:tc>
        <w:tc>
          <w:tcPr>
            <w:tcW w:w="880" w:type="dxa"/>
            <w:vAlign w:val="bottom"/>
          </w:tcPr>
          <w:p>
            <w:pPr>
              <w:jc w:val="right"/>
              <w:ind w:right="320"/>
              <w:spacing w:after="0" w:line="170" w:lineRule="exact"/>
              <w:rPr>
                <w:sz w:val="20"/>
                <w:szCs w:val="20"/>
                <w:color w:val="auto"/>
              </w:rPr>
            </w:pPr>
            <w:r>
              <w:rPr>
                <w:rFonts w:ascii="Arial" w:cs="Arial" w:eastAsia="Arial" w:hAnsi="Arial"/>
                <w:sz w:val="15"/>
                <w:szCs w:val="15"/>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Balance, October 31, 2016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r>
      <w:tr>
        <w:trPr>
          <w:trHeight w:val="260"/>
        </w:trPr>
        <w:tc>
          <w:tcPr>
            <w:tcW w:w="40" w:type="dxa"/>
            <w:vAlign w:val="bottom"/>
          </w:tcPr>
          <w:p>
            <w:pPr>
              <w:spacing w:after="0"/>
              <w:rPr>
                <w:sz w:val="22"/>
                <w:szCs w:val="22"/>
                <w:color w:val="auto"/>
              </w:rPr>
            </w:pPr>
          </w:p>
        </w:tc>
        <w:tc>
          <w:tcPr>
            <w:tcW w:w="5340" w:type="dxa"/>
            <w:vAlign w:val="bottom"/>
            <w:gridSpan w:val="2"/>
          </w:tcPr>
          <w:p>
            <w:pPr>
              <w:ind w:left="140"/>
              <w:spacing w:after="0"/>
              <w:rPr>
                <w:sz w:val="20"/>
                <w:szCs w:val="20"/>
                <w:color w:val="auto"/>
              </w:rPr>
            </w:pPr>
            <w:r>
              <w:rPr>
                <w:rFonts w:ascii="Arial" w:cs="Arial" w:eastAsia="Arial" w:hAnsi="Arial"/>
                <w:sz w:val="16"/>
                <w:szCs w:val="16"/>
                <w:color w:val="auto"/>
              </w:rPr>
              <w:t>Costs recognized</w:t>
            </w:r>
          </w:p>
        </w:tc>
        <w:tc>
          <w:tcPr>
            <w:tcW w:w="2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r>
      <w:tr>
        <w:trPr>
          <w:trHeight w:val="280"/>
        </w:trPr>
        <w:tc>
          <w:tcPr>
            <w:tcW w:w="40" w:type="dxa"/>
            <w:vAlign w:val="bottom"/>
            <w:shd w:val="clear" w:color="auto" w:fill="CCEEFF"/>
          </w:tcPr>
          <w:p>
            <w:pPr>
              <w:spacing w:after="0"/>
              <w:rPr>
                <w:sz w:val="24"/>
                <w:szCs w:val="24"/>
                <w:color w:val="auto"/>
              </w:rPr>
            </w:pPr>
          </w:p>
        </w:tc>
        <w:tc>
          <w:tcPr>
            <w:tcW w:w="5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4"/>
        </w:trPr>
        <w:tc>
          <w:tcPr>
            <w:tcW w:w="5380" w:type="dxa"/>
            <w:vAlign w:val="bottom"/>
            <w:gridSpan w:val="3"/>
          </w:tcPr>
          <w:p>
            <w:pPr>
              <w:ind w:left="40"/>
              <w:spacing w:after="0"/>
              <w:rPr>
                <w:sz w:val="20"/>
                <w:szCs w:val="20"/>
                <w:color w:val="auto"/>
              </w:rPr>
            </w:pPr>
            <w:r>
              <w:rPr>
                <w:rFonts w:ascii="Arial" w:cs="Arial" w:eastAsia="Arial" w:hAnsi="Arial"/>
                <w:sz w:val="16"/>
                <w:szCs w:val="16"/>
                <w:b w:val="1"/>
                <w:bCs w:val="1"/>
                <w:color w:val="auto"/>
              </w:rPr>
              <w:t>Balance, January 31, 2017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We have incurred cumulative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charges of $46.7 million, including external support fees of $17.2 million, employee severance costs of $13.8 million, other project fees of $7.3 million, asset impairment costs of $4.7 million, and lease exit costs of $3.7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HELD FOR SALE</w:t>
      </w:r>
    </w:p>
    <w:p>
      <w:pPr>
        <w:spacing w:after="0" w:line="171" w:lineRule="exact"/>
        <w:rPr>
          <w:sz w:val="20"/>
          <w:szCs w:val="20"/>
          <w:color w:val="auto"/>
        </w:rPr>
      </w:pPr>
    </w:p>
    <w:p>
      <w:pPr>
        <w:jc w:val="both"/>
        <w:ind w:firstLine="251"/>
        <w:spacing w:after="0" w:line="262" w:lineRule="auto"/>
        <w:rPr>
          <w:sz w:val="20"/>
          <w:szCs w:val="20"/>
          <w:color w:val="auto"/>
        </w:rPr>
      </w:pPr>
      <w:r>
        <w:rPr>
          <w:rFonts w:ascii="Arial" w:cs="Arial" w:eastAsia="Arial" w:hAnsi="Arial"/>
          <w:sz w:val="18"/>
          <w:szCs w:val="18"/>
          <w:color w:val="auto"/>
        </w:rPr>
        <w:t xml:space="preserve">During the fourth quarter of 2016, in connection with the key priorities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decided to divest our Government Services business. We have engaged a third-party broker to assist in this process. During the first quarter of 2017, the broker began to identify interested buyers. We have classified the assets and liabilities of this business as current assets held for sale and current liabilities held for sale, as we expect to complete the sale during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Classes of Assets and Liabilities Held for Sale at Estimated Fair Value</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31, 2017</w:t>
            </w:r>
          </w:p>
        </w:tc>
        <w:tc>
          <w:tcPr>
            <w:tcW w:w="200" w:type="dxa"/>
            <w:vAlign w:val="bottom"/>
          </w:tcPr>
          <w:p>
            <w:pPr>
              <w:spacing w:after="0"/>
              <w:rPr>
                <w:sz w:val="18"/>
                <w:szCs w:val="18"/>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50"/>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Trade accounts receivable, net</w:t>
            </w:r>
          </w:p>
        </w:tc>
        <w:tc>
          <w:tcPr>
            <w:tcW w:w="2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r>
      <w:tr>
        <w:trPr>
          <w:trHeight w:val="263"/>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2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77"/>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76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43"/>
        </w:trPr>
        <w:tc>
          <w:tcPr>
            <w:tcW w:w="440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44.1</w:t>
            </w:r>
          </w:p>
        </w:tc>
      </w:tr>
      <w:tr>
        <w:trPr>
          <w:trHeight w:val="331"/>
        </w:trPr>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63"/>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Trade accounts payable</w:t>
            </w:r>
          </w:p>
        </w:tc>
        <w:tc>
          <w:tcPr>
            <w:tcW w:w="2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14.4</w:t>
            </w:r>
          </w:p>
        </w:tc>
      </w:tr>
      <w:tr>
        <w:trPr>
          <w:trHeight w:val="277"/>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76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37"/>
        </w:trPr>
        <w:tc>
          <w:tcPr>
            <w:tcW w:w="440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2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19.2</w:t>
            </w:r>
          </w:p>
        </w:tc>
      </w:tr>
      <w:tr>
        <w:trPr>
          <w:trHeight w:val="85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60" w:type="dxa"/>
            <w:vAlign w:val="bottom"/>
          </w:tcPr>
          <w:p>
            <w:pPr>
              <w:jc w:val="right"/>
              <w:ind w:right="13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DISCONTINUED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the sale of our Security business in 2015, we record all costs associated with this former business in discontinued operations. Such costs typically relate to ongoing legal cases and insurance reserves. For the three months ended January 31, 2017, we incurred a net loss from discontinued operations of $72.9 million (a pretax loss of $123.1 million). As described in Note 12, “Commitments and Contingencies,” this loss primarily relates to the probable settlements of the Augustus and Karapetyan cases. We recorded the liability for these probable settlements within “Other accrued liabilities” on the accompanying unaudited consolidated balance sheets.</w:t>
      </w:r>
    </w:p>
    <w:p>
      <w:pPr>
        <w:spacing w:after="0" w:line="130" w:lineRule="exact"/>
        <w:rPr>
          <w:sz w:val="20"/>
          <w:szCs w:val="20"/>
          <w:color w:val="auto"/>
        </w:rPr>
      </w:pPr>
    </w:p>
    <w:p>
      <w:pPr>
        <w:jc w:val="both"/>
        <w:ind w:right="9880" w:firstLine="8"/>
        <w:spacing w:after="0" w:line="451"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2017 Acquisitions</w:t>
      </w:r>
    </w:p>
    <w:p>
      <w:pPr>
        <w:jc w:val="both"/>
        <w:ind w:firstLine="648"/>
        <w:spacing w:after="0" w:line="253" w:lineRule="auto"/>
        <w:rPr>
          <w:sz w:val="20"/>
          <w:szCs w:val="20"/>
          <w:color w:val="auto"/>
        </w:rPr>
      </w:pPr>
      <w:r>
        <w:rPr>
          <w:rFonts w:ascii="Arial" w:cs="Arial" w:eastAsia="Arial" w:hAnsi="Arial"/>
          <w:sz w:val="18"/>
          <w:szCs w:val="18"/>
          <w:color w:val="auto"/>
        </w:rPr>
        <w:t>Effective December 1, 2016, we acquired all of the outstanding stock of Mechanical Solutions, Inc. (“MSI”), a provider of specialized HVAC, chiller, and plumbing services, for a purchase price of $12.6 million, subject to post-closing adjustments. The purchase price includes up to $1.0 million of undiscounted contingent consideration that is based on the expected achievement of certain pre-established revenue goals. See Note 8, “Fair Value of Financial Instruments,” regarding our valuation of contingent consideration liabilities. As of December 1, 2016, the operations of MSI are included in our Technical Solutions segment.</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Effective December 1, 2016, we acquired all of the outstanding stock of OFJ Connections Ltd (“OFJ”), a provider of airport transportation services in the United Kingdom, for a purchase price of $6.3 million, subject to post-closing adjustments. As of December 1, 2016, the operations of OFJ are included in our Aviation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September 30, 2016, we acquired all of the outstanding stock of BRBIBR Limited, a company which holds all of the outstanding shares of 8 Solutions Ltd. (“8 Solutions”), a provider of technical cleaning services to data centers in the United Kingdom and certain other locations, for a purchase price of $16.1 million, subject to post-closing adjustments. As of September 30, 2016, the operations of 8 Solutions are included in our Business &amp; Industry segment. 8 Solutions has been renamed ABM Critical Solutions Limited.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December 1, 2015, we acquired all of the outstanding stock of Westway Services Holdings (2014) Ltd. (“Westway”), a provider of technical services to clients in the United Kingdom, for a purchase price of $81.0 million. This acquisition expanded the geographical reach of our technical services business to the United Kingdom, resulting in the allocation of a significant portion of the purchase price to goodwill. As such, we recorded goodwill and intangible assets of $53.8 million and $22.5 million, respectively. The goodwill associated with this acquisition is not deductible for tax purposes. As of December 1, 2015, the operations of Westway are included in our Technical Solutions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and Other Supplemental Financial Information</w:t>
      </w:r>
    </w:p>
    <w:p>
      <w:pPr>
        <w:spacing w:after="0" w:line="193" w:lineRule="exact"/>
        <w:rPr>
          <w:sz w:val="20"/>
          <w:szCs w:val="20"/>
          <w:color w:val="auto"/>
        </w:rPr>
      </w:pPr>
    </w:p>
    <w:p>
      <w:pPr>
        <w:ind w:right="400" w:firstLine="648"/>
        <w:spacing w:after="0" w:line="262" w:lineRule="auto"/>
        <w:rPr>
          <w:sz w:val="20"/>
          <w:szCs w:val="20"/>
          <w:color w:val="auto"/>
        </w:rPr>
      </w:pPr>
      <w:r>
        <w:rPr>
          <w:rFonts w:ascii="Arial" w:cs="Arial" w:eastAsia="Arial" w:hAnsi="Arial"/>
          <w:sz w:val="18"/>
          <w:szCs w:val="18"/>
          <w:color w:val="auto"/>
        </w:rPr>
        <w:t>Pro forma and other supplemental financial information is not presented for these acquisitions, as they are not considered material business combinations individually or on a combined basis.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7. NET (LOSS) INCOME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Income Per Common Share Calculations</w:t>
      </w:r>
    </w:p>
    <w:p>
      <w:pPr>
        <w:spacing w:after="0" w:line="347"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28575</wp:posOffset>
            </wp:positionV>
            <wp:extent cx="2830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8"/>
                <w:szCs w:val="18"/>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r>
      <w:tr>
        <w:trPr>
          <w:trHeight w:val="264"/>
        </w:trPr>
        <w:tc>
          <w:tcPr>
            <w:tcW w:w="69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Net (loss) income from discontinued operations</w:t>
            </w:r>
          </w:p>
        </w:tc>
        <w:tc>
          <w:tcPr>
            <w:tcW w:w="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2"/>
                <w:szCs w:val="22"/>
                <w:color w:val="auto"/>
              </w:rPr>
            </w:pPr>
          </w:p>
        </w:tc>
      </w:tr>
      <w:tr>
        <w:trPr>
          <w:trHeight w:val="257"/>
        </w:trPr>
        <w:tc>
          <w:tcPr>
            <w:tcW w:w="6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76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69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and common equivalent shares outstanding —</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52"/>
        </w:trPr>
        <w:tc>
          <w:tcPr>
            <w:tcW w:w="40" w:type="dxa"/>
            <w:vAlign w:val="bottom"/>
            <w:shd w:val="clear" w:color="auto" w:fill="CCEEFF"/>
          </w:tcPr>
          <w:p>
            <w:pPr>
              <w:spacing w:after="0"/>
              <w:rPr>
                <w:sz w:val="21"/>
                <w:szCs w:val="21"/>
                <w:color w:val="auto"/>
              </w:rPr>
            </w:pPr>
          </w:p>
        </w:tc>
        <w:tc>
          <w:tcPr>
            <w:tcW w:w="69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Basic</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21"/>
                <w:szCs w:val="21"/>
                <w:color w:val="auto"/>
              </w:rPr>
            </w:pPr>
          </w:p>
        </w:tc>
      </w:tr>
      <w:tr>
        <w:trPr>
          <w:trHeight w:val="263"/>
        </w:trPr>
        <w:tc>
          <w:tcPr>
            <w:tcW w:w="6940" w:type="dxa"/>
            <w:vAlign w:val="bottom"/>
            <w:gridSpan w:val="4"/>
          </w:tcPr>
          <w:p>
            <w:pPr>
              <w:ind w:left="40"/>
              <w:spacing w:after="0"/>
              <w:rPr>
                <w:sz w:val="20"/>
                <w:szCs w:val="20"/>
                <w:color w:val="auto"/>
              </w:rPr>
            </w:pPr>
            <w:r>
              <w:rPr>
                <w:rFonts w:ascii="Arial" w:cs="Arial" w:eastAsia="Arial" w:hAnsi="Arial"/>
                <w:sz w:val="18"/>
                <w:szCs w:val="18"/>
                <w:color w:val="auto"/>
              </w:rPr>
              <w:t>Effect of dilutive securities</w:t>
            </w: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6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Restricted stock units</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Arial" w:cs="Arial" w:eastAsia="Arial" w:hAnsi="Arial"/>
                <w:sz w:val="18"/>
                <w:szCs w:val="18"/>
                <w:color w:val="auto"/>
              </w:rPr>
              <w:t>Stock options</w:t>
            </w: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6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Performance shares</w:t>
            </w:r>
          </w:p>
        </w:tc>
        <w:tc>
          <w:tcPr>
            <w:tcW w:w="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4"/>
                <w:szCs w:val="24"/>
                <w:color w:val="auto"/>
              </w:rPr>
            </w:pPr>
          </w:p>
        </w:tc>
      </w:tr>
      <w:tr>
        <w:trPr>
          <w:trHeight w:val="187"/>
        </w:trPr>
        <w:tc>
          <w:tcPr>
            <w:tcW w:w="6940" w:type="dxa"/>
            <w:vAlign w:val="bottom"/>
            <w:gridSpan w:val="4"/>
          </w:tcPr>
          <w:p>
            <w:pPr>
              <w:ind w:left="40"/>
              <w:spacing w:after="0" w:line="187" w:lineRule="exact"/>
              <w:rPr>
                <w:sz w:val="20"/>
                <w:szCs w:val="20"/>
                <w:color w:val="auto"/>
              </w:rPr>
            </w:pPr>
            <w:r>
              <w:rPr>
                <w:rFonts w:ascii="Arial" w:cs="Arial" w:eastAsia="Arial" w:hAnsi="Arial"/>
                <w:sz w:val="18"/>
                <w:szCs w:val="18"/>
                <w:b w:val="1"/>
                <w:bCs w:val="1"/>
                <w:color w:val="auto"/>
              </w:rPr>
              <w:t>Weighted-average common and common equivalent shares outstanding —</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9"/>
        </w:trPr>
        <w:tc>
          <w:tcPr>
            <w:tcW w:w="40" w:type="dxa"/>
            <w:vAlign w:val="bottom"/>
            <w:tcBorders>
              <w:bottom w:val="single" w:sz="8" w:color="CCEEFF"/>
            </w:tcBorders>
          </w:tcPr>
          <w:p>
            <w:pPr>
              <w:spacing w:after="0"/>
              <w:rPr>
                <w:sz w:val="24"/>
                <w:szCs w:val="24"/>
                <w:color w:val="auto"/>
              </w:rPr>
            </w:pPr>
          </w:p>
        </w:tc>
        <w:tc>
          <w:tcPr>
            <w:tcW w:w="690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b w:val="1"/>
                <w:bCs w:val="1"/>
                <w:color w:val="auto"/>
              </w:rPr>
              <w:t>Diluted</w:t>
            </w: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24"/>
                <w:szCs w:val="24"/>
                <w:color w:val="auto"/>
              </w:rPr>
            </w:pPr>
          </w:p>
        </w:tc>
      </w:tr>
      <w:tr>
        <w:trPr>
          <w:trHeight w:val="278"/>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694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(loss) income per common share — Basic</w:t>
            </w: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6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9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(Loss) income from discontinued operations</w:t>
            </w:r>
          </w:p>
        </w:tc>
        <w:tc>
          <w:tcPr>
            <w:tcW w:w="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2"/>
                <w:szCs w:val="2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76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69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common share — Diluted</w:t>
            </w:r>
          </w:p>
        </w:tc>
        <w:tc>
          <w:tcPr>
            <w:tcW w:w="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6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w:t>
            </w:r>
          </w:p>
        </w:tc>
        <w:tc>
          <w:tcPr>
            <w:tcW w:w="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6900" w:type="dxa"/>
            <w:vAlign w:val="bottom"/>
            <w:gridSpan w:val="3"/>
          </w:tcPr>
          <w:p>
            <w:pPr>
              <w:ind w:left="340"/>
              <w:spacing w:after="0"/>
              <w:rPr>
                <w:sz w:val="20"/>
                <w:szCs w:val="20"/>
                <w:color w:val="auto"/>
              </w:rPr>
            </w:pPr>
            <w:r>
              <w:rPr>
                <w:rFonts w:ascii="Arial" w:cs="Arial" w:eastAsia="Arial" w:hAnsi="Arial"/>
                <w:sz w:val="18"/>
                <w:szCs w:val="18"/>
                <w:color w:val="auto"/>
              </w:rPr>
              <w:t>Net (loss) income</w:t>
            </w:r>
          </w:p>
        </w:tc>
        <w:tc>
          <w:tcPr>
            <w:tcW w:w="7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7700" w:type="dxa"/>
            <w:vAlign w:val="bottom"/>
            <w:gridSpan w:val="6"/>
          </w:tcPr>
          <w:p>
            <w:pPr>
              <w:spacing w:after="0"/>
              <w:rPr>
                <w:sz w:val="20"/>
                <w:szCs w:val="20"/>
                <w:color w:val="auto"/>
              </w:rPr>
            </w:pPr>
            <w:r>
              <w:rPr>
                <w:rFonts w:ascii="Arial" w:cs="Arial" w:eastAsia="Arial" w:hAnsi="Arial"/>
                <w:sz w:val="18"/>
                <w:szCs w:val="18"/>
                <w:b w:val="1"/>
                <w:bCs w:val="1"/>
                <w:color w:val="auto"/>
              </w:rPr>
              <w:t>Anti-Dilutive Outstanding Stock Awards Issued Under Share-Based Compensation Plans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right"/>
              <w:ind w:right="690"/>
              <w:spacing w:after="0"/>
              <w:rPr>
                <w:sz w:val="20"/>
                <w:szCs w:val="20"/>
                <w:color w:val="auto"/>
              </w:rPr>
            </w:pPr>
            <w:r>
              <w:rPr>
                <w:rFonts w:ascii="Arial" w:cs="Arial" w:eastAsia="Arial" w:hAnsi="Arial"/>
                <w:sz w:val="18"/>
                <w:szCs w:val="18"/>
                <w:b w:val="1"/>
                <w:bCs w:val="1"/>
                <w:color w:val="auto"/>
              </w:rPr>
              <w:t>Three Months Ended January 31,</w:t>
            </w:r>
          </w:p>
        </w:tc>
        <w:tc>
          <w:tcPr>
            <w:tcW w:w="20" w:type="dxa"/>
            <w:vAlign w:val="bottom"/>
            <w:tcBorders>
              <w:bottom w:val="single" w:sz="8" w:color="auto"/>
            </w:tcBorders>
          </w:tcPr>
          <w:p>
            <w:pPr>
              <w:spacing w:after="0"/>
              <w:rPr>
                <w:sz w:val="24"/>
                <w:szCs w:val="24"/>
                <w:color w:val="auto"/>
              </w:rPr>
            </w:pPr>
          </w:p>
        </w:tc>
      </w:tr>
      <w:tr>
        <w:trPr>
          <w:trHeight w:val="230"/>
        </w:trPr>
        <w:tc>
          <w:tcPr>
            <w:tcW w:w="694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0"/>
        </w:trPr>
        <w:tc>
          <w:tcPr>
            <w:tcW w:w="69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Anti-dilutive</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21"/>
                <w:szCs w:val="21"/>
                <w:color w:val="auto"/>
              </w:rPr>
            </w:pPr>
          </w:p>
        </w:tc>
      </w:tr>
      <w:tr>
        <w:trPr>
          <w:trHeight w:val="810"/>
        </w:trPr>
        <w:tc>
          <w:tcPr>
            <w:tcW w:w="6940" w:type="dxa"/>
            <w:vAlign w:val="bottom"/>
            <w:gridSpan w:val="4"/>
          </w:tcPr>
          <w:p>
            <w:pPr>
              <w:ind w:left="56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11" w:name="page12"/>
    <w:bookmarkEnd w:id="1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 of Our Financial Instruments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1399"/>
              <w:spacing w:after="0"/>
              <w:rPr>
                <w:sz w:val="20"/>
                <w:szCs w:val="20"/>
                <w:color w:val="auto"/>
              </w:rPr>
            </w:pPr>
            <w:r>
              <w:rPr>
                <w:rFonts w:ascii="Arial" w:cs="Arial" w:eastAsia="Arial" w:hAnsi="Arial"/>
                <w:sz w:val="16"/>
                <w:szCs w:val="16"/>
                <w:b w:val="1"/>
                <w:bCs w:val="1"/>
                <w:color w:val="auto"/>
              </w:rPr>
              <w:t>Fair Value</w:t>
            </w:r>
          </w:p>
        </w:tc>
      </w:tr>
      <w:tr>
        <w:trPr>
          <w:trHeight w:val="184"/>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 2017</w:t>
            </w:r>
          </w:p>
        </w:tc>
        <w:tc>
          <w:tcPr>
            <w:tcW w:w="200" w:type="dxa"/>
            <w:vAlign w:val="bottom"/>
          </w:tcPr>
          <w:p>
            <w:pPr>
              <w:spacing w:after="0"/>
              <w:rPr>
                <w:sz w:val="16"/>
                <w:szCs w:val="16"/>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64"/>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Financial assets measured at fair value on a recurring basis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(2)</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(3)</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select financial assets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56.0</w:t>
            </w:r>
          </w:p>
        </w:tc>
      </w:tr>
      <w:tr>
        <w:trPr>
          <w:trHeight w:val="270"/>
        </w:trPr>
        <w:tc>
          <w:tcPr>
            <w:tcW w:w="40" w:type="dxa"/>
            <w:vAlign w:val="bottom"/>
            <w:shd w:val="clear" w:color="auto" w:fill="CCEEFF"/>
          </w:tcPr>
          <w:p>
            <w:pPr>
              <w:spacing w:after="0"/>
              <w:rPr>
                <w:sz w:val="23"/>
                <w:szCs w:val="23"/>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(5)</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9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Financial liabilities measured at fair value on a recurring basis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70"/>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select financial liability</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327"/>
        </w:trPr>
        <w:tc>
          <w:tcPr>
            <w:tcW w:w="40" w:type="dxa"/>
            <w:vAlign w:val="bottom"/>
          </w:tcPr>
          <w:p>
            <w:pPr>
              <w:spacing w:after="0"/>
              <w:rPr>
                <w:sz w:val="24"/>
                <w:szCs w:val="24"/>
                <w:color w:val="auto"/>
              </w:rPr>
            </w:pPr>
          </w:p>
        </w:tc>
        <w:tc>
          <w:tcPr>
            <w:tcW w:w="6240" w:type="dxa"/>
            <w:vAlign w:val="bottom"/>
            <w:gridSpan w:val="2"/>
          </w:tcPr>
          <w:p>
            <w:pPr>
              <w:ind w:left="340"/>
              <w:spacing w:after="0"/>
              <w:rPr>
                <w:sz w:val="20"/>
                <w:szCs w:val="20"/>
                <w:color w:val="auto"/>
              </w:rPr>
            </w:pPr>
            <w:r>
              <w:rPr>
                <w:rFonts w:ascii="Arial" w:cs="Arial" w:eastAsia="Arial" w:hAnsi="Arial"/>
                <w:sz w:val="16"/>
                <w:szCs w:val="16"/>
                <w:color w:val="auto"/>
              </w:rPr>
              <w:t>Line of credit</w:t>
            </w:r>
            <w:r>
              <w:rPr>
                <w:rFonts w:ascii="Arial" w:cs="Arial" w:eastAsia="Arial" w:hAnsi="Arial"/>
                <w:sz w:val="21"/>
                <w:szCs w:val="21"/>
                <w:color w:val="auto"/>
                <w:vertAlign w:val="superscript"/>
              </w:rPr>
              <w:t>(7)</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268.3</w:t>
            </w:r>
          </w:p>
        </w:tc>
      </w:tr>
    </w:tbl>
    <w:p>
      <w:pPr>
        <w:spacing w:after="0" w:line="107" w:lineRule="exact"/>
        <w:rPr>
          <w:sz w:val="20"/>
          <w:szCs w:val="20"/>
          <w:color w:val="auto"/>
        </w:rPr>
      </w:pPr>
    </w:p>
    <w:p>
      <w:pPr>
        <w:jc w:val="both"/>
        <w:ind w:firstLine="8"/>
        <w:spacing w:after="0" w:line="472"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5" w:lineRule="exact"/>
        <w:rPr>
          <w:rFonts w:ascii="Arial" w:cs="Arial" w:eastAsia="Arial" w:hAnsi="Arial"/>
          <w:sz w:val="18"/>
          <w:szCs w:val="18"/>
          <w:color w:val="auto"/>
          <w:vertAlign w:val="superscript"/>
        </w:rPr>
      </w:pPr>
    </w:p>
    <w:p>
      <w:pPr>
        <w:jc w:val="both"/>
        <w:ind w:firstLine="8"/>
        <w:spacing w:after="0" w:line="227" w:lineRule="auto"/>
        <w:tabs>
          <w:tab w:leader="none" w:pos="189"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For investments in auction rate securities, the fair value was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 These amounts are included in “Other investments” on the accompanying unaudited consolidated balance sheets. See Note 9, “Auction Rate Securities,” for further information.</w:t>
      </w:r>
    </w:p>
    <w:p>
      <w:pPr>
        <w:spacing w:after="0" w:line="157" w:lineRule="exact"/>
        <w:rPr>
          <w:rFonts w:ascii="Arial" w:cs="Arial" w:eastAsia="Arial" w:hAnsi="Arial"/>
          <w:sz w:val="22"/>
          <w:szCs w:val="22"/>
          <w:color w:val="auto"/>
          <w:vertAlign w:val="superscript"/>
        </w:rPr>
      </w:pPr>
    </w:p>
    <w:p>
      <w:pPr>
        <w:jc w:val="both"/>
        <w:ind w:firstLine="8"/>
        <w:spacing w:after="0" w:line="272"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These interest rate swaps are included in “Other noncurrent assets” on the accompanying unaudited consolidated balance sheets. See Note 11, “Line of Credit,” for further information.</w:t>
      </w:r>
    </w:p>
    <w:p>
      <w:pPr>
        <w:spacing w:after="0" w:line="89"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56" w:lineRule="exact"/>
        <w:rPr>
          <w:rFonts w:ascii="Arial" w:cs="Arial" w:eastAsia="Arial" w:hAnsi="Arial"/>
          <w:sz w:val="21"/>
          <w:szCs w:val="21"/>
          <w:color w:val="auto"/>
          <w:vertAlign w:val="superscript"/>
        </w:rPr>
      </w:pPr>
    </w:p>
    <w:p>
      <w:pPr>
        <w:jc w:val="both"/>
        <w:ind w:firstLine="8"/>
        <w:spacing w:after="0" w:line="245" w:lineRule="auto"/>
        <w:tabs>
          <w:tab w:leader="none" w:pos="176"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Represents restricted insurance deposits that are used to collateralize our insurance obligations and are stated at nominal value, which equals fair value. These insurance deposits are included in “Other noncurrent assets” on the accompanying unaudited consolidated balance sheets. See Note 10, “Insurance,” for further information.</w:t>
      </w:r>
    </w:p>
    <w:p>
      <w:pPr>
        <w:spacing w:after="0" w:line="154" w:lineRule="exact"/>
        <w:rPr>
          <w:rFonts w:ascii="Arial" w:cs="Arial" w:eastAsia="Arial" w:hAnsi="Arial"/>
          <w:sz w:val="19"/>
          <w:szCs w:val="19"/>
          <w:color w:val="auto"/>
          <w:vertAlign w:val="superscript"/>
        </w:rPr>
      </w:pPr>
    </w:p>
    <w:p>
      <w:pPr>
        <w:jc w:val="both"/>
        <w:ind w:firstLine="8"/>
        <w:spacing w:after="0" w:line="260"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Certain of our acquisitions involve the payment of contingent consideration. The fair value of these liabilities is based on the expected achievement of certain pre-established revenue goals. Our contingent consideration liabilities are included in “Other accrued liabilities” and “Other noncurrent liabilities,” on the accompanying unaudited consolidated balance sheets.</w:t>
      </w:r>
    </w:p>
    <w:p>
      <w:pPr>
        <w:spacing w:after="0" w:line="330" w:lineRule="exact"/>
        <w:rPr>
          <w:rFonts w:ascii="Arial" w:cs="Arial" w:eastAsia="Arial" w:hAnsi="Arial"/>
          <w:sz w:val="18"/>
          <w:szCs w:val="18"/>
          <w:color w:val="auto"/>
          <w:vertAlign w:val="superscript"/>
        </w:rPr>
      </w:pPr>
    </w:p>
    <w:p>
      <w:pPr>
        <w:ind w:right="20" w:firstLine="8"/>
        <w:spacing w:after="0" w:line="263" w:lineRule="auto"/>
        <w:tabs>
          <w:tab w:leader="none" w:pos="162"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outstanding borrowings under our syndicated line of credit. Due to variable interest rates, the carrying value of outstanding borrowings under our line of credit approximates the fair value. See Note 11, “Line of Credit,” for further information.</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assets and liabilities that are measured at fair value on a recurring basis, we also measure certain assets and liabilities at fair value on a non-recurring basis, which are subject to fair value adjustments only in certain circumstances. These assets can include: goodwill; intangible assets; property, plant and equipment; and other long-lived assets that have been reduced to fair value when they are held for sale.</w:t>
      </w:r>
    </w:p>
    <w:p>
      <w:pPr>
        <w:spacing w:after="0" w:line="1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on November 1, 2016, we reorganized our reportable segments and goodwill reporting units. As such, we performed a goodwill impairment test immediately before and after the segment realignment. As a result of this analysis, we concluded that the estimated fair value of each reporting unit exceeded its carrying value and that no further evaluation of impairment was necessary.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January 31, 2017, we had no transfers of assets or liabilities between any of the above hierarchy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AUCTION RATE SECURITIES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January 31, 2017 and October 31, 2016, we held investments in auction rate securities from two different issuers that had an aggregate original principal amount of $ 10.0 million and an amortized cost and fair value of $8.0 million. These two auction rate securities are debt instruments with stated maturities in 2036 and 2050. The interest rates for these securities are designed to be reset through Dutch auctions approximately every thirty days, but auctions for these securities have not occurred since August 2007.</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January 31, 2017 and October 31, 2016, there were no unrealized gains or losses on our auction rate securities included in accumulated other comprehensive loss, net of taxes (“AOCL”), and the total amount of other-than-temporary impairment credit loss on our auction rate security investments included in our retained earnings was $2.0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January 31, 2017</w:t>
            </w:r>
          </w:p>
        </w:tc>
        <w:tc>
          <w:tcPr>
            <w:tcW w:w="120" w:type="dxa"/>
            <w:vAlign w:val="bottom"/>
            <w:tcBorders>
              <w:bottom w:val="single" w:sz="8" w:color="CCEEFF"/>
            </w:tcBorders>
          </w:tcPr>
          <w:p>
            <w:pPr>
              <w:spacing w:after="0"/>
              <w:rPr>
                <w:sz w:val="21"/>
                <w:szCs w:val="21"/>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2016</w:t>
            </w: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 + 0.39% and L + 1.04%</w:t>
            </w: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 + 0.46% and L + 1.30%</w:t>
            </w:r>
          </w:p>
        </w:tc>
      </w:tr>
      <w:tr>
        <w:trPr>
          <w:trHeight w:val="266"/>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2.15%, L + 2.00%</w:t>
            </w:r>
          </w:p>
        </w:tc>
      </w:tr>
    </w:tbl>
    <w:p>
      <w:pPr>
        <w:sectPr>
          <w:pgSz w:w="11900" w:h="16900" w:orient="portrait"/>
          <w:cols w:equalWidth="0" w:num="1">
            <w:col w:w="11420"/>
          </w:cols>
          <w:pgMar w:left="240" w:top="522" w:right="239" w:bottom="0" w:gutter="0" w:footer="0" w:header="0"/>
        </w:sectPr>
      </w:pPr>
    </w:p>
    <w:bookmarkStart w:id="12" w:name="page13"/>
    <w:bookmarkEnd w:id="12"/>
    <w:p>
      <w:pPr>
        <w:ind w:left="40"/>
        <w:spacing w:after="0"/>
        <w:tabs>
          <w:tab w:leader="none" w:pos="5160" w:val="left"/>
          <w:tab w:leader="none" w:pos="9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3773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54305"/>
                    </a:xfrm>
                    <a:prstGeom prst="rect">
                      <a:avLst/>
                    </a:prstGeom>
                    <a:noFill/>
                  </pic:spPr>
                </pic:pic>
              </a:graphicData>
            </a:graphic>
          </wp:anchor>
        </w:drawing>
        <w:t>Average expected lives</w:t>
      </w:r>
      <w:r>
        <w:rPr>
          <w:sz w:val="20"/>
          <w:szCs w:val="20"/>
          <w:color w:val="auto"/>
        </w:rPr>
        <w:tab/>
      </w:r>
      <w:r>
        <w:rPr>
          <w:rFonts w:ascii="Arial" w:cs="Arial" w:eastAsia="Arial" w:hAnsi="Arial"/>
          <w:sz w:val="18"/>
          <w:szCs w:val="18"/>
          <w:color w:val="auto"/>
        </w:rPr>
        <w:t>4 – 10 years</w:t>
      </w:r>
      <w:r>
        <w:rPr>
          <w:sz w:val="20"/>
          <w:szCs w:val="20"/>
          <w:color w:val="auto"/>
        </w:rPr>
        <w:tab/>
      </w:r>
      <w:r>
        <w:rPr>
          <w:rFonts w:ascii="Arial" w:cs="Arial" w:eastAsia="Arial" w:hAnsi="Arial"/>
          <w:sz w:val="17"/>
          <w:szCs w:val="17"/>
          <w:color w:val="auto"/>
        </w:rPr>
        <w:t>4 – 10 years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L – One Month LIBOR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INSURANCE</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$0.4 million of exposure on a per participant per-year basis with respect to claims.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Actuarial Review Performed During the First Quarter of 2017</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January 31, 2017, we performed an actuarial review for the majority of our casualty insurance programs. This review indicated unfavorable developments in our estimates of ultimate losses related to certain general liability and workers’ compensation claims, as described below. This review considered all changes in claim developments and claim payment activity for the period commencing May 1, 2016 and ending October 31, 2016. We performed this review for all policy years in which open claims existed.</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experiencing a moderate claim frequency reduction in our general liability program. However, we experienced adverse developments in prior year claims, which are largely attributable to adjustments on certain property damage claims, in addition to losses for alleged bodily injuries. The average incurred cost for our less severe claims was also higher than expected, and this contributed to the increase in projected cost estimates.</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are experiencing a claim frequency reduction in our workers’ compensation program. However, our estimate of ultimate losses was negatively impacted by increases in projected costs for a significant number of prior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year claims in California and New York. These claims have been negatively impacted by statutory, regulatory, and legal developments.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After analyzing the recent loss developments against benchmarks and applying actuarial projection methods to determine the estimate of ultimate losses, we increased our reserves for known claims as well as our estimate of the loss amounts associated with incurred but not reported claims for prior periods by $ 5.0 million at January 31, 2017. During the third quarter of 2017, comprehensive actuarial evaluations are expected to be completed for our significant insurance programs using recent claims data. We will continue to monitor subsequent developments, which may result in further adjustments to reserves.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Related Balances and Activity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January 31, 2017 and October 31, 2016, we had insurance claim reserves totaling $432.2 million and $423.8 million, respectively, which included $ 6.6 million and $5.9 million in reserves, respectively, related to our medical and dental self-insured plans. At January 31, 2017 and October 31, 2016, we also had insurance recoverables of $69.8 million and $69.7 million, respectively, which we include in “Other current assets” and “Other noncurrent assets” on the accompanying unaudited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Used to Collateralize Our Insurance Obligations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4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 2017</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Standby letters of credit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118.3</w:t>
            </w:r>
          </w:p>
        </w:tc>
      </w:tr>
      <w:tr>
        <w:trPr>
          <w:trHeight w:val="263"/>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Surety bonds</w:t>
            </w:r>
          </w:p>
        </w:tc>
        <w:tc>
          <w:tcPr>
            <w:tcW w:w="18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57.2</w:t>
            </w:r>
          </w:p>
        </w:tc>
      </w:tr>
      <w:tr>
        <w:trPr>
          <w:trHeight w:val="27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Restricted insurance deposits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r>
      <w:tr>
        <w:trPr>
          <w:trHeight w:val="257"/>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186.7</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 OF CREDIT</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30, 2010, we entered into a syndicated credit agreement pursuant to which we obtained an unsecured revolving credit facility (the “Facility”). This credit agreement, as amended from time to time, is referred to as the “Credit Agreement.” We can borrow up to $800.0 million under our Credit Agreement, subject to compliance with certain covenants under the Credit Agreement, and we have the option to increase the size of the Facility to $1.0 billion at any time prior to the December 11, 2018 expiration date (subject to receipt of commitments for the increased amount from existing and new lenders and compliance with such covenants).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 We also pay a commitment fee, based on the leverage ratio, payable quarterly in arrears, ranging from 0.200% to 0.275% on the average daily unused portion of the Facility. For purposes of this calculation, irrevocable standby letters of credit, which are issued primarily in conjunction with our insurance programs, and cash borrowings are included as outstanding under the Facility.</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Credit Agreement contains certain financial covenants that include a maximum leverage ratio of 3.25 to 1.0 (except as described below) and a minimum fixed charge coverage ratio of 1.50 to 1.0. In addition, we are required to maintain a consolidated net worth in an amount not less than the sum of (i) $570.0 million, (ii) 50% of our consolidated net income (with no deduction for net loss), and (iii) 100% of our aggregate increases in stockholders’ equity beginning on November 30, 2010. In the event of a material acquisition, as defined in the Credit Agreement, we may elect to increase the leverage ratio to 3.50 to 1.0 for a total of four fiscal quarters. On January 6, 2017, ABM entered into an amendment (the “Seventh Amendment”) to the Credit Agreement that amends, among other things, the calculations of certain financial covenants to incorporate adjustments with respect to particular cash and non-cash charges, including any reserves, taken in connection with certain litigation. As of January 31, 2017, we were in compliance with the covenants under our Credit Agreement.</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the lenders can terminate or suspend our access to the Facility, declare all amounts outstanding under the Facility (including all accrued interest and unpaid fees) to be immediately due and payable, and require that we cash collateralize the outstanding standby letters of credit.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44" w:right="239" w:bottom="1440" w:gutter="0" w:footer="0" w:header="0"/>
        </w:sectPr>
      </w:pPr>
    </w:p>
    <w:bookmarkStart w:id="14" w:name="page15"/>
    <w:bookmarkEnd w:id="14"/>
    <w:p>
      <w:pPr>
        <w:jc w:val="both"/>
        <w:ind w:firstLine="648"/>
        <w:spacing w:after="0" w:line="258"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where applicable, as set forth in the Credit Agreement. The a</w:t>
      </w:r>
      <w:r>
        <w:rPr>
          <w:rFonts w:ascii="Arial" w:cs="Arial" w:eastAsia="Arial" w:hAnsi="Arial"/>
          <w:sz w:val="17"/>
          <w:szCs w:val="17"/>
          <w:color w:val="auto"/>
        </w:rPr>
        <w:t>vailability of our</w:t>
      </w:r>
      <w:r>
        <w:rPr>
          <w:rFonts w:ascii="Arial" w:cs="Arial" w:eastAsia="Arial" w:hAnsi="Arial"/>
          <w:sz w:val="18"/>
          <w:szCs w:val="18"/>
          <w:color w:val="auto"/>
        </w:rPr>
        <w:t xml:space="preserve"> </w:t>
      </w:r>
      <w:r>
        <w:rPr>
          <w:rFonts w:ascii="Arial" w:cs="Arial" w:eastAsia="Arial" w:hAnsi="Arial"/>
          <w:sz w:val="17"/>
          <w:szCs w:val="17"/>
          <w:color w:val="auto"/>
        </w:rPr>
        <w:t>borrowing capacity is subject to, and limited by, compliance with the covenants described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2017</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rPr>
              <w:t>October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borrowings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r>
      <w:tr>
        <w:trPr>
          <w:trHeight w:val="26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Standby letters of credit</w:t>
            </w:r>
          </w:p>
        </w:tc>
        <w:tc>
          <w:tcPr>
            <w:tcW w:w="260" w:type="dxa"/>
            <w:vAlign w:val="bottom"/>
          </w:tcPr>
          <w:p>
            <w:pPr>
              <w:spacing w:after="0"/>
              <w:rPr>
                <w:sz w:val="22"/>
                <w:szCs w:val="22"/>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130.9</w:t>
            </w:r>
          </w:p>
        </w:tc>
      </w:tr>
      <w:tr>
        <w:trPr>
          <w:trHeight w:val="27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Borrowing capacity</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400.8</w:t>
            </w:r>
          </w:p>
        </w:tc>
      </w:tr>
    </w:tbl>
    <w:p>
      <w:pPr>
        <w:spacing w:after="0" w:line="56" w:lineRule="exact"/>
        <w:rPr>
          <w:sz w:val="20"/>
          <w:szCs w:val="20"/>
          <w:color w:val="auto"/>
        </w:rPr>
      </w:pPr>
    </w:p>
    <w:p>
      <w:pPr>
        <w:ind w:firstLine="8"/>
        <w:spacing w:after="0" w:line="235" w:lineRule="auto"/>
        <w:tabs>
          <w:tab w:leader="none" w:pos="17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At January 31, 2017, current covenant restrictions limit our borrowing capacity to $141.9 million. However, this amount could increase in connection with material acquisitions, as defined in the Credit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Facility. Under these arrangements, we typically pay a fixed interest rate in exchange for LIBOR-based variable interest throughout the life of the agreement.</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2016, we entered into three interest rate swap agreements with effective dates of April 7, 2016 and May 11, 2016, an underlying aggregate notional amount of $105.0 million, and a fixed interest rate of 1.05%. These swaps were designated and accounted for as cash flow hedges from inception and mature on April 7, 2021 and May 11, 2021. See Note 8, “Fair Value of Financial Instruments,” regarding the valuation of our interest rate swaps.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initially report the effective portion of a derivative’s mark-to-market gain or loss as a component of AOCL and subsequently reclassify the gain or loss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January 31, 2017 and October 31, 2016, the amounts recorded in AOCL were $ 1.7 million and $0.2 million, respectively. At January 31, 2017, the amount expected to be reclassified from AOCL to earnings during the next twelve months was $0.7 million.</w:t>
      </w:r>
    </w:p>
    <w:p>
      <w:pPr>
        <w:spacing w:after="0" w:line="120" w:lineRule="exact"/>
        <w:rPr>
          <w:sz w:val="20"/>
          <w:szCs w:val="20"/>
          <w:color w:val="auto"/>
        </w:rPr>
      </w:pPr>
    </w:p>
    <w:p>
      <w:pPr>
        <w:ind w:right="7760" w:firstLine="8"/>
        <w:spacing w:after="0" w:line="451"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Letters of Credit and Surety Bonds</w:t>
      </w:r>
    </w:p>
    <w:p>
      <w:pPr>
        <w:jc w:val="both"/>
        <w:ind w:firstLine="648"/>
        <w:spacing w:after="0" w:line="256"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January 31, 2017, these letters of credit and surety bonds totaled $ 137.9 million and $414.6 million, respectively. Included in the total amount of surety bonds is $3.0 million of bonds with an effective date starting after January 31,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At January 31, 2017 and October 31, 2016, total guarantees were $ 83.2 million and $60.9 million, respectively, and these guarantees extend through 2032 and 2031, respectively.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2019.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4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Sales Tax Audits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advanced on their behalf, we are entitled, in some cases, to seek a refund of that amount of sales tax from the applicable state. Sales tax laws and regulations enacted by the various states are subject to interpretation, and our compliance with such laws is routinely subject to audit and review by the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January 31, 2017, the total amount accrued for all probable litigation losses where a reasonable estimate of the loss could be made was $128.4 million. This $128.4 million includes the accrual of $115.0 million in connection with the probable settlements of the Augustus and Karapetyan cases discussed below, as well as an accrual for payroll taxes related to the probable settlements of $6.8 million. The remaining $6.6 million relates to various other probable litigation losses. Litigation outcomes are difficult to predict and the estimation of probable losses requires the analysis of multiple possible outcomes that often depend on judgments about potential actions by third parties. There is the potential for a material adverse effect on our financial statements if one or more matters are resolved in a particular period in an amount materially in excess of what we anticipated.</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$15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8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is a certified class action involving alleged violations of certain California state laws relating to rest breaks. The case centers on whether requiring security guards to remain on call during rest breaks violated Section 226.7 of the California Labor Code. On February 8, 2012, the plaintiffs filed a motion for summary judgment on the rest break claim, and on July 31, 2012, the Superior Court of California, Los Angeles County (the “Superior Court”), entered judgment in favor of plaintiffs in the amount of approximately $89.7 million (the “common fund”). Subsequently, the Superior Court also awarded plaintiffs’ attorneys’ fees of approximately $4.5 million in addition 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2" w:right="239" w:bottom="1440" w:gutter="0" w:footer="0" w:header="0"/>
        </w:sectPr>
      </w:pPr>
    </w:p>
    <w:bookmarkStart w:id="16" w:name="page17"/>
    <w:bookmarkEnd w:id="16"/>
    <w:p>
      <w:pPr>
        <w:jc w:val="both"/>
        <w:spacing w:after="0" w:line="251" w:lineRule="auto"/>
        <w:rPr>
          <w:sz w:val="20"/>
          <w:szCs w:val="20"/>
          <w:color w:val="auto"/>
        </w:rPr>
      </w:pPr>
      <w:r>
        <w:rPr>
          <w:rFonts w:ascii="Arial" w:cs="Arial" w:eastAsia="Arial" w:hAnsi="Arial"/>
          <w:sz w:val="18"/>
          <w:szCs w:val="18"/>
          <w:color w:val="auto"/>
        </w:rPr>
        <w:t xml:space="preserve">approximately 30% of the common fund. Under California law, post-judgment interest on a judgment accrues at a rate of 10% simple interest per year from the date the judgment is entered until it is satisfied. We appealed the Superior Court’s rulings to the Court of Appeals of the State of California, Second Appellate District (the “Appeals Court”). On December 31, 2014, the Appeals Court issued its opinion, reversing the judgment in favor of the plaintiffs and vacating the award of $89.7 million in damages and the attorneys’ fees award. The plaintiffs filed a petition for review with the California Supreme Court on March 4, 2015, and on April 29, 2015, the California Supreme Court granted the plaintiffs’ petition. On December 22, 2016, the California Supreme Court rendered its decision, holding that on-call and on-duty rest breaks are prohibited by California law, and reversed the Appeals Court judgment on this issue. The amount of post-judgment interest as of December 22, 2016 was approximately $41.2 million. On February 6, 2017, ABM Security Services, Inc., a wholly-owned subsidiary of ABM Industries Incorporated, entered into a Class Action Settlement and Release Agreement with Plaintiffs Jennifer Augustus, Emanuel Davis, Delores Hall, and Carlton Anthony Waite, on behalf of themselves and the settlement class members, to settle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(the “Augustus Settlement Agreement”) on a class-wide basis for $110.0 million. The Augustus Settlement Agreement is contingent upon the approval of the Superior Court.</w:t>
      </w:r>
    </w:p>
    <w:p>
      <w:pPr>
        <w:spacing w:after="0" w:line="153"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Karapetyan v. ABM Industries Incorporated and ABM Security Services, Inc., filed on October 23, 2015, pending in the United States District Court for the Central District of California (the “Karapetyan case”)</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is a putative class action in which the plaintiff seeks to represent a class of security guards who worked during time periods subsequent to the class period in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The plaintiff alleges that ABM violated certain California state laws relating to meal and rest breaks and other wage and hour claims. On January 30, 2017, ABM entered into a Settlement Term Sheet with plaintiff to settle the case on a class-wide basis for $5.0 million. This settlement is contingent upon the finalization of a long-form settlement agreement with respect to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as well as the final approval by the United States District Court for the Central District of California and the final approval by the Superior Court of the Augustus Settlement Agreement.</w:t>
      </w:r>
    </w:p>
    <w:p>
      <w:pPr>
        <w:spacing w:after="0" w:line="142"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On January 18, 2017, the appeals court invited the parties to file supplemental letter briefs. ABM and plaintiffs each filed their respective supplemental letter briefs with the court on February 8, 2017. Oral argument relating to the appeal has not been scheduled.</w:t>
      </w:r>
    </w:p>
    <w:p>
      <w:pPr>
        <w:spacing w:after="0" w:line="18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Hussein and Hirsi v. Air Serv Corporation filed on January 20, 2016, pending in the United States District Court for the Western District of Washington at Seattle (the “Hussein case”)</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is a class action involving a class of certain hourly Air Serv employees at Seattle-Tacoma International Airport in SeaTac, Washington. The plaintiffs allege that Air Serv violated a minimum wage requirement in an ordinance applicable to certain employers in the local city of SeaTac (“the Ordinance”). Plaintiffs seek retroactive wages, double damages, interest, and attorneys’ fees. This matter was removed to federal court. In a separate lawsuit brought by Filo Foods, LLC, Alaska Airlines, and several other employers at SeaTac airport, the King County Superior Court issued a decision that invalidated the Ordinance as it applied to workers at SeaTac airport. Subsequently, the Washington Supreme Court reversed the Superior Court’s decision. There are disputes in federal court concerning the legality of the Ordinance, its applicability to employers at SeaTac airport, and whether the plaintiffs are entitled to retroactive wages, double damages, interest, and attorneys’ fees. On February 7, 2017, a new lawsuit styled </w:t>
      </w:r>
      <w:r>
        <w:rPr>
          <w:rFonts w:ascii="Arial" w:cs="Arial" w:eastAsia="Arial" w:hAnsi="Arial"/>
          <w:sz w:val="18"/>
          <w:szCs w:val="18"/>
          <w:i w:val="1"/>
          <w:iCs w:val="1"/>
          <w:color w:val="auto"/>
        </w:rPr>
        <w:t>Abdirizak Isse et al. v. Air Serv Corporation</w:t>
      </w:r>
      <w:r>
        <w:rPr>
          <w:rFonts w:ascii="Arial" w:cs="Arial" w:eastAsia="Arial" w:hAnsi="Arial"/>
          <w:sz w:val="18"/>
          <w:szCs w:val="18"/>
          <w:color w:val="auto"/>
        </w:rPr>
        <w:t xml:space="preserv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pending in the Superior Court of Washington for King County, was filed against Air Serv on behalf of sixty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 failure to comply with both the minimum wage provision and the sick and safe time provision of the Ordinance. If exposed to liability, we intend to seek reimbursement from our clients.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8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13. 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At January 31, 2017, authorization for $134.1 million of repurchases remained under our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347"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28575</wp:posOffset>
            </wp:positionV>
            <wp:extent cx="2538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460" w:type="dxa"/>
            <w:vAlign w:val="bottom"/>
          </w:tcPr>
          <w:p>
            <w:pPr>
              <w:spacing w:after="0"/>
              <w:rPr>
                <w:sz w:val="18"/>
                <w:szCs w:val="18"/>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purchased</w:t>
            </w: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63"/>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28.19</w:t>
            </w:r>
          </w:p>
        </w:tc>
      </w:tr>
      <w:tr>
        <w:trPr>
          <w:trHeight w:val="27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quarterly provision for income taxes is calculated using an estimated annual effective income tax rate, which is adjusted for discrete items that occur during the reporting period.</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rates on income from continuing operations for the three months ended January 31, 2017 and 2016 were 26.9% and 2.3%, respectively. The effective tax rate for the three months ended January 31, 2017 was favorably impacted by $2.0 million of excess tax benefits related to the vesting of share-based compensation awards and the 2017 Work Opportunity Tax Credits (“WOTC”) for new hires. The effective tax rate for the three months ended January 31, 2016 was favorably impacted by $5.0 million of WOTC from the retroactive reinstatement of the WOTC for calendar year 2015 and the 2016 WOTC for new hires.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2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15. SEGMENT INFORMATION</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November 1, 2016, we reorganized our reportable segments to reflect how we now manage our business by industry group. We have aggregated various operating segments into our reportable segments based upon similar economic characteristics, services, processes, and customers. Our new reportable segments consist of Business &amp; Industry (“B&amp;I”), Aviation, Emerging Industries Group, Technical Solutions, and Government Services, as further described below.</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0" w:type="dxa"/>
            <w:vAlign w:val="bottom"/>
            <w:tcBorders>
              <w:top w:val="single" w:sz="8" w:color="auto"/>
              <w:left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spacing w:after="0"/>
              <w:rPr>
                <w:sz w:val="22"/>
                <w:szCs w:val="22"/>
                <w:color w:val="auto"/>
              </w:rPr>
            </w:pPr>
          </w:p>
        </w:tc>
        <w:tc>
          <w:tcPr>
            <w:tcW w:w="248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4600" w:type="dxa"/>
            <w:vAlign w:val="bottom"/>
            <w:tcBorders>
              <w:top w:val="single" w:sz="8" w:color="auto"/>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REPORTABLE SEGMENTS AND DESCRIPTIONS</w:t>
            </w:r>
          </w:p>
        </w:tc>
        <w:tc>
          <w:tcPr>
            <w:tcW w:w="132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1640" w:type="dxa"/>
            <w:vAlign w:val="bottom"/>
            <w:tcBorders>
              <w:top w:val="single" w:sz="8" w:color="auto"/>
              <w:bottom w:val="single" w:sz="8" w:color="auto"/>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8180" w:type="dxa"/>
            <w:vAlign w:val="bottom"/>
            <w:gridSpan w:val="6"/>
          </w:tcPr>
          <w:p>
            <w:pPr>
              <w:ind w:left="20"/>
              <w:spacing w:after="0"/>
              <w:rPr>
                <w:sz w:val="20"/>
                <w:szCs w:val="20"/>
                <w:color w:val="auto"/>
              </w:rPr>
            </w:pPr>
            <w:r>
              <w:rPr>
                <w:rFonts w:ascii="Arial" w:cs="Arial" w:eastAsia="Arial" w:hAnsi="Arial"/>
                <w:sz w:val="18"/>
                <w:szCs w:val="18"/>
                <w:color w:val="auto"/>
              </w:rPr>
              <w:t>B&amp;I represents our largest reportable segment. It encompasses janitorial, facilities engineering, and</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jc w:val="center"/>
              <w:ind w:right="630"/>
              <w:spacing w:after="0" w:line="202" w:lineRule="exact"/>
              <w:rPr>
                <w:sz w:val="20"/>
                <w:szCs w:val="20"/>
                <w:color w:val="auto"/>
              </w:rPr>
            </w:pPr>
            <w:r>
              <w:rPr>
                <w:rFonts w:ascii="Arial" w:cs="Arial" w:eastAsia="Arial" w:hAnsi="Arial"/>
                <w:sz w:val="18"/>
                <w:szCs w:val="18"/>
                <w:color w:val="auto"/>
                <w:w w:val="96"/>
              </w:rPr>
              <w:t>B&amp;I</w:t>
            </w:r>
          </w:p>
        </w:tc>
        <w:tc>
          <w:tcPr>
            <w:tcW w:w="818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parking services to commercial real estate industries, including sports and entertainment venues, as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well as industrial and manufacturing sites.</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8180" w:type="dxa"/>
            <w:vAlign w:val="bottom"/>
            <w:gridSpan w:val="6"/>
          </w:tcPr>
          <w:p>
            <w:pPr>
              <w:ind w:left="20"/>
              <w:spacing w:after="0"/>
              <w:rPr>
                <w:sz w:val="20"/>
                <w:szCs w:val="20"/>
                <w:color w:val="auto"/>
              </w:rPr>
            </w:pPr>
            <w:r>
              <w:rPr>
                <w:rFonts w:ascii="Arial" w:cs="Arial" w:eastAsia="Arial" w:hAnsi="Arial"/>
                <w:sz w:val="18"/>
                <w:szCs w:val="18"/>
                <w:color w:val="auto"/>
              </w:rPr>
              <w:t>Aviation includes services supporting airlines and airports. A wide array of services that support the</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18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needs of our clients are included in this segment, ranging from parking and janitorial to passenger</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jc w:val="center"/>
              <w:ind w:right="630"/>
              <w:spacing w:after="0" w:line="202" w:lineRule="exact"/>
              <w:rPr>
                <w:sz w:val="20"/>
                <w:szCs w:val="20"/>
                <w:color w:val="auto"/>
              </w:rPr>
            </w:pPr>
            <w:r>
              <w:rPr>
                <w:rFonts w:ascii="Arial" w:cs="Arial" w:eastAsia="Arial" w:hAnsi="Arial"/>
                <w:sz w:val="18"/>
                <w:szCs w:val="18"/>
                <w:color w:val="auto"/>
                <w:w w:val="99"/>
              </w:rPr>
              <w:t>Aviation</w:t>
            </w:r>
          </w:p>
        </w:tc>
        <w:tc>
          <w:tcPr>
            <w:tcW w:w="818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assistance, air cabin maintenance, and transportation. Aviation also includes one of our investments</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spacing w:after="0"/>
              <w:rPr>
                <w:sz w:val="17"/>
                <w:szCs w:val="17"/>
                <w:color w:val="auto"/>
              </w:rPr>
            </w:pPr>
          </w:p>
        </w:tc>
        <w:tc>
          <w:tcPr>
            <w:tcW w:w="818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in an unconsolidated affiliate that was previously part of our government business under our legacy</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Building &amp; Energy Solutions segment.</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8180" w:type="dxa"/>
            <w:vAlign w:val="bottom"/>
            <w:gridSpan w:val="6"/>
          </w:tcPr>
          <w:p>
            <w:pPr>
              <w:ind w:left="20"/>
              <w:spacing w:after="0"/>
              <w:rPr>
                <w:sz w:val="20"/>
                <w:szCs w:val="20"/>
                <w:color w:val="auto"/>
              </w:rPr>
            </w:pPr>
            <w:r>
              <w:rPr>
                <w:rFonts w:ascii="Arial" w:cs="Arial" w:eastAsia="Arial" w:hAnsi="Arial"/>
                <w:sz w:val="18"/>
                <w:szCs w:val="18"/>
                <w:color w:val="auto"/>
              </w:rPr>
              <w:t>Our Emerging Industries Group encompasses janitorial, facilities engineering, and parking services for</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31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Emerging Industries Group</w:t>
            </w:r>
          </w:p>
        </w:tc>
        <w:tc>
          <w:tcPr>
            <w:tcW w:w="818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the Education, Healthcare, and High Tech industries, which have been combined into one reportable</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segment.</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8180" w:type="dxa"/>
            <w:vAlign w:val="bottom"/>
            <w:gridSpan w:val="6"/>
          </w:tcPr>
          <w:p>
            <w:pPr>
              <w:ind w:left="20"/>
              <w:spacing w:after="0"/>
              <w:rPr>
                <w:sz w:val="20"/>
                <w:szCs w:val="20"/>
                <w:color w:val="auto"/>
              </w:rPr>
            </w:pPr>
            <w:r>
              <w:rPr>
                <w:rFonts w:ascii="Arial" w:cs="Arial" w:eastAsia="Arial" w:hAnsi="Arial"/>
                <w:sz w:val="18"/>
                <w:szCs w:val="18"/>
                <w:color w:val="auto"/>
              </w:rPr>
              <w:t>Technical Solutions provides specialized mechanical and electrical services. These services can also</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jc w:val="center"/>
              <w:ind w:right="650"/>
              <w:spacing w:after="0" w:line="202" w:lineRule="exact"/>
              <w:rPr>
                <w:sz w:val="20"/>
                <w:szCs w:val="20"/>
                <w:color w:val="auto"/>
              </w:rPr>
            </w:pPr>
            <w:r>
              <w:rPr>
                <w:rFonts w:ascii="Arial" w:cs="Arial" w:eastAsia="Arial" w:hAnsi="Arial"/>
                <w:sz w:val="18"/>
                <w:szCs w:val="18"/>
                <w:color w:val="auto"/>
                <w:w w:val="98"/>
              </w:rPr>
              <w:t>Technical Solutions</w:t>
            </w:r>
          </w:p>
        </w:tc>
        <w:tc>
          <w:tcPr>
            <w:tcW w:w="818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be leveraged for cross-selling within B&amp;I, Aviation, and the Emerging Industries Group, both</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81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domestically and internationally, primarily in the U.K. through our acquisition of Westway.</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80" w:type="dxa"/>
            <w:vAlign w:val="bottom"/>
            <w:tcBorders>
              <w:right w:val="single" w:sz="8" w:color="auto"/>
            </w:tcBorders>
          </w:tcPr>
          <w:p>
            <w:pPr>
              <w:spacing w:after="0"/>
              <w:rPr>
                <w:sz w:val="19"/>
                <w:szCs w:val="19"/>
                <w:color w:val="auto"/>
              </w:rPr>
            </w:pPr>
          </w:p>
        </w:tc>
        <w:tc>
          <w:tcPr>
            <w:tcW w:w="8180" w:type="dxa"/>
            <w:vAlign w:val="bottom"/>
            <w:gridSpan w:val="6"/>
          </w:tcPr>
          <w:p>
            <w:pPr>
              <w:ind w:left="20"/>
              <w:spacing w:after="0"/>
              <w:rPr>
                <w:sz w:val="20"/>
                <w:szCs w:val="20"/>
                <w:color w:val="auto"/>
              </w:rPr>
            </w:pPr>
            <w:r>
              <w:rPr>
                <w:rFonts w:ascii="Arial" w:cs="Arial" w:eastAsia="Arial" w:hAnsi="Arial"/>
                <w:sz w:val="18"/>
                <w:szCs w:val="18"/>
                <w:color w:val="auto"/>
              </w:rPr>
              <w:t>Our held-for-sale Government Services business provides specialty solutions in support of U.S.</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tcBorders>
              <w:right w:val="single" w:sz="8" w:color="auto"/>
            </w:tcBorders>
          </w:tcPr>
          <w:p>
            <w:pPr>
              <w:jc w:val="center"/>
              <w:ind w:right="650"/>
              <w:spacing w:after="0" w:line="202" w:lineRule="exact"/>
              <w:rPr>
                <w:sz w:val="20"/>
                <w:szCs w:val="20"/>
                <w:color w:val="auto"/>
              </w:rPr>
            </w:pPr>
            <w:r>
              <w:rPr>
                <w:rFonts w:ascii="Arial" w:cs="Arial" w:eastAsia="Arial" w:hAnsi="Arial"/>
                <w:sz w:val="18"/>
                <w:szCs w:val="18"/>
                <w:color w:val="auto"/>
              </w:rPr>
              <w:t>Government Services</w:t>
            </w:r>
          </w:p>
        </w:tc>
        <w:tc>
          <w:tcPr>
            <w:tcW w:w="8180" w:type="dxa"/>
            <w:vAlign w:val="bottom"/>
            <w:gridSpan w:val="6"/>
          </w:tcPr>
          <w:p>
            <w:pPr>
              <w:ind w:left="20"/>
              <w:spacing w:after="0" w:line="202" w:lineRule="exact"/>
              <w:rPr>
                <w:sz w:val="20"/>
                <w:szCs w:val="20"/>
                <w:color w:val="auto"/>
              </w:rPr>
            </w:pPr>
            <w:r>
              <w:rPr>
                <w:rFonts w:ascii="Arial" w:cs="Arial" w:eastAsia="Arial" w:hAnsi="Arial"/>
                <w:sz w:val="18"/>
                <w:szCs w:val="18"/>
                <w:color w:val="auto"/>
              </w:rPr>
              <w:t>government entities, such as: construction management; healthcare support; leadership development;</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c>
          <w:tcPr>
            <w:tcW w:w="60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military base operations; and other mission support services.</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9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16"/>
                <w:szCs w:val="16"/>
                <w:b w:val="1"/>
                <w:bCs w:val="1"/>
                <w:color w:val="auto"/>
              </w:rPr>
              <w:t>Three Months Ended January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2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jc w:val="right"/>
              <w:ind w:right="84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ind w:right="821"/>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3740" w:type="dxa"/>
            <w:vAlign w:val="bottom"/>
          </w:tcPr>
          <w:p>
            <w:pPr>
              <w:spacing w:after="0"/>
              <w:rPr>
                <w:sz w:val="23"/>
                <w:szCs w:val="23"/>
                <w:color w:val="auto"/>
              </w:rPr>
            </w:pP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755.0</w:t>
            </w:r>
          </w:p>
        </w:tc>
        <w:tc>
          <w:tcPr>
            <w:tcW w:w="100" w:type="dxa"/>
            <w:vAlign w:val="bottom"/>
          </w:tcPr>
          <w:p>
            <w:pPr>
              <w:spacing w:after="0"/>
              <w:rPr>
                <w:sz w:val="23"/>
                <w:szCs w:val="23"/>
                <w:color w:val="auto"/>
              </w:rPr>
            </w:pPr>
          </w:p>
        </w:tc>
        <w:tc>
          <w:tcPr>
            <w:tcW w:w="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743.6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Aviation</w:t>
            </w:r>
          </w:p>
        </w:tc>
        <w:tc>
          <w:tcPr>
            <w:tcW w:w="37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232.0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Emerging Industries Group</w:t>
            </w:r>
          </w:p>
        </w:tc>
        <w:tc>
          <w:tcPr>
            <w:tcW w:w="3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199.1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Technical Solutions</w:t>
            </w:r>
          </w:p>
        </w:tc>
        <w:tc>
          <w:tcPr>
            <w:tcW w:w="37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Government Services</w:t>
            </w:r>
          </w:p>
        </w:tc>
        <w:tc>
          <w:tcPr>
            <w:tcW w:w="374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CCEEFF"/>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right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1,326.7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1,268.4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w:t>
            </w:r>
          </w:p>
        </w:tc>
        <w:tc>
          <w:tcPr>
            <w:tcW w:w="3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20" w:type="dxa"/>
            <w:vAlign w:val="bottom"/>
            <w:gridSpan w:val="3"/>
            <w:vMerge w:val="continue"/>
          </w:tcPr>
          <w:p>
            <w:pPr>
              <w:spacing w:after="0"/>
              <w:rPr>
                <w:sz w:val="21"/>
                <w:szCs w:val="21"/>
                <w:color w:val="auto"/>
              </w:rPr>
            </w:pPr>
          </w:p>
        </w:tc>
        <w:tc>
          <w:tcPr>
            <w:tcW w:w="3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Business &amp; Industry</w:t>
            </w:r>
          </w:p>
        </w:tc>
        <w:tc>
          <w:tcPr>
            <w:tcW w:w="37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3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Emerging Industries Group</w:t>
            </w:r>
          </w:p>
        </w:tc>
        <w:tc>
          <w:tcPr>
            <w:tcW w:w="37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3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Government Services</w:t>
            </w:r>
          </w:p>
        </w:tc>
        <w:tc>
          <w:tcPr>
            <w:tcW w:w="37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3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960" w:type="dxa"/>
            <w:vAlign w:val="bottom"/>
            <w:tcBorders>
              <w:left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Adjustment for income from unconsolidated affiliates, net, included in Aviation and Government</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CCEEFF"/>
            </w:tcBorders>
            <w:shd w:val="clear" w:color="auto" w:fill="CCEEFF"/>
          </w:tcPr>
          <w:p>
            <w:pPr>
              <w:spacing w:after="0"/>
              <w:rPr>
                <w:sz w:val="17"/>
                <w:szCs w:val="17"/>
                <w:color w:val="auto"/>
              </w:rPr>
            </w:pPr>
          </w:p>
        </w:tc>
        <w:tc>
          <w:tcPr>
            <w:tcW w:w="31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Services</w:t>
            </w:r>
          </w:p>
        </w:tc>
        <w:tc>
          <w:tcPr>
            <w:tcW w:w="3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60" w:type="dxa"/>
            <w:vAlign w:val="bottom"/>
            <w:gridSpan w:val="4"/>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 included in Technical</w:t>
            </w: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Solutions</w:t>
            </w:r>
          </w:p>
        </w:tc>
        <w:tc>
          <w:tcPr>
            <w:tcW w:w="3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80" w:type="dxa"/>
            <w:vAlign w:val="bottom"/>
            <w:tcBorders>
              <w:right w:val="single" w:sz="8" w:color="CCEEFF"/>
            </w:tcBorders>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20" w:type="dxa"/>
            <w:vAlign w:val="bottom"/>
            <w:tcBorders>
              <w:left w:val="single" w:sz="8" w:color="CCEEFF"/>
              <w:righ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74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6960" w:type="dxa"/>
            <w:vAlign w:val="bottom"/>
            <w:gridSpan w:val="4"/>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86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740" w:type="dxa"/>
            <w:vAlign w:val="bottom"/>
            <w:vMerge w:val="restart"/>
          </w:tcPr>
          <w:p>
            <w:pPr>
              <w:ind w:left="2400"/>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19" w:name="page20"/>
    <w:bookmarkEnd w:id="19"/>
    <w:p>
      <w:pPr>
        <w:jc w:val="both"/>
        <w:ind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adjustments resulting from actuarial developments of self-insurance reserves, and direct acquisition costs.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9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2016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 Our MD&amp;A is comprised of the following sections:</w:t>
      </w:r>
    </w:p>
    <w:p>
      <w:pPr>
        <w:spacing w:after="0" w:line="4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and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ABM is a leading provider of integrated facility solutions, customized by industry, that enable our clients to deliver exceptional facilities experiences.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involves a three-phase approach: Phase 1, which we completed on November 1, 2016, involved a realignment of our organization; Phase 2 focuses on improvements to our operational framework to promote efficiencies and process enhancements; and in Phase 3, on the foundation of benefits realized from Phases 1 and 2, we anticipate accelerating growth with our industry-based go-to-market service model. Beginning in 2016, we made progress on the following four operating priorities:</w:t>
      </w:r>
    </w:p>
    <w:p>
      <w:pPr>
        <w:spacing w:after="0" w:line="9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Organizational Realignment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Consistent Excellence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Optimization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Talent Development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Developments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We have begun to identify enterprise-wide standard operating procedures and to migrate more of our back office functions to the shared services center. We have also furthered our procurement consolidation efforts, resulting in savings of $1.5 million during the first quarter of 2017. We have also started to make certain investments in technology platforms to help drive and sustain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performance. By prioritizing these initiatives, we are building a foundation that should enable us to deliver leading industry-based facility solutions. With the progress made to date on our industry realignment and cost savings initiatives, we believe we are on track to deliver long-term profitable growth and capture cost savings.</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previously announced, during the fourth quarter of 2016 we decided to divest our Government Services business. We have engaged a third-party broker to assist in this process. During the first quarter of 2017, the broker began to identify interested buyers. We have classified the assets and liabilities of this business as current assets held for sale and current liabilities held for sale, as we expect to complete the sale during 2017.</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 xml:space="preserve">Segment Reporting Under Our </w:t>
      </w:r>
      <w:r>
        <w:rPr>
          <w:rFonts w:ascii="Arial" w:cs="Arial" w:eastAsia="Arial" w:hAnsi="Arial"/>
          <w:sz w:val="18"/>
          <w:szCs w:val="18"/>
          <w:b w:val="1"/>
          <w:bCs w:val="1"/>
          <w:i w:val="1"/>
          <w:iCs w:val="1"/>
          <w:color w:val="FF9900"/>
        </w:rPr>
        <w:t>2020</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0070C0"/>
        </w:rPr>
        <w:t>Vision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 xml:space="preserve">Following completion of Phase 1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on November 1, 2016, our business is now organized into five industry groups and one Technical Solutions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77470</wp:posOffset>
            </wp:positionV>
            <wp:extent cx="5814695" cy="857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469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After establishing this industry-based structure, we identified our operating segments and aggregated them into reportable segments based on similar economic characteristics, services, processes, and customers. As a result, our new reportable segments consist of Business</w:t>
      </w:r>
    </w:p>
    <w:p>
      <w:pPr>
        <w:spacing w:after="0" w:line="1" w:lineRule="exact"/>
        <w:rPr>
          <w:sz w:val="20"/>
          <w:szCs w:val="20"/>
          <w:color w:val="auto"/>
        </w:rPr>
      </w:pPr>
    </w:p>
    <w:p>
      <w:pPr>
        <w:ind w:right="20" w:firstLine="8"/>
        <w:spacing w:after="0" w:line="262"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(“B&amp;I”), Aviation, Emerging Industries Group, Technical Solutions, and held-for-sale Government Services, as further described below:</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220" w:type="dxa"/>
            <w:vAlign w:val="bottom"/>
            <w:tcBorders>
              <w:top w:val="single" w:sz="8" w:color="auto"/>
              <w:left w:val="single" w:sz="8" w:color="auto"/>
              <w:bottom w:val="single" w:sz="8" w:color="auto"/>
              <w:right w:val="single" w:sz="8" w:color="CCEEFF"/>
            </w:tcBorders>
            <w:shd w:val="clear" w:color="auto" w:fill="CCEEFF"/>
          </w:tcPr>
          <w:p>
            <w:pPr>
              <w:spacing w:after="0"/>
              <w:rPr>
                <w:sz w:val="22"/>
                <w:szCs w:val="22"/>
                <w:color w:val="auto"/>
              </w:rPr>
            </w:pPr>
          </w:p>
        </w:tc>
        <w:tc>
          <w:tcPr>
            <w:tcW w:w="8200" w:type="dxa"/>
            <w:vAlign w:val="bottom"/>
            <w:tcBorders>
              <w:top w:val="single" w:sz="8" w:color="auto"/>
              <w:bottom w:val="single" w:sz="8" w:color="auto"/>
              <w:right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REPORTABLE SEGMENTS AND DESCRIPTIONS</w:t>
            </w:r>
          </w:p>
        </w:tc>
        <w:tc>
          <w:tcPr>
            <w:tcW w:w="0" w:type="dxa"/>
            <w:vAlign w:val="bottom"/>
          </w:tcPr>
          <w:p>
            <w:pPr>
              <w:spacing w:after="0"/>
              <w:rPr>
                <w:sz w:val="1"/>
                <w:szCs w:val="1"/>
                <w:color w:val="auto"/>
              </w:rPr>
            </w:pPr>
          </w:p>
        </w:tc>
      </w:tr>
      <w:tr>
        <w:trPr>
          <w:trHeight w:val="229"/>
        </w:trPr>
        <w:tc>
          <w:tcPr>
            <w:tcW w:w="3220" w:type="dxa"/>
            <w:vAlign w:val="bottom"/>
            <w:tcBorders>
              <w:left w:val="single" w:sz="8" w:color="auto"/>
              <w:right w:val="single" w:sz="8" w:color="auto"/>
            </w:tcBorders>
          </w:tcPr>
          <w:p>
            <w:pPr>
              <w:spacing w:after="0"/>
              <w:rPr>
                <w:sz w:val="19"/>
                <w:szCs w:val="19"/>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B&amp;I represents our largest reportable segment. It encompasses janitorial, facilities engineering, and</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B&amp;I</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parking services to commercial real estate industries, including sports and entertainment venues, as</w:t>
            </w:r>
          </w:p>
        </w:tc>
        <w:tc>
          <w:tcPr>
            <w:tcW w:w="0" w:type="dxa"/>
            <w:vAlign w:val="bottom"/>
          </w:tcPr>
          <w:p>
            <w:pPr>
              <w:spacing w:after="0"/>
              <w:rPr>
                <w:sz w:val="1"/>
                <w:szCs w:val="1"/>
                <w:color w:val="auto"/>
              </w:rPr>
            </w:pPr>
          </w:p>
        </w:tc>
      </w:tr>
      <w:tr>
        <w:trPr>
          <w:trHeight w:val="224"/>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well as industrial and manufacturing sites.</w:t>
            </w:r>
          </w:p>
        </w:tc>
        <w:tc>
          <w:tcPr>
            <w:tcW w:w="0" w:type="dxa"/>
            <w:vAlign w:val="bottom"/>
          </w:tcPr>
          <w:p>
            <w:pPr>
              <w:spacing w:after="0"/>
              <w:rPr>
                <w:sz w:val="1"/>
                <w:szCs w:val="1"/>
                <w:color w:val="auto"/>
              </w:rPr>
            </w:pPr>
          </w:p>
        </w:tc>
      </w:tr>
      <w:tr>
        <w:trPr>
          <w:trHeight w:val="229"/>
        </w:trPr>
        <w:tc>
          <w:tcPr>
            <w:tcW w:w="3220" w:type="dxa"/>
            <w:vAlign w:val="bottom"/>
            <w:tcBorders>
              <w:left w:val="single" w:sz="8" w:color="auto"/>
              <w:right w:val="single" w:sz="8" w:color="auto"/>
            </w:tcBorders>
          </w:tcPr>
          <w:p>
            <w:pPr>
              <w:spacing w:after="0"/>
              <w:rPr>
                <w:sz w:val="19"/>
                <w:szCs w:val="19"/>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Aviation includes services supporting airlines and airports. A wide array of services that support the</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needs of our clients are included in this segment, ranging from parking and janitorial to passenger</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Aviation</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assistance, air cabin maintenance, and transportation. Aviation also includes one of our investments</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spacing w:after="0"/>
              <w:rPr>
                <w:sz w:val="17"/>
                <w:szCs w:val="17"/>
                <w:color w:val="auto"/>
              </w:rPr>
            </w:pP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an unconsolidated affiliate that was previously part of our government business under our legacy</w:t>
            </w:r>
          </w:p>
        </w:tc>
        <w:tc>
          <w:tcPr>
            <w:tcW w:w="0" w:type="dxa"/>
            <w:vAlign w:val="bottom"/>
          </w:tcPr>
          <w:p>
            <w:pPr>
              <w:spacing w:after="0"/>
              <w:rPr>
                <w:sz w:val="1"/>
                <w:szCs w:val="1"/>
                <w:color w:val="auto"/>
              </w:rPr>
            </w:pPr>
          </w:p>
        </w:tc>
      </w:tr>
      <w:tr>
        <w:trPr>
          <w:trHeight w:val="224"/>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Building &amp; Energy Solutions segment.</w:t>
            </w:r>
          </w:p>
        </w:tc>
        <w:tc>
          <w:tcPr>
            <w:tcW w:w="0" w:type="dxa"/>
            <w:vAlign w:val="bottom"/>
          </w:tcPr>
          <w:p>
            <w:pPr>
              <w:spacing w:after="0"/>
              <w:rPr>
                <w:sz w:val="1"/>
                <w:szCs w:val="1"/>
                <w:color w:val="auto"/>
              </w:rPr>
            </w:pPr>
          </w:p>
        </w:tc>
      </w:tr>
      <w:tr>
        <w:trPr>
          <w:trHeight w:val="229"/>
        </w:trPr>
        <w:tc>
          <w:tcPr>
            <w:tcW w:w="3220" w:type="dxa"/>
            <w:vAlign w:val="bottom"/>
            <w:tcBorders>
              <w:left w:val="single" w:sz="8" w:color="auto"/>
              <w:right w:val="single" w:sz="8" w:color="auto"/>
            </w:tcBorders>
          </w:tcPr>
          <w:p>
            <w:pPr>
              <w:spacing w:after="0"/>
              <w:rPr>
                <w:sz w:val="19"/>
                <w:szCs w:val="19"/>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Our Emerging Industries Group encompasses janitorial, facilities engineering, and parking services for</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Emerging Industries Group</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Education, Healthcare, and High Tech industries, which have been combined into one reportable</w:t>
            </w:r>
          </w:p>
        </w:tc>
        <w:tc>
          <w:tcPr>
            <w:tcW w:w="0" w:type="dxa"/>
            <w:vAlign w:val="bottom"/>
          </w:tcPr>
          <w:p>
            <w:pPr>
              <w:spacing w:after="0"/>
              <w:rPr>
                <w:sz w:val="1"/>
                <w:szCs w:val="1"/>
                <w:color w:val="auto"/>
              </w:rPr>
            </w:pPr>
          </w:p>
        </w:tc>
      </w:tr>
      <w:tr>
        <w:trPr>
          <w:trHeight w:val="224"/>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segment.</w:t>
            </w:r>
          </w:p>
        </w:tc>
        <w:tc>
          <w:tcPr>
            <w:tcW w:w="0" w:type="dxa"/>
            <w:vAlign w:val="bottom"/>
          </w:tcPr>
          <w:p>
            <w:pPr>
              <w:spacing w:after="0"/>
              <w:rPr>
                <w:sz w:val="1"/>
                <w:szCs w:val="1"/>
                <w:color w:val="auto"/>
              </w:rPr>
            </w:pPr>
          </w:p>
        </w:tc>
      </w:tr>
      <w:tr>
        <w:trPr>
          <w:trHeight w:val="229"/>
        </w:trPr>
        <w:tc>
          <w:tcPr>
            <w:tcW w:w="3220" w:type="dxa"/>
            <w:vAlign w:val="bottom"/>
            <w:tcBorders>
              <w:left w:val="single" w:sz="8" w:color="auto"/>
              <w:right w:val="single" w:sz="8" w:color="auto"/>
            </w:tcBorders>
          </w:tcPr>
          <w:p>
            <w:pPr>
              <w:spacing w:after="0"/>
              <w:rPr>
                <w:sz w:val="19"/>
                <w:szCs w:val="19"/>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Technical Solutions provides specialized mechanical and electrical services. These services can also</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be leveraged for cross-selling within B&amp;I, Aviation, and the Emerging Industries Group, both</w:t>
            </w:r>
          </w:p>
        </w:tc>
        <w:tc>
          <w:tcPr>
            <w:tcW w:w="0" w:type="dxa"/>
            <w:vAlign w:val="bottom"/>
          </w:tcPr>
          <w:p>
            <w:pPr>
              <w:spacing w:after="0"/>
              <w:rPr>
                <w:sz w:val="1"/>
                <w:szCs w:val="1"/>
                <w:color w:val="auto"/>
              </w:rPr>
            </w:pPr>
          </w:p>
        </w:tc>
      </w:tr>
      <w:tr>
        <w:trPr>
          <w:trHeight w:val="109"/>
        </w:trPr>
        <w:tc>
          <w:tcPr>
            <w:tcW w:w="3220" w:type="dxa"/>
            <w:vAlign w:val="bottom"/>
            <w:tcBorders>
              <w:left w:val="single" w:sz="8" w:color="auto"/>
              <w:right w:val="single" w:sz="8" w:color="auto"/>
            </w:tcBorders>
            <w:vMerge w:val="continue"/>
          </w:tcPr>
          <w:p>
            <w:pPr>
              <w:spacing w:after="0"/>
              <w:rPr>
                <w:sz w:val="9"/>
                <w:szCs w:val="9"/>
                <w:color w:val="auto"/>
              </w:rPr>
            </w:pPr>
          </w:p>
        </w:tc>
        <w:tc>
          <w:tcPr>
            <w:tcW w:w="820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domestically and internationally, primarily in the U.K. through our acquisition of Westway Services</w:t>
            </w:r>
          </w:p>
        </w:tc>
        <w:tc>
          <w:tcPr>
            <w:tcW w:w="0" w:type="dxa"/>
            <w:vAlign w:val="bottom"/>
          </w:tcPr>
          <w:p>
            <w:pPr>
              <w:spacing w:after="0"/>
              <w:rPr>
                <w:sz w:val="1"/>
                <w:szCs w:val="1"/>
                <w:color w:val="auto"/>
              </w:rPr>
            </w:pPr>
          </w:p>
        </w:tc>
      </w:tr>
      <w:tr>
        <w:trPr>
          <w:trHeight w:val="94"/>
        </w:trPr>
        <w:tc>
          <w:tcPr>
            <w:tcW w:w="3220" w:type="dxa"/>
            <w:vAlign w:val="bottom"/>
            <w:tcBorders>
              <w:left w:val="single" w:sz="8" w:color="auto"/>
              <w:right w:val="single" w:sz="8" w:color="auto"/>
            </w:tcBorders>
          </w:tcPr>
          <w:p>
            <w:pPr>
              <w:spacing w:after="0"/>
              <w:rPr>
                <w:sz w:val="8"/>
                <w:szCs w:val="8"/>
                <w:color w:val="auto"/>
              </w:rPr>
            </w:pPr>
          </w:p>
        </w:tc>
        <w:tc>
          <w:tcPr>
            <w:tcW w:w="8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Holdings (2014) Ltd.</w:t>
            </w:r>
          </w:p>
        </w:tc>
        <w:tc>
          <w:tcPr>
            <w:tcW w:w="0" w:type="dxa"/>
            <w:vAlign w:val="bottom"/>
          </w:tcPr>
          <w:p>
            <w:pPr>
              <w:spacing w:after="0"/>
              <w:rPr>
                <w:sz w:val="1"/>
                <w:szCs w:val="1"/>
                <w:color w:val="auto"/>
              </w:rPr>
            </w:pPr>
          </w:p>
        </w:tc>
      </w:tr>
      <w:tr>
        <w:trPr>
          <w:trHeight w:val="229"/>
        </w:trPr>
        <w:tc>
          <w:tcPr>
            <w:tcW w:w="3220" w:type="dxa"/>
            <w:vAlign w:val="bottom"/>
            <w:tcBorders>
              <w:left w:val="single" w:sz="8" w:color="auto"/>
              <w:right w:val="single" w:sz="8" w:color="auto"/>
            </w:tcBorders>
          </w:tcPr>
          <w:p>
            <w:pPr>
              <w:spacing w:after="0"/>
              <w:rPr>
                <w:sz w:val="19"/>
                <w:szCs w:val="19"/>
                <w:color w:val="auto"/>
              </w:rPr>
            </w:pPr>
          </w:p>
        </w:tc>
        <w:tc>
          <w:tcPr>
            <w:tcW w:w="8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Our held-for-sale Government Services business provides specialty solutions in support of U.S.</w:t>
            </w:r>
          </w:p>
        </w:tc>
        <w:tc>
          <w:tcPr>
            <w:tcW w:w="0" w:type="dxa"/>
            <w:vAlign w:val="bottom"/>
          </w:tcPr>
          <w:p>
            <w:pPr>
              <w:spacing w:after="0"/>
              <w:rPr>
                <w:sz w:val="1"/>
                <w:szCs w:val="1"/>
                <w:color w:val="auto"/>
              </w:rPr>
            </w:pPr>
          </w:p>
        </w:tc>
      </w:tr>
      <w:tr>
        <w:trPr>
          <w:trHeight w:val="203"/>
        </w:trPr>
        <w:tc>
          <w:tcPr>
            <w:tcW w:w="322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Government Services</w:t>
            </w:r>
          </w:p>
        </w:tc>
        <w:tc>
          <w:tcPr>
            <w:tcW w:w="82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government entities, such as: construction management; healthcare support; leadership development;</w:t>
            </w:r>
          </w:p>
        </w:tc>
        <w:tc>
          <w:tcPr>
            <w:tcW w:w="0" w:type="dxa"/>
            <w:vAlign w:val="bottom"/>
          </w:tcPr>
          <w:p>
            <w:pPr>
              <w:spacing w:after="0"/>
              <w:rPr>
                <w:sz w:val="1"/>
                <w:szCs w:val="1"/>
                <w:color w:val="auto"/>
              </w:rPr>
            </w:pPr>
          </w:p>
        </w:tc>
      </w:tr>
      <w:tr>
        <w:trPr>
          <w:trHeight w:val="224"/>
        </w:trPr>
        <w:tc>
          <w:tcPr>
            <w:tcW w:w="3220" w:type="dxa"/>
            <w:vAlign w:val="bottom"/>
            <w:tcBorders>
              <w:left w:val="single" w:sz="8" w:color="auto"/>
              <w:bottom w:val="single" w:sz="8" w:color="auto"/>
              <w:right w:val="single" w:sz="8" w:color="auto"/>
            </w:tcBorders>
          </w:tcPr>
          <w:p>
            <w:pPr>
              <w:spacing w:after="0"/>
              <w:rPr>
                <w:sz w:val="19"/>
                <w:szCs w:val="19"/>
                <w:color w:val="auto"/>
              </w:rPr>
            </w:pPr>
          </w:p>
        </w:tc>
        <w:tc>
          <w:tcPr>
            <w:tcW w:w="8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military base operations; and other mission support services.</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revised our prior period segment information to reflect this reorganization, including a related reclassification of certain Corporate expenses. Concurrent with the reorganization, we recategorized certain expenses that were historically included in operating expenses to selling, general, and administrative expenses. To conform to the new categorization, we reclassified $5.1 million of prior year operating expenses to selling, general, and administrative expenses.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0000"/>
        </w:rPr>
        <w:t>Restructuring and Related Costs</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In connection with the execution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we anticipate total pre-tax restructuring and related charges will range from $45 million to $60 million. We expect these costs to consist of employee severance from $17 million to $20 million, external support fees from $14 million to $19 million, other project fees from $7 million to $8 million, lease exit costs related to real estate consolidation from $5 million to $10 million, and the write-down of certain investments from $2 million to $3 million. The majority of these charges were incurred during 2016.</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2"/>
        </w:trPr>
        <w:tc>
          <w:tcPr>
            <w:tcW w:w="64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8"/>
                <w:szCs w:val="18"/>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January 31, 2017</w:t>
            </w:r>
          </w:p>
        </w:tc>
        <w:tc>
          <w:tcPr>
            <w:tcW w:w="420" w:type="dxa"/>
            <w:vAlign w:val="bottom"/>
          </w:tcPr>
          <w:p>
            <w:pPr>
              <w:spacing w:after="0"/>
              <w:rPr>
                <w:sz w:val="18"/>
                <w:szCs w:val="18"/>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External Support Fees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r>
      <w:tr>
        <w:trPr>
          <w:trHeight w:val="263"/>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Employee Severance</w:t>
            </w:r>
          </w:p>
        </w:tc>
        <w:tc>
          <w:tcPr>
            <w:tcW w:w="2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13.8</w:t>
            </w:r>
          </w:p>
        </w:tc>
      </w:tr>
      <w:tr>
        <w:trPr>
          <w:trHeight w:val="277"/>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Project Fees</w:t>
            </w:r>
          </w:p>
        </w:tc>
        <w:tc>
          <w:tcPr>
            <w:tcW w:w="22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r>
      <w:tr>
        <w:trPr>
          <w:trHeight w:val="263"/>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22"/>
                <w:szCs w:val="22"/>
                <w:color w:val="auto"/>
              </w:rPr>
            </w:pP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77"/>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Lease Exit</w:t>
            </w:r>
          </w:p>
        </w:tc>
        <w:tc>
          <w:tcPr>
            <w:tcW w:w="220" w:type="dxa"/>
            <w:vAlign w:val="bottom"/>
            <w:tcBorders>
              <w:bottom w:val="single" w:sz="8" w:color="auto"/>
            </w:tcBorders>
            <w:shd w:val="clear" w:color="auto" w:fill="CCEEFF"/>
          </w:tcPr>
          <w:p>
            <w:pPr>
              <w:spacing w:after="0"/>
              <w:rPr>
                <w:sz w:val="24"/>
                <w:szCs w:val="24"/>
                <w:color w:val="auto"/>
              </w:rPr>
            </w:pP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4"/>
        </w:trPr>
        <w:tc>
          <w:tcPr>
            <w:tcW w:w="64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and Trends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On February 6, 2017, ABM Security Services, Inc., a wholly-owned subsidiary of ABM Industries Incorporated, entered into a Class Action Settlement and Release Agreement with Plaintiffs Jennifer Augustus, Emanuel Davis, Delores Hall, and Carlton Anthony Waite, on behalf of themselves and the settlement class members, to settle the </w:t>
      </w:r>
      <w:r>
        <w:rPr>
          <w:rFonts w:ascii="Arial" w:cs="Arial" w:eastAsia="Arial" w:hAnsi="Arial"/>
          <w:sz w:val="18"/>
          <w:szCs w:val="18"/>
          <w:i w:val="1"/>
          <w:iCs w:val="1"/>
          <w:color w:val="auto"/>
        </w:rPr>
        <w:t>Consolidated Cases of Augustus, Hall, and Davis v. 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Commercial Security Services </w:t>
      </w:r>
      <w:r>
        <w:rPr>
          <w:rFonts w:ascii="Arial" w:cs="Arial" w:eastAsia="Arial" w:hAnsi="Arial"/>
          <w:sz w:val="18"/>
          <w:szCs w:val="18"/>
          <w:color w:val="auto"/>
        </w:rPr>
        <w:t>(the “Augustus Settlement Agreement”) on a class-wide basis for $110.0 million. The Augustus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is contingent upon the approval of the Superior Court of California, Los Angeles County (the “Superior Court”).</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also entered into a Settlement Term Sheet on January 30, 2017 with plaintiff in connection with </w:t>
      </w:r>
      <w:r>
        <w:rPr>
          <w:rFonts w:ascii="Arial" w:cs="Arial" w:eastAsia="Arial" w:hAnsi="Arial"/>
          <w:sz w:val="18"/>
          <w:szCs w:val="18"/>
          <w:i w:val="1"/>
          <w:iCs w:val="1"/>
          <w:color w:val="auto"/>
        </w:rPr>
        <w:t>Karapetyan v. ABM Industries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Incorporated and ABM Security Services, Inc. </w:t>
      </w:r>
      <w:r>
        <w:rPr>
          <w:rFonts w:ascii="Arial" w:cs="Arial" w:eastAsia="Arial" w:hAnsi="Arial"/>
          <w:sz w:val="18"/>
          <w:szCs w:val="18"/>
          <w:color w:val="auto"/>
        </w:rPr>
        <w:t>(the “</w:t>
      </w:r>
      <w:r>
        <w:rPr>
          <w:rFonts w:ascii="Arial" w:cs="Arial" w:eastAsia="Arial" w:hAnsi="Arial"/>
          <w:sz w:val="18"/>
          <w:szCs w:val="18"/>
          <w:i w:val="1"/>
          <w:iCs w:val="1"/>
          <w:color w:val="auto"/>
        </w:rPr>
        <w:t xml:space="preserve">Karapetyan </w:t>
      </w:r>
      <w:r>
        <w:rPr>
          <w:rFonts w:ascii="Arial" w:cs="Arial" w:eastAsia="Arial" w:hAnsi="Arial"/>
          <w:sz w:val="18"/>
          <w:szCs w:val="18"/>
          <w:color w:val="auto"/>
        </w:rPr>
        <w:t>case”) to settle the case on a class-wide basis for $5.0 million. The</w:t>
      </w:r>
      <w:r>
        <w:rPr>
          <w:rFonts w:ascii="Arial" w:cs="Arial" w:eastAsia="Arial" w:hAnsi="Arial"/>
          <w:sz w:val="18"/>
          <w:szCs w:val="18"/>
          <w:i w:val="1"/>
          <w:iCs w:val="1"/>
          <w:color w:val="auto"/>
        </w:rPr>
        <w:t xml:space="preserve"> Karapetyan </w:t>
      </w:r>
      <w:r>
        <w:rPr>
          <w:rFonts w:ascii="Arial" w:cs="Arial" w:eastAsia="Arial" w:hAnsi="Arial"/>
          <w:sz w:val="18"/>
          <w:szCs w:val="18"/>
          <w:color w:val="auto"/>
        </w:rPr>
        <w:t xml:space="preserve">case is a putative class action in which the plaintiff seeks to represent a class of security guards that allege violations of certain California state laws relating to meal and rest breaks and other wage and hour claims. The Karapetyan settlement is contingent upon the finalization of a long-form settlement agreement with respect to the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 and will be further contingent on the final approval by the United States District Court for the Central District of California, as well as final approval by the Superior Court of the Augustus Settlement Agreement.</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the Augustus Settlement Agreement is approved by the Superior Court, we will be obligated to pay $110.0 million with respect to the settlement amount and an additional $6.3 million related to payroll taxes. Under the terms of the Settlement Agreement, we will pay $55.0 million of the $110.0 million by either April 1, 2017 or within fourteen days after final approval by the Superior Court, whichever date is later; we will pay the remaining $55.0 million by either September 1, 2017 or within fourteen days after final approval by the Superior Court, whichever date is later. We expect to fund the payments from operating cash flows and from our available line of credit.</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These settlements are tax deductible and will result in an estimated $50 million in cash tax savings, which we expect to receive primarily in 2018. As a result of these probable settlements, we are reevaluating certain uses of cash in the short term, including share repurchases.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three months ended January 31, 2017, we performed an actuarial review for the majority of our casualty insurance programs. This review indicated unfavorable developments in our estimates of ultimate losses related to certain general liability and workers’ compensation claims. After analyzing the recent loss developments against benchmarks and applying actuarial projection methods to determine the estimate of ultimate losses, we increased our reserves for known claims as well as our estimate of the loss amounts associated with incurred but not reported claims for prior periods by $5.0 million at January 31, 2017. During the third quarter of 2017, comprehensive actuarial evaluations are expected to be completed for our significant insurance programs using recent claims data. We will continue to monitor subsequent developments, which may result in further adjustments to reserves.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Key Financial Highlights</w:t>
      </w:r>
    </w:p>
    <w:p>
      <w:pPr>
        <w:spacing w:after="0" w:line="193" w:lineRule="exact"/>
        <w:rPr>
          <w:sz w:val="20"/>
          <w:szCs w:val="20"/>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Revenues increased by $58.3 million, or 4.6%, during the three months ended January 31, 2017, as compared to the three months ended January 31, 2016. Organic revenue increased 3.6%.</w:t>
      </w:r>
    </w:p>
    <w:p>
      <w:pPr>
        <w:spacing w:after="0" w:line="14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Operating profit increased by $10.2 million, or 74.9%, during the three months ended January 31, 2017, as compared to the three months ended January 31, 2016. The increase in operating profit is primarily attributable to: higher revenue contribution; procurement and organizational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 reimbursement of previously expensed fees associated with a concluded internal investigation into a foreign entity; and lower restructuring related expenses. This increase was partially offset by one more working day during the three months ended January 31, 2017.</w:t>
      </w:r>
    </w:p>
    <w:p>
      <w:pPr>
        <w:spacing w:after="0" w:line="15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Net loss from discontinued operations was $72.9 million during the three months ended January 31, 2017 related to a legal reserve established in connection with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settlement agreements. Refer to </w:t>
      </w:r>
      <w:r>
        <w:rPr>
          <w:rFonts w:ascii="Arial" w:cs="Arial" w:eastAsia="Arial" w:hAnsi="Arial"/>
          <w:sz w:val="18"/>
          <w:szCs w:val="18"/>
          <w:i w:val="1"/>
          <w:iCs w:val="1"/>
          <w:color w:val="auto"/>
        </w:rPr>
        <w:t>“</w:t>
      </w:r>
      <w:r>
        <w:rPr>
          <w:rFonts w:ascii="Arial" w:cs="Arial" w:eastAsia="Arial" w:hAnsi="Arial"/>
          <w:sz w:val="18"/>
          <w:szCs w:val="18"/>
          <w:color w:val="auto"/>
        </w:rPr>
        <w:t>Developments and Trends,” above, for additional details.</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cash used in operating activities of continuing operations was $9.7 million during the three months ended January 31, 2017. Typically, our operating cash flows in the first quarter are lower than in subsequent quarters of the fiscal year. We expect operating activities of continuing operations to provide positive cash flows for 2017.</w:t>
      </w:r>
    </w:p>
    <w:p>
      <w:pPr>
        <w:spacing w:after="0" w:line="14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three months ended January 31, 2017, we purchased 0.2 million shares of our common stock at an average price of $40.07 per share for a total of $7.9 million.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Dividends of $9.4 million were paid to shareholders, and dividends totaling $0.170 per common share were declared during the three months ended January 31, 2017.</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January 31, 2017, total outstanding borrowings under our line of credit were $306.0 million, and we had up to $356.1 million of borrowing capacity under our line of credit, subject to covenant restrictions.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3160"/>
        <w:spacing w:after="0" w:line="456" w:lineRule="auto"/>
        <w:rPr>
          <w:sz w:val="20"/>
          <w:szCs w:val="20"/>
          <w:color w:val="auto"/>
        </w:rPr>
      </w:pPr>
      <w:r>
        <w:rPr>
          <w:rFonts w:ascii="Arial" w:cs="Arial" w:eastAsia="Arial" w:hAnsi="Arial"/>
          <w:sz w:val="18"/>
          <w:szCs w:val="18"/>
          <w:b w:val="1"/>
          <w:bCs w:val="1"/>
          <w:i w:val="1"/>
          <w:iCs w:val="1"/>
          <w:color w:val="auto"/>
        </w:rPr>
        <w:t>Three Months Ended January 31, 2017 Compared with the Three Months Ended January 31, 2016 Consolidated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3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1,326.7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1,268.4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58.3</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4.6%</w:t>
            </w:r>
          </w:p>
        </w:tc>
      </w:tr>
      <w:tr>
        <w:trPr>
          <w:trHeight w:val="260"/>
        </w:trPr>
        <w:tc>
          <w:tcPr>
            <w:tcW w:w="5320" w:type="dxa"/>
            <w:vAlign w:val="bottom"/>
            <w:gridSpan w:val="3"/>
          </w:tcPr>
          <w:p>
            <w:pPr>
              <w:ind w:left="4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1,195.1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1,141.3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53.8</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4.7%</w:t>
            </w:r>
          </w:p>
        </w:tc>
      </w:tr>
      <w:tr>
        <w:trPr>
          <w:trHeight w:val="262"/>
        </w:trPr>
        <w:tc>
          <w:tcPr>
            <w:tcW w:w="40" w:type="dxa"/>
            <w:vAlign w:val="bottom"/>
          </w:tcPr>
          <w:p>
            <w:pPr>
              <w:spacing w:after="0"/>
              <w:rPr>
                <w:sz w:val="22"/>
                <w:szCs w:val="22"/>
                <w:color w:val="auto"/>
              </w:rPr>
            </w:pPr>
          </w:p>
        </w:tc>
        <w:tc>
          <w:tcPr>
            <w:tcW w:w="5280" w:type="dxa"/>
            <w:vAlign w:val="bottom"/>
            <w:gridSpan w:val="2"/>
          </w:tcPr>
          <w:p>
            <w:pPr>
              <w:ind w:left="460"/>
              <w:spacing w:after="0"/>
              <w:rPr>
                <w:sz w:val="20"/>
                <w:szCs w:val="20"/>
                <w:color w:val="auto"/>
              </w:rPr>
            </w:pPr>
            <w:r>
              <w:rPr>
                <w:rFonts w:ascii="Arial" w:cs="Arial" w:eastAsia="Arial" w:hAnsi="Arial"/>
                <w:sz w:val="13"/>
                <w:szCs w:val="13"/>
                <w:i w:val="1"/>
                <w:iCs w:val="1"/>
                <w:color w:val="auto"/>
              </w:rPr>
              <w:t>Gross margin</w:t>
            </w: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3"/>
                <w:szCs w:val="13"/>
                <w:i w:val="1"/>
                <w:iCs w:val="1"/>
                <w:color w:val="auto"/>
              </w:rPr>
              <w:t>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3"/>
                <w:szCs w:val="13"/>
                <w:i w:val="1"/>
                <w:iCs w:val="1"/>
                <w:color w:val="auto"/>
              </w:rPr>
              <w:t>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i w:val="1"/>
                <w:iCs w:val="1"/>
                <w:color w:val="auto"/>
              </w:rPr>
              <w:t>(10) bps</w:t>
            </w:r>
          </w:p>
        </w:tc>
        <w:tc>
          <w:tcPr>
            <w:tcW w:w="1340" w:type="dxa"/>
            <w:vAlign w:val="bottom"/>
          </w:tcPr>
          <w:p>
            <w:pPr>
              <w:spacing w:after="0"/>
              <w:rPr>
                <w:sz w:val="22"/>
                <w:szCs w:val="22"/>
                <w:color w:val="auto"/>
              </w:rPr>
            </w:pPr>
          </w:p>
        </w:tc>
      </w:tr>
      <w:tr>
        <w:trPr>
          <w:trHeight w:val="278"/>
        </w:trPr>
        <w:tc>
          <w:tcPr>
            <w:tcW w:w="40" w:type="dxa"/>
            <w:vAlign w:val="bottom"/>
            <w:shd w:val="clear" w:color="auto" w:fill="CCEEFF"/>
          </w:tcPr>
          <w:p>
            <w:pPr>
              <w:spacing w:after="0"/>
              <w:rPr>
                <w:sz w:val="24"/>
                <w:szCs w:val="24"/>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3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(2.7)%</w:t>
            </w:r>
          </w:p>
        </w:tc>
      </w:tr>
      <w:tr>
        <w:trPr>
          <w:trHeight w:val="260"/>
        </w:trPr>
        <w:tc>
          <w:tcPr>
            <w:tcW w:w="40" w:type="dxa"/>
            <w:vAlign w:val="bottom"/>
          </w:tcPr>
          <w:p>
            <w:pPr>
              <w:spacing w:after="0"/>
              <w:rPr>
                <w:sz w:val="22"/>
                <w:szCs w:val="22"/>
                <w:color w:val="auto"/>
              </w:rPr>
            </w:pPr>
          </w:p>
        </w:tc>
        <w:tc>
          <w:tcPr>
            <w:tcW w:w="5280" w:type="dxa"/>
            <w:vAlign w:val="bottom"/>
            <w:gridSpan w:val="2"/>
          </w:tcPr>
          <w:p>
            <w:pPr>
              <w:ind w:left="340"/>
              <w:spacing w:after="0"/>
              <w:rPr>
                <w:sz w:val="20"/>
                <w:szCs w:val="20"/>
                <w:color w:val="auto"/>
              </w:rPr>
            </w:pPr>
            <w:r>
              <w:rPr>
                <w:rFonts w:ascii="Arial" w:cs="Arial" w:eastAsia="Arial" w:hAnsi="Arial"/>
                <w:sz w:val="16"/>
                <w:szCs w:val="16"/>
                <w:color w:val="auto"/>
              </w:rPr>
              <w:t>Restructuring and related</w:t>
            </w:r>
          </w:p>
        </w:tc>
        <w:tc>
          <w:tcPr>
            <w:tcW w:w="28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99"/>
              </w:rPr>
              <w:t>(30.6)%</w:t>
            </w:r>
          </w:p>
        </w:tc>
      </w:tr>
      <w:tr>
        <w:trPr>
          <w:trHeight w:val="273"/>
        </w:trPr>
        <w:tc>
          <w:tcPr>
            <w:tcW w:w="40" w:type="dxa"/>
            <w:vAlign w:val="bottom"/>
            <w:shd w:val="clear" w:color="auto" w:fill="CCEEFF"/>
          </w:tcPr>
          <w:p>
            <w:pPr>
              <w:spacing w:after="0"/>
              <w:rPr>
                <w:sz w:val="23"/>
                <w:szCs w:val="23"/>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3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9"/>
              </w:rPr>
              <w:t>(13.5)%</w:t>
            </w:r>
          </w:p>
        </w:tc>
      </w:tr>
      <w:tr>
        <w:trPr>
          <w:trHeight w:val="250"/>
        </w:trPr>
        <w:tc>
          <w:tcPr>
            <w:tcW w:w="40" w:type="dxa"/>
            <w:vAlign w:val="bottom"/>
            <w:tcBorders>
              <w:bottom w:val="single" w:sz="8" w:color="CCEEFF"/>
            </w:tcBorders>
          </w:tcPr>
          <w:p>
            <w:pPr>
              <w:spacing w:after="0"/>
              <w:rPr>
                <w:sz w:val="21"/>
                <w:szCs w:val="21"/>
                <w:color w:val="auto"/>
              </w:rPr>
            </w:pPr>
          </w:p>
        </w:tc>
        <w:tc>
          <w:tcPr>
            <w:tcW w:w="528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Total expenses</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1,302.9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1,254.8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48.1</w:t>
            </w:r>
          </w:p>
        </w:tc>
        <w:tc>
          <w:tcPr>
            <w:tcW w:w="1340" w:type="dxa"/>
            <w:vAlign w:val="bottom"/>
            <w:tcBorders>
              <w:bottom w:val="single" w:sz="8" w:color="CCEEFF"/>
            </w:tcBorders>
          </w:tcPr>
          <w:p>
            <w:pPr>
              <w:jc w:val="center"/>
              <w:ind w:left="39"/>
              <w:spacing w:after="0"/>
              <w:rPr>
                <w:sz w:val="20"/>
                <w:szCs w:val="20"/>
                <w:color w:val="auto"/>
              </w:rPr>
            </w:pPr>
            <w:r>
              <w:rPr>
                <w:rFonts w:ascii="Arial" w:cs="Arial" w:eastAsia="Arial" w:hAnsi="Arial"/>
                <w:sz w:val="16"/>
                <w:szCs w:val="16"/>
                <w:color w:val="auto"/>
              </w:rPr>
              <w:t>3.8%</w:t>
            </w:r>
          </w:p>
        </w:tc>
      </w:tr>
      <w:tr>
        <w:trPr>
          <w:trHeight w:val="257"/>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3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74.9%</w:t>
            </w:r>
          </w:p>
        </w:tc>
      </w:tr>
      <w:tr>
        <w:trPr>
          <w:trHeight w:val="260"/>
        </w:trPr>
        <w:tc>
          <w:tcPr>
            <w:tcW w:w="532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280" w:type="dxa"/>
            <w:vAlign w:val="bottom"/>
          </w:tcPr>
          <w:p>
            <w:pPr>
              <w:spacing w:after="0"/>
              <w:rPr>
                <w:sz w:val="22"/>
                <w:szCs w:val="22"/>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99"/>
              </w:rPr>
              <w:t>(42.2)%</w:t>
            </w:r>
          </w:p>
        </w:tc>
      </w:tr>
      <w:tr>
        <w:trPr>
          <w:trHeight w:val="273"/>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3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9"/>
              </w:rPr>
              <w:t>(20.4)%</w:t>
            </w:r>
          </w:p>
        </w:tc>
      </w:tr>
      <w:tr>
        <w:trPr>
          <w:trHeight w:val="247"/>
        </w:trPr>
        <w:tc>
          <w:tcPr>
            <w:tcW w:w="532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21"/>
                <w:szCs w:val="21"/>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64.9%</w:t>
            </w:r>
          </w:p>
        </w:tc>
      </w:tr>
      <w:tr>
        <w:trPr>
          <w:trHeight w:val="280"/>
        </w:trPr>
        <w:tc>
          <w:tcPr>
            <w:tcW w:w="40" w:type="dxa"/>
            <w:vAlign w:val="bottom"/>
            <w:tcBorders>
              <w:bottom w:val="single" w:sz="8" w:color="CCEEFF"/>
            </w:tcBorders>
            <w:shd w:val="clear" w:color="auto" w:fill="CCEEFF"/>
          </w:tcPr>
          <w:p>
            <w:pPr>
              <w:spacing w:after="0"/>
              <w:rPr>
                <w:sz w:val="24"/>
                <w:szCs w:val="24"/>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Income tax (provision) benefit</w:t>
            </w:r>
          </w:p>
        </w:tc>
        <w:tc>
          <w:tcPr>
            <w:tcW w:w="2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40"/>
        </w:trPr>
        <w:tc>
          <w:tcPr>
            <w:tcW w:w="532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17.7%</w:t>
            </w:r>
          </w:p>
        </w:tc>
      </w:tr>
      <w:tr>
        <w:trPr>
          <w:trHeight w:val="280"/>
        </w:trPr>
        <w:tc>
          <w:tcPr>
            <w:tcW w:w="40" w:type="dxa"/>
            <w:vAlign w:val="bottom"/>
            <w:tcBorders>
              <w:bottom w:val="single" w:sz="8" w:color="CCEEFF"/>
            </w:tcBorders>
            <w:shd w:val="clear" w:color="auto" w:fill="CCEEFF"/>
          </w:tcPr>
          <w:p>
            <w:pPr>
              <w:spacing w:after="0"/>
              <w:rPr>
                <w:sz w:val="24"/>
                <w:szCs w:val="24"/>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Net (loss) income from discontinued operations</w:t>
            </w:r>
          </w:p>
        </w:tc>
        <w:tc>
          <w:tcPr>
            <w:tcW w:w="2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NM*</w:t>
            </w:r>
          </w:p>
        </w:tc>
      </w:tr>
      <w:tr>
        <w:trPr>
          <w:trHeight w:val="234"/>
        </w:trPr>
        <w:tc>
          <w:tcPr>
            <w:tcW w:w="53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(loss) income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$58.3 million, or 4.6%, during the three months ended January 31, 2017, as compared to the three months ended January 31, 2016. The increase in revenues was primarily attributable to organic growth in Aviation, B&amp;I, and Technical Solutions and to $12.2 million of incremental revenues from acquisitions.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Operating expenses increased by $53.8 million, or 4.7%, during the three months ended January 31, 2017, as compared to the three months ended January 31, 2016. Gross margin decreased by 10 bps to 9.9% in the three months ended January 31, 2017 from 10.0% in the three months ended January 31, 2016. The decrease in gross margin was primarily attributable to one more working day during the three months ended January 31, 2017. This decrease was partially offset by higher revenue contribution and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Selling, general and administrative expenses decreased by $2.6 million, or 2.7%, during the three months ended January 31, 2017, as compared to the three months ended January 31, 2016. The decrease in selling, general and administrative expenses was primarily related to a $3.2 million reimbursement of previously expensed fees associated with a concluded internal investigation into a foreign entity formerly affiliated with a joint venture during the three months ended January 31, 2017 and to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This decrease was partially offset by a $2.3 million increase in legal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Related</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Restructuring and related costs decreased by $2.2 million, or 30.6%, during the three months ended January 31, 2017, as compared to the three months ended January 31, 2016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rates on income from continuing operations for the three months ended January 31, 2017 and 2016 were 26.9% and 2.3%, respectively. The effective tax rate for the three months ended January 31, 2017 was favorably impacted by $2.0 million of excess tax benefits related to the vesting of share-based compensation awards and the 2017 Work Opportunity Tax Credits (“WOTC”) for new hires. The effective tax rate for the three months ended January 31, 2016 was favorably impacted by $5.0 million of WOTC from the retroactive reinstatement of the WOTC for calendar year 2015 and the 2016 WOTC for new hires.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from Discontinued Operations</w:t>
      </w:r>
    </w:p>
    <w:p>
      <w:pPr>
        <w:spacing w:after="0" w:line="19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Net loss from discontinued operations was $ 72.9 million during the three months ended January 31, 2017 related to a legal reserve established in connection with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settlement agreements. Refer to </w:t>
      </w:r>
      <w:r>
        <w:rPr>
          <w:rFonts w:ascii="Arial" w:cs="Arial" w:eastAsia="Arial" w:hAnsi="Arial"/>
          <w:sz w:val="18"/>
          <w:szCs w:val="18"/>
          <w:i w:val="1"/>
          <w:iCs w:val="1"/>
          <w:color w:val="auto"/>
        </w:rPr>
        <w:t>“</w:t>
      </w:r>
      <w:r>
        <w:rPr>
          <w:rFonts w:ascii="Arial" w:cs="Arial" w:eastAsia="Arial" w:hAnsi="Arial"/>
          <w:sz w:val="18"/>
          <w:szCs w:val="18"/>
          <w:color w:val="auto"/>
        </w:rPr>
        <w:t>Developments and Trends,” above, for additional details.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for Each Reportable Segment</w:t>
      </w:r>
    </w:p>
    <w:p>
      <w:pPr>
        <w:spacing w:after="0" w:line="389" w:lineRule="exact"/>
        <w:rPr>
          <w:sz w:val="20"/>
          <w:szCs w:val="20"/>
          <w:color w:val="auto"/>
        </w:rPr>
      </w:pPr>
    </w:p>
    <w:p>
      <w:pPr>
        <w:jc w:val="right"/>
        <w:ind w:right="3060"/>
        <w:spacing w:after="0"/>
        <w:rPr>
          <w:sz w:val="20"/>
          <w:szCs w:val="20"/>
          <w:color w:val="auto"/>
        </w:rPr>
      </w:pPr>
      <w:r>
        <w:rPr>
          <w:rFonts w:ascii="Arial" w:cs="Arial" w:eastAsia="Arial" w:hAnsi="Arial"/>
          <w:sz w:val="15"/>
          <w:szCs w:val="15"/>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24130</wp:posOffset>
            </wp:positionV>
            <wp:extent cx="19894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20955</wp:posOffset>
            </wp:positionV>
            <wp:extent cx="723773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Revenues</w:t>
      </w:r>
    </w:p>
    <w:p>
      <w:pPr>
        <w:spacing w:after="0" w:line="94"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15"/>
          <w:szCs w:val="15"/>
          <w:color w:val="auto"/>
        </w:rPr>
        <w:t>Business &amp; Industry</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Aviation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Emerging Industries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12700</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Technical Solutions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Government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12700</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24130</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4"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15"/>
          <w:szCs w:val="15"/>
          <w:color w:val="auto"/>
        </w:rPr>
        <w:t>Business &amp; Industry</w:t>
      </w:r>
      <w:r>
        <w:rPr>
          <w:sz w:val="20"/>
          <w:szCs w:val="20"/>
          <w:color w:val="auto"/>
        </w:rPr>
        <w:tab/>
      </w:r>
      <w:r>
        <w:rPr>
          <w:rFonts w:ascii="Arial" w:cs="Arial" w:eastAsia="Arial" w:hAnsi="Arial"/>
          <w:sz w:val="16"/>
          <w:szCs w:val="16"/>
          <w:color w:val="auto"/>
        </w:rPr>
        <w:t>$</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Operating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color w:val="auto"/>
        </w:rPr>
        <w:t>Aviation</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Operating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color w:val="auto"/>
        </w:rPr>
        <w:t>Emerging Industries Group</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Operating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color w:val="auto"/>
        </w:rPr>
        <w:t>Technical Solutions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Operating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color w:val="auto"/>
        </w:rPr>
        <w:t>Government Services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Operating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Corporate</w:t>
      </w:r>
    </w:p>
    <w:p>
      <w:pPr>
        <w:spacing w:after="0" w:line="44" w:lineRule="exact"/>
        <w:rPr>
          <w:sz w:val="20"/>
          <w:szCs w:val="20"/>
          <w:color w:val="auto"/>
        </w:rPr>
      </w:pPr>
    </w:p>
    <w:p>
      <w:pPr>
        <w:ind w:left="200" w:right="420" w:hanging="161"/>
        <w:spacing w:after="0" w:line="242" w:lineRule="auto"/>
        <w:rPr>
          <w:sz w:val="20"/>
          <w:szCs w:val="20"/>
          <w:color w:val="auto"/>
        </w:rPr>
      </w:pPr>
      <w:r>
        <w:rPr>
          <w:rFonts w:ascii="Arial" w:cs="Arial" w:eastAsia="Arial" w:hAnsi="Arial"/>
          <w:sz w:val="15"/>
          <w:szCs w:val="15"/>
          <w:color w:val="auto"/>
        </w:rPr>
        <w:t>Adjustment for income from unconsolidated affiliates, net, included in Aviation and Government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723773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240030"/>
                    </a:xfrm>
                    <a:prstGeom prst="rect">
                      <a:avLst/>
                    </a:prstGeom>
                    <a:noFill/>
                  </pic:spPr>
                </pic:pic>
              </a:graphicData>
            </a:graphic>
          </wp:anchor>
        </w:drawing>
      </w:r>
    </w:p>
    <w:p>
      <w:pPr>
        <w:spacing w:after="0" w:line="10" w:lineRule="exact"/>
        <w:rPr>
          <w:sz w:val="20"/>
          <w:szCs w:val="20"/>
          <w:color w:val="auto"/>
        </w:rPr>
      </w:pPr>
    </w:p>
    <w:p>
      <w:pPr>
        <w:ind w:left="200" w:right="200" w:hanging="161"/>
        <w:spacing w:after="0" w:line="242" w:lineRule="auto"/>
        <w:rPr>
          <w:sz w:val="20"/>
          <w:szCs w:val="20"/>
          <w:color w:val="auto"/>
        </w:rPr>
      </w:pPr>
      <w:r>
        <w:rPr>
          <w:rFonts w:ascii="Arial" w:cs="Arial" w:eastAsia="Arial" w:hAnsi="Arial"/>
          <w:sz w:val="15"/>
          <w:szCs w:val="15"/>
          <w:color w:val="auto"/>
          <w:shd w:val="clear" w:color="auto" w:fill="CCEEFF"/>
        </w:rPr>
        <w:t>Adjustment for tax deductions for energy efficient government buildings, included in Technical Solutions</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623"/>
              <w:spacing w:after="0"/>
              <w:rPr>
                <w:sz w:val="20"/>
                <w:szCs w:val="20"/>
                <w:color w:val="auto"/>
              </w:rPr>
            </w:pPr>
            <w:r>
              <w:rPr>
                <w:rFonts w:ascii="Arial" w:cs="Arial" w:eastAsia="Arial" w:hAnsi="Arial"/>
                <w:sz w:val="15"/>
                <w:szCs w:val="15"/>
                <w:b w:val="1"/>
                <w:bCs w:val="1"/>
                <w:color w:val="auto"/>
                <w:w w:val="95"/>
              </w:rPr>
              <w:t>2017</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Increase / (Decrease)</w:t>
            </w:r>
          </w:p>
        </w:tc>
      </w:tr>
      <w:tr>
        <w:trPr>
          <w:trHeight w:val="518"/>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755.0</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743.6</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11.4</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1.5%</w:t>
            </w:r>
          </w:p>
        </w:tc>
      </w:tr>
      <w:tr>
        <w:trPr>
          <w:trHeight w:val="270"/>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232.0</w:t>
            </w:r>
          </w:p>
        </w:tc>
        <w:tc>
          <w:tcPr>
            <w:tcW w:w="36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28.1</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13.8%</w:t>
            </w:r>
          </w:p>
        </w:tc>
      </w:tr>
      <w:tr>
        <w:trPr>
          <w:trHeight w:val="270"/>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200.6</w:t>
            </w:r>
          </w:p>
        </w:tc>
        <w:tc>
          <w:tcPr>
            <w:tcW w:w="36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1.5</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0.8%</w:t>
            </w:r>
          </w:p>
        </w:tc>
      </w:tr>
      <w:tr>
        <w:trPr>
          <w:trHeight w:val="270"/>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107.7</w:t>
            </w:r>
          </w:p>
        </w:tc>
        <w:tc>
          <w:tcPr>
            <w:tcW w:w="36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14.3</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15.3%</w:t>
            </w:r>
          </w:p>
        </w:tc>
      </w:tr>
      <w:tr>
        <w:trPr>
          <w:trHeight w:val="283"/>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31.4</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2.9</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10.0%</w:t>
            </w:r>
          </w:p>
        </w:tc>
      </w:tr>
      <w:tr>
        <w:trPr>
          <w:trHeight w:val="240"/>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1,326.7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1,268.4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58.3</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4.6%</w:t>
            </w:r>
          </w:p>
        </w:tc>
      </w:tr>
      <w:tr>
        <w:trPr>
          <w:trHeight w:val="20"/>
        </w:trPr>
        <w:tc>
          <w:tcPr>
            <w:tcW w:w="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504"/>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32.4</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3.9</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13.8%</w:t>
            </w:r>
          </w:p>
        </w:tc>
      </w:tr>
      <w:tr>
        <w:trPr>
          <w:trHeight w:val="274"/>
        </w:trPr>
        <w:tc>
          <w:tcPr>
            <w:tcW w:w="1040" w:type="dxa"/>
            <w:vAlign w:val="bottom"/>
          </w:tcPr>
          <w:p>
            <w:pPr>
              <w:jc w:val="right"/>
              <w:ind w:right="63"/>
              <w:spacing w:after="0"/>
              <w:rPr>
                <w:sz w:val="20"/>
                <w:szCs w:val="20"/>
                <w:color w:val="auto"/>
              </w:rPr>
            </w:pPr>
            <w:r>
              <w:rPr>
                <w:rFonts w:ascii="Arial" w:cs="Arial" w:eastAsia="Arial" w:hAnsi="Arial"/>
                <w:sz w:val="13"/>
                <w:szCs w:val="13"/>
                <w:i w:val="1"/>
                <w:iCs w:val="1"/>
                <w:color w:val="auto"/>
              </w:rPr>
              <w:t>4.3%</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3"/>
                <w:szCs w:val="13"/>
                <w:i w:val="1"/>
                <w:iCs w:val="1"/>
                <w:color w:val="auto"/>
              </w:rPr>
              <w:t>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3"/>
                <w:szCs w:val="13"/>
                <w:i w:val="1"/>
                <w:iCs w:val="1"/>
                <w:color w:val="auto"/>
              </w:rPr>
              <w:t>46 bps</w:t>
            </w:r>
          </w:p>
        </w:tc>
        <w:tc>
          <w:tcPr>
            <w:tcW w:w="1360" w:type="dxa"/>
            <w:vAlign w:val="bottom"/>
          </w:tcPr>
          <w:p>
            <w:pPr>
              <w:spacing w:after="0"/>
              <w:rPr>
                <w:sz w:val="23"/>
                <w:szCs w:val="23"/>
                <w:color w:val="auto"/>
              </w:rPr>
            </w:pPr>
          </w:p>
        </w:tc>
      </w:tr>
      <w:tr>
        <w:trPr>
          <w:trHeight w:val="267"/>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5.4</w:t>
            </w:r>
          </w:p>
        </w:tc>
        <w:tc>
          <w:tcPr>
            <w:tcW w:w="36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1.5</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38.8%</w:t>
            </w:r>
          </w:p>
        </w:tc>
      </w:tr>
      <w:tr>
        <w:trPr>
          <w:trHeight w:val="274"/>
        </w:trPr>
        <w:tc>
          <w:tcPr>
            <w:tcW w:w="1040" w:type="dxa"/>
            <w:vAlign w:val="bottom"/>
          </w:tcPr>
          <w:p>
            <w:pPr>
              <w:jc w:val="right"/>
              <w:ind w:right="63"/>
              <w:spacing w:after="0"/>
              <w:rPr>
                <w:sz w:val="20"/>
                <w:szCs w:val="20"/>
                <w:color w:val="auto"/>
              </w:rPr>
            </w:pPr>
            <w:r>
              <w:rPr>
                <w:rFonts w:ascii="Arial" w:cs="Arial" w:eastAsia="Arial" w:hAnsi="Arial"/>
                <w:sz w:val="13"/>
                <w:szCs w:val="13"/>
                <w:i w:val="1"/>
                <w:iCs w:val="1"/>
                <w:color w:val="auto"/>
              </w:rPr>
              <w:t>2.3%</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3"/>
                <w:szCs w:val="13"/>
                <w:i w:val="1"/>
                <w:iCs w:val="1"/>
                <w:color w:val="auto"/>
              </w:rPr>
              <w:t>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3"/>
                <w:szCs w:val="13"/>
                <w:i w:val="1"/>
                <w:iCs w:val="1"/>
                <w:color w:val="auto"/>
              </w:rPr>
              <w:t>42 bps</w:t>
            </w:r>
          </w:p>
        </w:tc>
        <w:tc>
          <w:tcPr>
            <w:tcW w:w="1360" w:type="dxa"/>
            <w:vAlign w:val="bottom"/>
          </w:tcPr>
          <w:p>
            <w:pPr>
              <w:spacing w:after="0"/>
              <w:rPr>
                <w:sz w:val="23"/>
                <w:szCs w:val="23"/>
                <w:color w:val="auto"/>
              </w:rPr>
            </w:pPr>
          </w:p>
        </w:tc>
      </w:tr>
      <w:tr>
        <w:trPr>
          <w:trHeight w:val="267"/>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12.4</w:t>
            </w:r>
          </w:p>
        </w:tc>
        <w:tc>
          <w:tcPr>
            <w:tcW w:w="36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(16.9)%</w:t>
            </w:r>
          </w:p>
        </w:tc>
      </w:tr>
      <w:tr>
        <w:trPr>
          <w:trHeight w:val="274"/>
        </w:trPr>
        <w:tc>
          <w:tcPr>
            <w:tcW w:w="1040" w:type="dxa"/>
            <w:vAlign w:val="bottom"/>
          </w:tcPr>
          <w:p>
            <w:pPr>
              <w:jc w:val="right"/>
              <w:ind w:right="63"/>
              <w:spacing w:after="0"/>
              <w:rPr>
                <w:sz w:val="20"/>
                <w:szCs w:val="20"/>
                <w:color w:val="auto"/>
              </w:rPr>
            </w:pPr>
            <w:r>
              <w:rPr>
                <w:rFonts w:ascii="Arial" w:cs="Arial" w:eastAsia="Arial" w:hAnsi="Arial"/>
                <w:sz w:val="13"/>
                <w:szCs w:val="13"/>
                <w:i w:val="1"/>
                <w:iCs w:val="1"/>
                <w:color w:val="auto"/>
              </w:rPr>
              <w:t>6.2%</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3"/>
                <w:szCs w:val="13"/>
                <w:i w:val="1"/>
                <w:iCs w:val="1"/>
                <w:color w:val="auto"/>
              </w:rPr>
              <w:t>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3"/>
                <w:szCs w:val="13"/>
                <w:i w:val="1"/>
                <w:iCs w:val="1"/>
                <w:color w:val="auto"/>
              </w:rPr>
              <w:t>(131) bps</w:t>
            </w:r>
          </w:p>
        </w:tc>
        <w:tc>
          <w:tcPr>
            <w:tcW w:w="1360" w:type="dxa"/>
            <w:vAlign w:val="bottom"/>
          </w:tcPr>
          <w:p>
            <w:pPr>
              <w:spacing w:after="0"/>
              <w:rPr>
                <w:sz w:val="23"/>
                <w:szCs w:val="23"/>
                <w:color w:val="auto"/>
              </w:rPr>
            </w:pPr>
          </w:p>
        </w:tc>
      </w:tr>
      <w:tr>
        <w:trPr>
          <w:trHeight w:val="267"/>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8.2</w:t>
            </w:r>
          </w:p>
        </w:tc>
        <w:tc>
          <w:tcPr>
            <w:tcW w:w="36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4.1</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74"/>
        </w:trPr>
        <w:tc>
          <w:tcPr>
            <w:tcW w:w="1040" w:type="dxa"/>
            <w:vAlign w:val="bottom"/>
          </w:tcPr>
          <w:p>
            <w:pPr>
              <w:jc w:val="right"/>
              <w:ind w:right="63"/>
              <w:spacing w:after="0"/>
              <w:rPr>
                <w:sz w:val="20"/>
                <w:szCs w:val="20"/>
                <w:color w:val="auto"/>
              </w:rPr>
            </w:pPr>
            <w:r>
              <w:rPr>
                <w:rFonts w:ascii="Arial" w:cs="Arial" w:eastAsia="Arial" w:hAnsi="Arial"/>
                <w:sz w:val="13"/>
                <w:szCs w:val="13"/>
                <w:i w:val="1"/>
                <w:iCs w:val="1"/>
                <w:color w:val="auto"/>
              </w:rPr>
              <w:t>7.6%</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3"/>
                <w:szCs w:val="13"/>
                <w:i w:val="1"/>
                <w:iCs w:val="1"/>
                <w:color w:val="auto"/>
              </w:rPr>
              <w:t>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3"/>
                <w:szCs w:val="13"/>
                <w:i w:val="1"/>
                <w:iCs w:val="1"/>
                <w:color w:val="auto"/>
              </w:rPr>
              <w:t>325 bps</w:t>
            </w:r>
          </w:p>
        </w:tc>
        <w:tc>
          <w:tcPr>
            <w:tcW w:w="1360" w:type="dxa"/>
            <w:vAlign w:val="bottom"/>
          </w:tcPr>
          <w:p>
            <w:pPr>
              <w:spacing w:after="0"/>
              <w:rPr>
                <w:sz w:val="23"/>
                <w:szCs w:val="23"/>
                <w:color w:val="auto"/>
              </w:rPr>
            </w:pPr>
          </w:p>
        </w:tc>
      </w:tr>
      <w:tr>
        <w:trPr>
          <w:trHeight w:val="267"/>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1.7</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74"/>
        </w:trPr>
        <w:tc>
          <w:tcPr>
            <w:tcW w:w="1040" w:type="dxa"/>
            <w:vAlign w:val="bottom"/>
          </w:tcPr>
          <w:p>
            <w:pPr>
              <w:jc w:val="right"/>
              <w:ind w:right="63"/>
              <w:spacing w:after="0"/>
              <w:rPr>
                <w:sz w:val="20"/>
                <w:szCs w:val="20"/>
                <w:color w:val="auto"/>
              </w:rPr>
            </w:pPr>
            <w:r>
              <w:rPr>
                <w:rFonts w:ascii="Arial" w:cs="Arial" w:eastAsia="Arial" w:hAnsi="Arial"/>
                <w:sz w:val="13"/>
                <w:szCs w:val="13"/>
                <w:i w:val="1"/>
                <w:iCs w:val="1"/>
                <w:color w:val="auto"/>
              </w:rPr>
              <w:t>6.0%</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3"/>
                <w:szCs w:val="13"/>
                <w:i w:val="1"/>
                <w:iCs w:val="1"/>
                <w:color w:val="auto"/>
              </w:rPr>
              <w:t>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3"/>
                <w:szCs w:val="13"/>
                <w:i w:val="1"/>
                <w:iCs w:val="1"/>
                <w:color w:val="auto"/>
              </w:rPr>
              <w:t>533 bps</w:t>
            </w:r>
          </w:p>
        </w:tc>
        <w:tc>
          <w:tcPr>
            <w:tcW w:w="1360" w:type="dxa"/>
            <w:vAlign w:val="bottom"/>
          </w:tcPr>
          <w:p>
            <w:pPr>
              <w:spacing w:after="0"/>
              <w:rPr>
                <w:sz w:val="23"/>
                <w:szCs w:val="23"/>
                <w:color w:val="auto"/>
              </w:rPr>
            </w:pPr>
          </w:p>
        </w:tc>
      </w:tr>
      <w:tr>
        <w:trPr>
          <w:trHeight w:val="267"/>
        </w:trPr>
        <w:tc>
          <w:tcPr>
            <w:tcW w:w="1040" w:type="dxa"/>
            <w:vAlign w:val="bottom"/>
          </w:tcPr>
          <w:p>
            <w:pPr>
              <w:jc w:val="right"/>
              <w:ind w:right="123"/>
              <w:spacing w:after="0"/>
              <w:rPr>
                <w:sz w:val="20"/>
                <w:szCs w:val="20"/>
                <w:color w:val="auto"/>
              </w:rPr>
            </w:pPr>
            <w:r>
              <w:rPr>
                <w:rFonts w:ascii="Arial" w:cs="Arial" w:eastAsia="Arial" w:hAnsi="Arial"/>
                <w:sz w:val="16"/>
                <w:szCs w:val="16"/>
                <w:color w:val="auto"/>
              </w:rPr>
              <w:t>(34.6)</w:t>
            </w:r>
          </w:p>
        </w:tc>
        <w:tc>
          <w:tcPr>
            <w:tcW w:w="36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0.6</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1.6%</w:t>
            </w:r>
          </w:p>
        </w:tc>
      </w:tr>
      <w:tr>
        <w:trPr>
          <w:trHeight w:val="378"/>
        </w:trPr>
        <w:tc>
          <w:tcPr>
            <w:tcW w:w="1040" w:type="dxa"/>
            <w:vAlign w:val="bottom"/>
          </w:tcPr>
          <w:p>
            <w:pPr>
              <w:jc w:val="right"/>
              <w:ind w:right="123"/>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24"/>
                <w:szCs w:val="24"/>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48.8%</w:t>
            </w:r>
          </w:p>
        </w:tc>
      </w:tr>
      <w:tr>
        <w:trPr>
          <w:trHeight w:val="391"/>
        </w:trPr>
        <w:tc>
          <w:tcPr>
            <w:tcW w:w="1040" w:type="dxa"/>
            <w:vAlign w:val="bottom"/>
          </w:tcPr>
          <w:p>
            <w:pPr>
              <w:jc w:val="right"/>
              <w:ind w:right="123"/>
              <w:spacing w:after="0"/>
              <w:rPr>
                <w:sz w:val="20"/>
                <w:szCs w:val="20"/>
                <w:color w:val="auto"/>
              </w:rPr>
            </w:pPr>
            <w:r>
              <w:rPr>
                <w:rFonts w:ascii="Arial" w:cs="Arial" w:eastAsia="Arial" w:hAnsi="Arial"/>
                <w:sz w:val="16"/>
                <w:szCs w:val="16"/>
                <w:color w:val="auto"/>
              </w:rPr>
              <w:t>(0.5)</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360" w:type="dxa"/>
            <w:vAlign w:val="bottom"/>
          </w:tcPr>
          <w:p>
            <w:pPr>
              <w:ind w:left="580"/>
              <w:spacing w:after="0"/>
              <w:rPr>
                <w:sz w:val="20"/>
                <w:szCs w:val="20"/>
                <w:color w:val="auto"/>
              </w:rPr>
            </w:pPr>
            <w:r>
              <w:rPr>
                <w:rFonts w:ascii="Arial" w:cs="Arial" w:eastAsia="Arial" w:hAnsi="Arial"/>
                <w:sz w:val="16"/>
                <w:szCs w:val="16"/>
                <w:color w:val="auto"/>
              </w:rPr>
              <w:t>NM*</w:t>
            </w:r>
          </w:p>
        </w:tc>
      </w:tr>
      <w:tr>
        <w:trPr>
          <w:trHeight w:val="240"/>
        </w:trPr>
        <w:tc>
          <w:tcPr>
            <w:tcW w:w="1040" w:type="dxa"/>
            <w:vAlign w:val="bottom"/>
          </w:tcPr>
          <w:p>
            <w:pPr>
              <w:jc w:val="right"/>
              <w:ind w:right="183"/>
              <w:spacing w:after="0"/>
              <w:rPr>
                <w:sz w:val="20"/>
                <w:szCs w:val="20"/>
                <w:color w:val="auto"/>
              </w:rPr>
            </w:pPr>
            <w:r>
              <w:rPr>
                <w:rFonts w:ascii="Arial" w:cs="Arial" w:eastAsia="Arial" w:hAnsi="Arial"/>
                <w:sz w:val="16"/>
                <w:szCs w:val="16"/>
                <w:color w:val="auto"/>
              </w:rPr>
              <w:t>23.8</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10.2</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74.9%</w:t>
            </w:r>
          </w:p>
        </w:tc>
      </w:tr>
      <w:tr>
        <w:trPr>
          <w:trHeight w:val="20"/>
        </w:trPr>
        <w:tc>
          <w:tcPr>
            <w:tcW w:w="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-25400</wp:posOffset>
            </wp:positionV>
            <wp:extent cx="960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-8255</wp:posOffset>
            </wp:positionV>
            <wp:extent cx="9607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-187960</wp:posOffset>
            </wp:positionV>
            <wp:extent cx="960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-2734945</wp:posOffset>
            </wp:positionV>
            <wp:extent cx="960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5700" w:space="460"/>
            <w:col w:w="5260"/>
          </w:cols>
          <w:pgMar w:left="240" w:top="360" w:right="23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3680" w:type="dxa"/>
            <w:vAlign w:val="bottom"/>
            <w:gridSpan w:val="3"/>
          </w:tcPr>
          <w:p>
            <w:pPr>
              <w:ind w:left="20"/>
              <w:spacing w:after="0"/>
              <w:rPr>
                <w:sz w:val="20"/>
                <w:szCs w:val="20"/>
                <w:color w:val="auto"/>
              </w:rPr>
            </w:pPr>
            <w:r>
              <w:rPr>
                <w:rFonts w:ascii="Arial" w:cs="Arial" w:eastAsia="Arial" w:hAnsi="Arial"/>
                <w:sz w:val="14"/>
                <w:szCs w:val="14"/>
                <w:color w:val="auto"/>
              </w:rPr>
              <w:t>*Not meaningful</w:t>
            </w: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404"/>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Business &amp; Industry</w:t>
            </w: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755.0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743.6</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11.4</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1.5%</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22"/>
                <w:szCs w:val="22"/>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3.9</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13.8%</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46 bps</w:t>
            </w:r>
          </w:p>
        </w:tc>
        <w:tc>
          <w:tcPr>
            <w:tcW w:w="13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B&amp;I revenues increased by $11.4 million, or 1.5%, during the three months ended January 31, 2017, as compared to the three months ended January 31, 2016. The increase was primarily attributable to the expansion of existing facility services and janitorial accounts. Management reimbursement revenues for this segment totaled $57.9 million and $56.5 million for the three months ended January 31, 2017 and 2016, respectively.</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Operating profit increased by $3.9 million, or 13.8%, during the three months ended January 31, 2017, as compared to the three months ended January 31, 2016. Operating profit margin increased by 46 bps to 4.3% in the three months ended January 31, 2017 from 3.8% in the three months ended January 31, 2016. The increase in operating profit margin was primarily related to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the absence of a specific reserve established for a client receivable, and lower legal settlement costs. This increase was partially offset by one more working day during the three months ended January 31, 2017 and lower profit margins associated with certain leased location arrangements.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0"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15"/>
        </w:trPr>
        <w:tc>
          <w:tcPr>
            <w:tcW w:w="370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Aviation</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83"/>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28.1</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13.8%</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1.5</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38.8%</w:t>
            </w:r>
          </w:p>
        </w:tc>
      </w:tr>
      <w:tr>
        <w:trPr>
          <w:trHeight w:val="277"/>
        </w:trPr>
        <w:tc>
          <w:tcPr>
            <w:tcW w:w="4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42 bps</w:t>
            </w:r>
          </w:p>
        </w:tc>
        <w:tc>
          <w:tcPr>
            <w:tcW w:w="13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Aviation revenues increased by $28.1 million, or 13.8%, during the three months ended January 31, 2017, as compared to the three months ended January 31, 2016. The increase was primarily attributable to higher passenger services, cabin cleaning, parking, and facility services revenues. Management reimbursement revenues for this segment totaled $16.5 million and $19.7 million for the three months ended January 31, 2017 and 2016, respectively.</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Operating profit increased by $1.5 million, or 38.8%, during the three months ended January 31, 2017, as compared to the three months ended January 31, 2016. Operating profit margin increased by 42 bps to 2.3% in the three months ended January 31, 2017 from 1.9% in the three months ended January 31, 2016. The increase in operating profit margin was primarily attributable to savings and lower allocated costs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and the absence of a penalty imposed by a regulatory agency in the prior year. This increase was partially offset by operational issues in certain geographic markets and by lower equity earnings in an unconsolidated affiliate.</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Emerging Industries Group</w:t>
            </w: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1.5</w:t>
            </w:r>
          </w:p>
        </w:tc>
        <w:tc>
          <w:tcPr>
            <w:tcW w:w="16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0.8%</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22"/>
                <w:szCs w:val="22"/>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jc w:val="right"/>
              <w:ind w:right="294"/>
              <w:spacing w:after="0"/>
              <w:rPr>
                <w:sz w:val="20"/>
                <w:szCs w:val="20"/>
                <w:color w:val="auto"/>
              </w:rPr>
            </w:pPr>
            <w:r>
              <w:rPr>
                <w:rFonts w:ascii="Arial" w:cs="Arial" w:eastAsia="Arial" w:hAnsi="Arial"/>
                <w:sz w:val="18"/>
                <w:szCs w:val="18"/>
                <w:color w:val="auto"/>
              </w:rPr>
              <w:t>(2.5)</w:t>
            </w:r>
          </w:p>
        </w:tc>
        <w:tc>
          <w:tcPr>
            <w:tcW w:w="1600" w:type="dxa"/>
            <w:vAlign w:val="bottom"/>
          </w:tcPr>
          <w:p>
            <w:pPr>
              <w:jc w:val="right"/>
              <w:ind w:right="510"/>
              <w:spacing w:after="0"/>
              <w:rPr>
                <w:sz w:val="20"/>
                <w:szCs w:val="20"/>
                <w:color w:val="auto"/>
              </w:rPr>
            </w:pPr>
            <w:r>
              <w:rPr>
                <w:rFonts w:ascii="Arial" w:cs="Arial" w:eastAsia="Arial" w:hAnsi="Arial"/>
                <w:sz w:val="18"/>
                <w:szCs w:val="18"/>
                <w:color w:val="auto"/>
              </w:rPr>
              <w:t>(16.9)%</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54"/>
              <w:spacing w:after="0"/>
              <w:rPr>
                <w:sz w:val="20"/>
                <w:szCs w:val="20"/>
                <w:color w:val="auto"/>
              </w:rPr>
            </w:pPr>
            <w:r>
              <w:rPr>
                <w:rFonts w:ascii="Arial" w:cs="Arial" w:eastAsia="Arial" w:hAnsi="Arial"/>
                <w:sz w:val="14"/>
                <w:szCs w:val="14"/>
                <w:i w:val="1"/>
                <w:iCs w:val="1"/>
                <w:color w:val="auto"/>
              </w:rPr>
              <w:t>(131) bps</w:t>
            </w:r>
          </w:p>
        </w:tc>
        <w:tc>
          <w:tcPr>
            <w:tcW w:w="160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Emerging Industries Group revenues increased by $1.5 million, or 0.8%, during the three months ended January 31, 2017, as compared to the three months ended January 31, 2016. The increase was primarily related to net new business, partially offset by the loss of certain Education facility solutions contracts and a multi-location High Tech janitorial contract.</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Operating profit decreased by $2.5 million, or 16.9%, during the three months ended January 31, 2017, as compared to the three months ended January 31, 2016. Operating profit margin decreased by 131 bps to 6.2% in the three months ended January 31, 2017 from 7.5% in the three months ended January 31, 2016. The decrease in operating profit margin was primarily attributable to lower contribution margin from certain High Tech contracts, including the loss of a multi-location janitorial account, as well as one more working day during the three months ended January 31, 2017. The decrease in operating profit margin for this segment was partially offset by savings from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initiatives.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Technical Solutions</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4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14.3</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15.3%</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Pr>
          <w:p>
            <w:pPr>
              <w:spacing w:after="0"/>
              <w:rPr>
                <w:sz w:val="22"/>
                <w:szCs w:val="22"/>
                <w:color w:val="auto"/>
              </w:rPr>
            </w:pPr>
          </w:p>
        </w:tc>
        <w:tc>
          <w:tcPr>
            <w:tcW w:w="1560" w:type="dxa"/>
            <w:vAlign w:val="bottom"/>
          </w:tcPr>
          <w:p>
            <w:pPr>
              <w:jc w:val="right"/>
              <w:ind w:right="7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40" w:type="dxa"/>
            <w:vAlign w:val="bottom"/>
          </w:tcPr>
          <w:p>
            <w:pPr>
              <w:jc w:val="right"/>
              <w:ind w:right="614"/>
              <w:spacing w:after="0"/>
              <w:rPr>
                <w:sz w:val="20"/>
                <w:szCs w:val="20"/>
                <w:color w:val="auto"/>
              </w:rPr>
            </w:pPr>
            <w:r>
              <w:rPr>
                <w:rFonts w:ascii="Arial" w:cs="Arial" w:eastAsia="Arial" w:hAnsi="Arial"/>
                <w:sz w:val="18"/>
                <w:szCs w:val="18"/>
                <w:color w:val="auto"/>
              </w:rPr>
              <w:t>4.1</w:t>
            </w:r>
          </w:p>
        </w:tc>
        <w:tc>
          <w:tcPr>
            <w:tcW w:w="1320" w:type="dxa"/>
            <w:vAlign w:val="bottom"/>
          </w:tcPr>
          <w:p>
            <w:pPr>
              <w:jc w:val="center"/>
              <w:ind w:right="390"/>
              <w:spacing w:after="0"/>
              <w:rPr>
                <w:sz w:val="20"/>
                <w:szCs w:val="20"/>
                <w:color w:val="auto"/>
              </w:rPr>
            </w:pPr>
            <w:r>
              <w:rPr>
                <w:rFonts w:ascii="Arial" w:cs="Arial" w:eastAsia="Arial" w:hAnsi="Arial"/>
                <w:sz w:val="18"/>
                <w:szCs w:val="18"/>
                <w:color w:val="auto"/>
              </w:rPr>
              <w:t>NM*</w:t>
            </w:r>
          </w:p>
        </w:tc>
      </w:tr>
      <w:tr>
        <w:trPr>
          <w:trHeight w:val="277"/>
        </w:trPr>
        <w:tc>
          <w:tcPr>
            <w:tcW w:w="4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325 bps</w:t>
            </w:r>
          </w:p>
        </w:tc>
        <w:tc>
          <w:tcPr>
            <w:tcW w:w="1320" w:type="dxa"/>
            <w:vAlign w:val="bottom"/>
            <w:shd w:val="clear" w:color="auto" w:fill="CCEEFF"/>
          </w:tcPr>
          <w:p>
            <w:pPr>
              <w:spacing w:after="0"/>
              <w:rPr>
                <w:sz w:val="24"/>
                <w:szCs w:val="24"/>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Technical Solutions revenues increased by $14.3 million, or 15.3%, during the three months ended January 31, 2017, as compared to the three months ended January 31, 2016. This increase was primarily attributable to incremental revenues from acquisitions of $8.7 million and higher project revenues associated with a strong backlog.</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increased by $4.1 million during the three months ended January 31, 2017, as compared to the three months ended January 31, 2016. Operating profit margin increased by 325 bps to 7.6% in the three months ended January 31, 2017 from 4.4% in the three months ended January 31, 2016. The increase in operating profit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16" w:right="239" w:bottom="1440" w:gutter="0" w:footer="0" w:header="0"/>
        </w:sectPr>
      </w:pPr>
    </w:p>
    <w:bookmarkStart w:id="28" w:name="page29"/>
    <w:bookmarkEnd w:id="28"/>
    <w:p>
      <w:pPr>
        <w:jc w:val="both"/>
        <w:spacing w:after="0" w:line="262" w:lineRule="auto"/>
        <w:rPr>
          <w:sz w:val="20"/>
          <w:szCs w:val="20"/>
          <w:color w:val="auto"/>
        </w:rPr>
      </w:pPr>
      <w:r>
        <w:rPr>
          <w:rFonts w:ascii="Arial" w:cs="Arial" w:eastAsia="Arial" w:hAnsi="Arial"/>
          <w:sz w:val="18"/>
          <w:szCs w:val="18"/>
          <w:color w:val="auto"/>
        </w:rPr>
        <w:t>margin was primarily attributable to the impact of higher revenues, the management of our selling, general, and administrative expenses, and higher operational tax deductions for energy efficient government building projects.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Government Services</w:t>
            </w: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January 31,</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4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2.9</w:t>
            </w:r>
          </w:p>
        </w:tc>
        <w:tc>
          <w:tcPr>
            <w:tcW w:w="13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22"/>
                <w:szCs w:val="22"/>
                <w:color w:val="auto"/>
              </w:rPr>
            </w:pPr>
          </w:p>
        </w:tc>
        <w:tc>
          <w:tcPr>
            <w:tcW w:w="1540" w:type="dxa"/>
            <w:vAlign w:val="bottom"/>
          </w:tcPr>
          <w:p>
            <w:pPr>
              <w:jc w:val="right"/>
              <w:ind w:right="7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40" w:type="dxa"/>
            <w:vAlign w:val="bottom"/>
          </w:tcPr>
          <w:p>
            <w:pPr>
              <w:jc w:val="right"/>
              <w:ind w:right="614"/>
              <w:spacing w:after="0"/>
              <w:rPr>
                <w:sz w:val="20"/>
                <w:szCs w:val="20"/>
                <w:color w:val="auto"/>
              </w:rPr>
            </w:pPr>
            <w:r>
              <w:rPr>
                <w:rFonts w:ascii="Arial" w:cs="Arial" w:eastAsia="Arial" w:hAnsi="Arial"/>
                <w:sz w:val="18"/>
                <w:szCs w:val="18"/>
                <w:color w:val="auto"/>
              </w:rPr>
              <w:t>1.7</w:t>
            </w:r>
          </w:p>
        </w:tc>
        <w:tc>
          <w:tcPr>
            <w:tcW w:w="1340" w:type="dxa"/>
            <w:vAlign w:val="bottom"/>
          </w:tcPr>
          <w:p>
            <w:pPr>
              <w:jc w:val="center"/>
              <w:ind w:right="390"/>
              <w:spacing w:after="0"/>
              <w:rPr>
                <w:sz w:val="20"/>
                <w:szCs w:val="20"/>
                <w:color w:val="auto"/>
              </w:rPr>
            </w:pPr>
            <w:r>
              <w:rPr>
                <w:rFonts w:ascii="Arial" w:cs="Arial" w:eastAsia="Arial" w:hAnsi="Arial"/>
                <w:sz w:val="18"/>
                <w:szCs w:val="18"/>
                <w:color w:val="auto"/>
                <w:w w:val="97"/>
              </w:rPr>
              <w:t>NM*</w:t>
            </w:r>
          </w:p>
        </w:tc>
      </w:tr>
      <w:tr>
        <w:trPr>
          <w:trHeight w:val="277"/>
        </w:trPr>
        <w:tc>
          <w:tcPr>
            <w:tcW w:w="20" w:type="dxa"/>
            <w:vAlign w:val="bottom"/>
            <w:shd w:val="clear" w:color="auto" w:fill="CCEEFF"/>
          </w:tcPr>
          <w:p>
            <w:pPr>
              <w:spacing w:after="0"/>
              <w:rPr>
                <w:sz w:val="24"/>
                <w:szCs w:val="24"/>
                <w:color w:val="auto"/>
              </w:rPr>
            </w:pPr>
          </w:p>
        </w:tc>
        <w:tc>
          <w:tcPr>
            <w:tcW w:w="36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3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6.0%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614"/>
              <w:spacing w:after="0"/>
              <w:rPr>
                <w:sz w:val="20"/>
                <w:szCs w:val="20"/>
                <w:color w:val="auto"/>
              </w:rPr>
            </w:pPr>
            <w:r>
              <w:rPr>
                <w:rFonts w:ascii="Arial" w:cs="Arial" w:eastAsia="Arial" w:hAnsi="Arial"/>
                <w:sz w:val="14"/>
                <w:szCs w:val="14"/>
                <w:i w:val="1"/>
                <w:iCs w:val="1"/>
                <w:color w:val="auto"/>
              </w:rPr>
              <w:t>533 bps</w:t>
            </w:r>
          </w:p>
        </w:tc>
        <w:tc>
          <w:tcPr>
            <w:tcW w:w="1340" w:type="dxa"/>
            <w:vAlign w:val="bottom"/>
            <w:shd w:val="clear" w:color="auto" w:fill="CCEEFF"/>
          </w:tcPr>
          <w:p>
            <w:pPr>
              <w:spacing w:after="0"/>
              <w:rPr>
                <w:sz w:val="24"/>
                <w:szCs w:val="24"/>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Government Services revenues increased by $2.9 million, or 10.0%, during the three months ended January 31, 2017, as compared to the three months ended January 31, 2016. The increase was primarily driven by higher mission support and healthcare facility services revenues.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$1.7 million during the three months ended January 31, 2017, as compared to the three months ended January 31, 2016. Operating profit margin increased by 533 bps to 6.0% in the three months ended January 31, 2017 from 0.7% in the three months ended January 31, 2016. The increase in operating profit margin was primarily attributable to the contribution of higher margin healthcare facility services revenues, the management of expenses, and the elimination of amortization expense associated with the held-for-sale classification.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January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b w:val="1"/>
                <w:bCs w:val="1"/>
                <w:color w:val="auto"/>
              </w:rPr>
              <w:t>Decrease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26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35.2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3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w:t>
            </w:r>
          </w:p>
        </w:tc>
      </w:tr>
    </w:tbl>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Corporate expenses decreased by $0.6 million, or 1.6%, during the three months ended January 31, 2017, as compared to the three months ended January 31, 2016. The decrease in corporate expenses was primarily related to:</w:t>
      </w:r>
    </w:p>
    <w:p>
      <w:pPr>
        <w:spacing w:after="0" w:line="151" w:lineRule="exact"/>
        <w:rPr>
          <w:sz w:val="20"/>
          <w:szCs w:val="20"/>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$3.2 million reimbursement of previously expensed fees associated with a concluded internal investigation into a foreign entity formerly affiliated with a joint venture during the three months ended January 31, 2017; and</w:t>
      </w:r>
    </w:p>
    <w:p>
      <w:pPr>
        <w:spacing w:after="0" w:line="12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 $2.1 million decrease in restructuring and related costs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7"/>
          <w:szCs w:val="17"/>
          <w:color w:val="auto"/>
        </w:rPr>
        <w:t>decrease</w:t>
      </w:r>
      <w:r>
        <w:rPr>
          <w:rFonts w:ascii="Arial" w:cs="Arial" w:eastAsia="Arial" w:hAnsi="Arial"/>
          <w:sz w:val="18"/>
          <w:szCs w:val="18"/>
          <w:color w:val="auto"/>
        </w:rPr>
        <w:t xml:space="preserve"> was partially offset by a $2.3 million increase in legal costs and a $1.0 million increase in sales tax reserve for certain sales tax audits.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line of credit.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1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As discussed within “Developments and Trends,” above, the expected settlements of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Karapetyan</w:t>
      </w:r>
      <w:r>
        <w:rPr>
          <w:rFonts w:ascii="Arial" w:cs="Arial" w:eastAsia="Arial" w:hAnsi="Arial"/>
          <w:sz w:val="18"/>
          <w:szCs w:val="18"/>
          <w:color w:val="auto"/>
        </w:rPr>
        <w:t xml:space="preserve"> cases will have an impact on our liquidity. As a result, we are reevaluating certain uses of cash in the short term, including share repurchases. In addition to normal working capital requirements, we anticipate that our short-term cash requirements will include funding legal settlements, dividend payments, and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external support fees. We anticipate long-term cash uses will include strategic acquisitions, share repurchases, and capital expenditures.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believe that our operating cash flows and borrowing capacity under our line of credit are sufficient to fund our cash requirements for the next twelve months. In the event that our plans change or our cash requirements are greater than we anticipate, we may access the capital markets to finance future cash requirements. However, there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44" w:right="23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8"/>
          <w:szCs w:val="18"/>
          <w:color w:val="auto"/>
        </w:rPr>
        <w:t>can be no assurance that such financing will be available to us when we need it or, if available, that the terms will be satisfactory to us and not dilutive to existing shareholders.</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a long-term basis, we will continue to rely on our line of credit for any long-term funding not provided by operating cash flows. In addition, we anticipate that future cash generated from operations will be favorably impacted by working capital improvements driven by our </w:t>
      </w: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color w:val="000000"/>
        </w:rPr>
        <w:t>, such as the management of costs through consolidated procurement.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Reinvestment of Foreign Earnings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reinvest our foreign earnings to fund future non-U.S. growth and expansion. As a result, we have not provided for federal and state income taxes or foreign withholding taxes that may result if such earnings of our foreign subsidiaries are remitted to the United States. We believe that our cash on hand in the United States, along with available lines of credit and future domestic cash flows, are sufficient to satisfy our domestic liquidity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January 31, 2017, the total outstanding amounts under our $800.0 million line of credit in the form of cash borrowings and standby letters of credit were $306.0 million and $137.9 million, respectively. At January 31, 2017, we had up to $356.1 million borrowing capacity under our line of credit. Current covenant restrictions limit our borrowing capacity to $141.9 million, although this amount could increase in connection with material acquisitions.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ability to draw down available capacity under our line of credit is subject to, and limited by, compliance with certain financial covenants, including covenants relating to a fixed charge coverage ratio, a leverage ratio, and consolidated net worth. On January 6, 2017, ABM entered into an amendment (the “Seventh Amendment”) to our line of credit that amends, among other things, the calculations of certain financial covenants to incorporate adjustments with respect to particular cash and non-cash charges, including any reserves, taken in connection with certain litigation. Other covenants under our line of credit include limitations on liens, dispositions, fundamental changes, investments, and certain transactions and payments. As of January 31, 2017, we were in compliance with these covenants and expect to be in compliance in the foreseeable future.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Captive Insurance Company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first quarter of 2015, we formed IFM Assurance Company (“IFM”), a wholly-owned captive insurance company.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2017, we expect accelerated cash tax savings related to coverage provided by IFM will be between $10 million and $15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At January 31, 2017, authorization for $134.1 million of repurchases remained under our share repurchase program.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Activity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4"/>
          </w:tcPr>
          <w:p>
            <w:pPr>
              <w:jc w:val="right"/>
              <w:ind w:right="1170"/>
              <w:spacing w:after="0"/>
              <w:rPr>
                <w:sz w:val="20"/>
                <w:szCs w:val="20"/>
                <w:color w:val="auto"/>
              </w:rPr>
            </w:pPr>
            <w:r>
              <w:rPr>
                <w:rFonts w:ascii="Arial" w:cs="Arial" w:eastAsia="Arial" w:hAnsi="Arial"/>
                <w:sz w:val="18"/>
                <w:szCs w:val="18"/>
                <w:b w:val="1"/>
                <w:bCs w:val="1"/>
                <w:color w:val="auto"/>
              </w:rPr>
              <w:t>Three Months Ended January 31,</w:t>
            </w:r>
          </w:p>
        </w:tc>
      </w:tr>
      <w:tr>
        <w:trPr>
          <w:trHeight w:val="230"/>
        </w:trPr>
        <w:tc>
          <w:tcPr>
            <w:tcW w:w="43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50"/>
        </w:trPr>
        <w:tc>
          <w:tcPr>
            <w:tcW w:w="4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number of shares purchased</w:t>
            </w:r>
          </w:p>
        </w:tc>
        <w:tc>
          <w:tcPr>
            <w:tcW w:w="17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6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Average price paid per share</w:t>
            </w:r>
          </w:p>
        </w:tc>
        <w:tc>
          <w:tcPr>
            <w:tcW w:w="2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28.19</w:t>
            </w:r>
          </w:p>
        </w:tc>
      </w:tr>
      <w:tr>
        <w:trPr>
          <w:trHeight w:val="277"/>
        </w:trPr>
        <w:tc>
          <w:tcPr>
            <w:tcW w:w="4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cash paid for share repurchases</w:t>
            </w:r>
          </w:p>
        </w:tc>
        <w:tc>
          <w:tcPr>
            <w:tcW w:w="2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459"/>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used in operating activities of continuing operations was $9.7 million during the three months ended January 31, 2017. Typically, our total operating cash flows in the first quarter are lower than in subsequent quarters of the fiscal year. We expect operating activities of continuing operations to provide positive cash flows for 2017.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w:t>
      </w:r>
    </w:p>
    <w:p>
      <w:pPr>
        <w:spacing w:after="0" w:line="298"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31750</wp:posOffset>
            </wp:positionV>
            <wp:extent cx="22383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 of continuing operations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64"/>
        </w:trPr>
        <w:tc>
          <w:tcPr>
            <w:tcW w:w="788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cash used in operating activities of discontinued operations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r>
      <w:tr>
        <w:trPr>
          <w:trHeight w:val="25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119.4</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Continuing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operating activities of continuing operations increased by $3.1 million during the three months ended January 31, 2017, as compared to the three months ended January 31, 2016. This increase was primarily related to the timing of client receivable collections, partially offset by the timing of vendor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operating activities of discontinued operations decreased by $21.8 million during the three months ended January 31, 2017, as compared to the three months ended January 31, 2016. This decrease was primarily attributable to the absence of $20.6 million in taxes paid related to the sale of our Security business.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decreased by $58.5 million during the three months ended January 31, 2017, as compared to the three months ended January 31, 2016. The decrease was primarily related to a $62.4 million year-over-year decrease in cash paid, net of cash acquired, for acquisitions.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financing activities decreased by $92.4 million during the three months ended January 31, 2017, as compared to the three months ended January 31, 2016. The decrease was primarily related to lower net borrowings of $91.0 million from our line of credit associated with higher borrowings in the first quarter of 2016 to finance the Westway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At January 31, 2017, the total amount accrued for all probable litigation losses where a reasonable estimate of the loss could be made was $128.4 million. This $128.4 million includes the accrual of $115.0 million in connection with the probable settlements of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Karapetyan </w:t>
      </w:r>
      <w:r>
        <w:rPr>
          <w:rFonts w:ascii="Arial" w:cs="Arial" w:eastAsia="Arial" w:hAnsi="Arial"/>
          <w:sz w:val="18"/>
          <w:szCs w:val="18"/>
          <w:color w:val="auto"/>
        </w:rPr>
        <w:t>cases, as well as an accrual for payroll taxes related to the probable settlements of $6.8 million. The remaining $6.6 million relates</w:t>
      </w:r>
      <w:r>
        <w:rPr>
          <w:rFonts w:ascii="Arial" w:cs="Arial" w:eastAsia="Arial" w:hAnsi="Arial"/>
          <w:sz w:val="18"/>
          <w:szCs w:val="18"/>
          <w:i w:val="1"/>
          <w:iCs w:val="1"/>
          <w:color w:val="auto"/>
        </w:rPr>
        <w:t xml:space="preserve"> </w:t>
      </w:r>
      <w:r>
        <w:rPr>
          <w:rFonts w:ascii="Arial" w:cs="Arial" w:eastAsia="Arial" w:hAnsi="Arial"/>
          <w:sz w:val="18"/>
          <w:szCs w:val="18"/>
          <w:color w:val="auto"/>
        </w:rPr>
        <w:t>to various other probable litigation losses. Litigation outcomes are difficult to predict and the estimation of probable losses requires the analysis of multiple possible outcomes that often depend on judgments about potential actions by third parties. There is the potential for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22" w:right="239" w:bottom="144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18"/>
          <w:szCs w:val="18"/>
          <w:color w:val="auto"/>
        </w:rPr>
        <w:t>a material adverse effect on our financial statements if one or more matters are resolved in a particular period in an amount materially in excess of what we anticipated.</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$15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ind w:right="500" w:firstLine="648"/>
        <w:spacing w:after="0" w:line="438" w:lineRule="auto"/>
        <w:rPr>
          <w:sz w:val="20"/>
          <w:szCs w:val="20"/>
          <w:color w:val="auto"/>
        </w:rPr>
      </w:pPr>
      <w:r>
        <w:rPr>
          <w:rFonts w:ascii="Arial" w:cs="Arial" w:eastAsia="Arial" w:hAnsi="Arial"/>
          <w:sz w:val="18"/>
          <w:szCs w:val="18"/>
          <w:color w:val="auto"/>
        </w:rPr>
        <w:t xml:space="preserve">For additional information about our contingencies, see Note 12, “Commitments and Contingencies,” in the Financial Statements. </w:t>
      </w:r>
      <w:r>
        <w:rPr>
          <w:rFonts w:ascii="Arial" w:cs="Arial" w:eastAsia="Arial" w:hAnsi="Arial"/>
          <w:sz w:val="18"/>
          <w:szCs w:val="18"/>
          <w:b w:val="1"/>
          <w:bCs w:val="1"/>
          <w:color w:val="auto"/>
        </w:rPr>
        <w:t>Critical Accounting Policies and Estimates</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accompanying Financial Statements are prepared in accordance with United States generally accepted accounting principles (“U.S. GAAP”), which require us to make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44"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ectPr>
          <w:pgSz w:w="11900" w:h="16838" w:orient="portrait"/>
          <w:cols w:equalWidth="0" w:num="1">
            <w:col w:w="11360"/>
          </w:cols>
          <w:pgMar w:left="240" w:top="522" w:right="299" w:bottom="1440" w:gutter="0" w:footer="0" w:header="0"/>
        </w:sect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73" w:lineRule="exact"/>
        <w:rPr>
          <w:sz w:val="20"/>
          <w:szCs w:val="20"/>
          <w:color w:val="auto"/>
        </w:rPr>
      </w:pPr>
    </w:p>
    <w:p>
      <w:pPr>
        <w:ind w:left="40" w:right="120"/>
        <w:spacing w:after="0" w:line="248" w:lineRule="auto"/>
        <w:rPr>
          <w:sz w:val="20"/>
          <w:szCs w:val="20"/>
          <w:color w:val="auto"/>
        </w:rPr>
      </w:pPr>
      <w:r>
        <w:rPr>
          <w:rFonts w:ascii="Arial" w:cs="Arial" w:eastAsia="Arial" w:hAnsi="Arial"/>
          <w:sz w:val="16"/>
          <w:szCs w:val="16"/>
          <w:color w:val="auto"/>
        </w:rPr>
        <w:t xml:space="preserve">In January 2017, the Financial Accounting Standards Board (“FASB”) issued Accounting Standards Update (“ASU”) 2017-04,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 (Topic 350): Simplifying the Test for 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1886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line="251"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805): Clarifying the Definition of a Business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1886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0" w:right="100"/>
        <w:spacing w:after="0" w:line="25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1886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Under current U.S. GAAP, entities are required to test goodwill for impairment using a two step approach. Under this ASU, an entity will assess goodwill for impairment by comparing the fair value of a reporting unit to its carrying amount, which is the equivalent of step one under existing guidance. Therefore, this ASU simplifies current U.S. GAAP by removing the second step of the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9525</wp:posOffset>
            </wp:positionV>
            <wp:extent cx="1955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7"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This ASU creates a narrower framework to be applied in the determination of whether a set of assets and activities constitutes a business, therefore, reducing the number of transactions that qualify as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8890</wp:posOffset>
            </wp:positionV>
            <wp:extent cx="1955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ASU introduces a new principles-based framework for revenue recognition and disclosure. The core principle of the standard is when an entity transfers goods or services to customers it will recognize revenue in an amount that reflects the consideration the entity expects to be entitled to for those goods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250190</wp:posOffset>
            </wp:positionV>
            <wp:extent cx="1955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wp:posOffset>
            </wp:positionV>
            <wp:extent cx="1663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November 1, 2020</w:t>
      </w:r>
    </w:p>
    <w:p>
      <w:pPr>
        <w:spacing w:after="0" w:line="19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Adoption of this standard will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723265</wp:posOffset>
            </wp:positionV>
            <wp:extent cx="1663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November 1, 2018</w:t>
      </w:r>
    </w:p>
    <w:p>
      <w:pPr>
        <w:spacing w:after="0" w:line="194"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Adoption of this standard will be applied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243205</wp:posOffset>
            </wp:positionV>
            <wp:extent cx="1663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November 1, 2018</w:t>
      </w:r>
    </w:p>
    <w:p>
      <w:pPr>
        <w:spacing w:after="0" w:line="1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standard will be applied as a full retrospective adoption to all periods presented or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251460</wp:posOffset>
            </wp:positionV>
            <wp:extent cx="1663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-8890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impact of this ASU will depend on the outcomes of future goodwill impairment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847090</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adoption of this guidance is not expected to reduce the number of our transactions that qualify as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127635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have begun our process for implementing this guidance, including a preliminary review of all revenue streams to identify changes from our current method of revenue recognition. We are continuing to evaluate the impact of this ASU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129540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900" w:space="220"/>
            <w:col w:w="3000" w:space="200"/>
            <w:col w:w="2520" w:space="200"/>
            <w:col w:w="2320"/>
          </w:cols>
          <w:pgMar w:left="240" w:top="522" w:right="299" w:bottom="1440" w:gutter="0" w:footer="0" w:header="0"/>
          <w:type w:val="continuous"/>
        </w:sectPr>
      </w:pPr>
    </w:p>
    <w:p>
      <w:pPr>
        <w:spacing w:after="0" w:line="46"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18865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This ASU improves transparency and comparability among organizations by requiring lessees to recognize lease assets and lease liabilities on the balance sheet and to disclose key information about leasing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248920</wp:posOffset>
            </wp:positionV>
            <wp:extent cx="19551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When transitioning to the new standard, we are required to recognize and measure leases at the beginning of the earliest period presented using a modified retrospective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wp:posOffset>
            </wp:positionV>
            <wp:extent cx="1663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487680</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53" w:lineRule="exact"/>
        <w:rPr>
          <w:sz w:val="20"/>
          <w:szCs w:val="20"/>
          <w:color w:val="auto"/>
        </w:rPr>
      </w:pPr>
    </w:p>
    <w:p>
      <w:pPr>
        <w:sectPr>
          <w:pgSz w:w="11900" w:h="16838" w:orient="portrait"/>
          <w:cols w:equalWidth="0" w:num="4">
            <w:col w:w="2940" w:space="180"/>
            <w:col w:w="2980" w:space="220"/>
            <w:col w:w="2480" w:space="240"/>
            <w:col w:w="2320"/>
          </w:cols>
          <w:pgMar w:left="240" w:top="522" w:right="299" w:bottom="1440" w:gutter="0" w:footer="0" w:header="0"/>
          <w:type w:val="continuous"/>
        </w:sectPr>
      </w:pP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60"/>
          </w:cols>
          <w:pgMar w:left="240" w:top="522" w:right="2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560" w:firstLine="648"/>
        <w:spacing w:after="0" w:line="262" w:lineRule="auto"/>
        <w:rPr>
          <w:sz w:val="20"/>
          <w:szCs w:val="20"/>
          <w:color w:val="auto"/>
        </w:rPr>
      </w:pPr>
      <w:r>
        <w:rPr>
          <w:rFonts w:ascii="Arial" w:cs="Arial" w:eastAsia="Arial" w:hAnsi="Arial"/>
          <w:sz w:val="18"/>
          <w:szCs w:val="18"/>
          <w:color w:val="auto"/>
        </w:rPr>
        <w:t>There are no material changes related to market risk from the disclosures in our Annual Report on Form 10-K for the year ended October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We are currently migrating many of our financial reporting and processes to our shared services center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strategic initiative. We plan to continue migrating such processes during 2017.</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other changes in our internal control over financial reporting during the first quarter of 2017 identified in connection with the evaluation required by Rule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12, “Commitments and Contingencies,” to the Financial Statements in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2016, in response to Item 1A., “Risk Factors,” of Part I of the Annual Report.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2, 2015, our Board of Directors authorized a program to repurchase up to $ 200.0 million shares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8"/>
              </w:rPr>
              <w:t>that May Yet Be</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00" w:type="dxa"/>
            <w:vAlign w:val="bottom"/>
          </w:tcPr>
          <w:p>
            <w:pPr>
              <w:spacing w:after="0"/>
              <w:rPr>
                <w:sz w:val="17"/>
                <w:szCs w:val="17"/>
                <w:color w:val="auto"/>
              </w:rPr>
            </w:pPr>
          </w:p>
        </w:tc>
        <w:tc>
          <w:tcPr>
            <w:tcW w:w="172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Purchased Under</w:t>
            </w:r>
          </w:p>
        </w:tc>
      </w:tr>
      <w:tr>
        <w:trPr>
          <w:trHeight w:val="203"/>
        </w:trPr>
        <w:tc>
          <w:tcPr>
            <w:tcW w:w="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the Plans or</w:t>
            </w:r>
          </w:p>
        </w:tc>
      </w:tr>
      <w:tr>
        <w:trPr>
          <w:trHeight w:val="212"/>
        </w:trPr>
        <w:tc>
          <w:tcPr>
            <w:tcW w:w="45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 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Programs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Period</w:t>
            </w: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6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11/1/2016 — 11/30/2016</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39.64</w:t>
            </w:r>
          </w:p>
        </w:tc>
        <w:tc>
          <w:tcPr>
            <w:tcW w:w="12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139.6</w:t>
            </w:r>
          </w:p>
        </w:tc>
      </w:tr>
      <w:tr>
        <w:trPr>
          <w:trHeight w:val="277"/>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12/1/2016 — 12/31/2016</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40.95</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r>
      <w:tr>
        <w:trPr>
          <w:trHeight w:val="264"/>
        </w:trPr>
        <w:tc>
          <w:tcPr>
            <w:tcW w:w="4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1/1/2017 — 1/31/2017</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134.1</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w:t>
            </w: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22"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114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r>
      <w:tr>
        <w:trPr>
          <w:trHeight w:val="378"/>
        </w:trPr>
        <w:tc>
          <w:tcPr>
            <w:tcW w:w="11420" w:type="dxa"/>
            <w:vAlign w:val="bottom"/>
            <w:gridSpan w:val="3"/>
          </w:tcPr>
          <w:p>
            <w:pPr>
              <w:ind w:left="660"/>
              <w:spacing w:after="0"/>
              <w:rPr>
                <w:sz w:val="20"/>
                <w:szCs w:val="20"/>
                <w:color w:val="auto"/>
              </w:rPr>
            </w:pPr>
            <w:r>
              <w:rPr>
                <w:rFonts w:ascii="Arial" w:cs="Arial" w:eastAsia="Arial" w:hAnsi="Arial"/>
                <w:sz w:val="18"/>
                <w:szCs w:val="18"/>
                <w:color w:val="auto"/>
              </w:rPr>
              <w:t>(a) Exhibits</w:t>
            </w:r>
          </w:p>
        </w:tc>
      </w:tr>
      <w:tr>
        <w:trPr>
          <w:trHeight w:val="378"/>
        </w:trPr>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No.</w:t>
            </w:r>
          </w:p>
        </w:tc>
        <w:tc>
          <w:tcPr>
            <w:tcW w:w="9920" w:type="dxa"/>
            <w:vAlign w:val="bottom"/>
          </w:tcPr>
          <w:p>
            <w:pPr>
              <w:ind w:left="41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Bylaws, as amended January 24, 2017 (incorporated by reference to Exhibit 3.1 to the Company’s Current Report on Form</w:t>
            </w:r>
          </w:p>
        </w:tc>
      </w:tr>
      <w:tr>
        <w:trPr>
          <w:trHeight w:val="217"/>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8-K, filed on January 26, 2017)</w:t>
            </w: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920" w:type="dxa"/>
            <w:vAlign w:val="bottom"/>
          </w:tcPr>
          <w:p>
            <w:pPr>
              <w:ind w:left="20"/>
              <w:spacing w:after="0"/>
              <w:rPr>
                <w:sz w:val="20"/>
                <w:szCs w:val="20"/>
                <w:color w:val="auto"/>
              </w:rPr>
            </w:pPr>
            <w:r>
              <w:rPr>
                <w:rFonts w:ascii="Arial" w:cs="Arial" w:eastAsia="Arial" w:hAnsi="Arial"/>
                <w:sz w:val="18"/>
                <w:szCs w:val="18"/>
                <w:color w:val="auto"/>
              </w:rPr>
              <w:t>Seventh Amendment, dated as of January 6, 2017, to the Credit Agreement dated as of November 30, 2010, among ABM</w:t>
            </w:r>
          </w:p>
        </w:tc>
      </w:tr>
      <w:tr>
        <w:trPr>
          <w:trHeight w:val="217"/>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Industries Incorporated, various financial institutions and Bank of America, N.A., as Administrative Agent</w:t>
            </w:r>
          </w:p>
        </w:tc>
      </w:tr>
      <w:tr>
        <w:trPr>
          <w:trHeight w:val="25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9920" w:type="dxa"/>
            <w:vAlign w:val="bottom"/>
          </w:tcPr>
          <w:p>
            <w:pPr>
              <w:ind w:left="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Report Instance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bl>
    <w:p>
      <w:pPr>
        <w:spacing w:after="0" w:line="188" w:lineRule="exact"/>
        <w:rPr>
          <w:sz w:val="20"/>
          <w:szCs w:val="20"/>
          <w:color w:val="auto"/>
        </w:rPr>
      </w:pPr>
    </w:p>
    <w:p>
      <w:pPr>
        <w:ind w:left="740" w:hanging="69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71" w:lineRule="exact"/>
        <w:rPr>
          <w:sz w:val="20"/>
          <w:szCs w:val="20"/>
          <w:color w:val="auto"/>
        </w:rPr>
      </w:pPr>
    </w:p>
    <w:p>
      <w:pPr>
        <w:ind w:left="740" w:hanging="69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171" w:lineRule="exact"/>
        <w:rPr>
          <w:sz w:val="20"/>
          <w:szCs w:val="20"/>
          <w:color w:val="auto"/>
        </w:rPr>
      </w:pPr>
    </w:p>
    <w:p>
      <w:pPr>
        <w:ind w:left="740" w:right="40" w:hanging="698"/>
        <w:spacing w:after="0" w:line="246"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a confidential treatment request under 17 C.F.R. 240.24b-2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22"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March 8, 2017</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March 8, 2017</w:t>
      </w:r>
      <w:r>
        <w:rPr>
          <w:sz w:val="20"/>
          <w:szCs w:val="20"/>
          <w:color w:val="auto"/>
        </w:rPr>
        <w:tab/>
      </w:r>
      <w:r>
        <w:rPr>
          <w:rFonts w:ascii="Arial" w:cs="Arial" w:eastAsia="Arial" w:hAnsi="Arial"/>
          <w:sz w:val="18"/>
          <w:szCs w:val="18"/>
          <w:u w:val="single" w:color="auto"/>
          <w:color w:val="auto"/>
        </w:rPr>
        <w:t>/s/ Dean A. Chin</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Chief Accounting Officer,</w:t>
      </w:r>
    </w:p>
    <w:p>
      <w:pPr>
        <w:ind w:left="6540"/>
        <w:spacing w:after="0" w:line="235" w:lineRule="auto"/>
        <w:rPr>
          <w:sz w:val="20"/>
          <w:szCs w:val="20"/>
          <w:color w:val="auto"/>
        </w:rPr>
      </w:pPr>
      <w:r>
        <w:rPr>
          <w:rFonts w:ascii="Arial" w:cs="Arial" w:eastAsia="Arial" w:hAnsi="Arial"/>
          <w:sz w:val="18"/>
          <w:szCs w:val="18"/>
          <w:color w:val="auto"/>
        </w:rPr>
        <w:t>and Corporate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22"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Portions of this document have been omitted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and filed separately with the Commission pursuant to 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confidential treatment request under 17 C.F.R. 240.24b-2.</w:t>
      </w:r>
      <w:r>
        <w:rPr>
          <w:rFonts w:ascii="Arial" w:cs="Arial" w:eastAsia="Arial" w:hAnsi="Arial"/>
          <w:sz w:val="18"/>
          <w:szCs w:val="18"/>
          <w:color w:val="auto"/>
        </w:rPr>
        <w: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SEVENTH AMENDMENT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SEVENTH AMENDMENT (this “Amendment”) dated as of January 6, 2017 to the Credit Agreement referenced below is by and among ABM Industries Incorporated,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Omni Serv Limited, an English company (the “</w:t>
      </w:r>
      <w:r>
        <w:rPr>
          <w:rFonts w:ascii="Arial" w:cs="Arial" w:eastAsia="Arial" w:hAnsi="Arial"/>
          <w:sz w:val="19"/>
          <w:szCs w:val="19"/>
          <w:u w:val="single" w:color="auto"/>
          <w:color w:val="auto"/>
        </w:rPr>
        <w:t>Designated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identified on the signature pages hereto and Bank of America, N.A., as Administrative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 revolving credit facility has been extended to the Borrowers pursuant to the Credit Agreement (as amended, modified, supplemented, increased and extended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dated as of November 30, 2010 among the Company, the Designated Borrower, the Lenders identified therein and the Administrative Agent; and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Borrowers have requested certain modifications to the Credit Agreement and the Required Lenders have agreed to such modifications on the terms and conditions set forth herein.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other good and valuable consideration, the receipt and sufficiency of which are hereby acknowledged, the parties hereto agree as follows:</w:t>
      </w:r>
    </w:p>
    <w:p>
      <w:pPr>
        <w:spacing w:after="0" w:line="177" w:lineRule="exact"/>
        <w:rPr>
          <w:sz w:val="20"/>
          <w:szCs w:val="20"/>
          <w:color w:val="auto"/>
        </w:rPr>
      </w:pPr>
    </w:p>
    <w:p>
      <w:pPr>
        <w:ind w:firstLine="656"/>
        <w:spacing w:after="0" w:line="260" w:lineRule="auto"/>
        <w:tabs>
          <w:tab w:leader="none" w:pos="1004"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w:t>
      </w:r>
    </w:p>
    <w:p>
      <w:pPr>
        <w:spacing w:after="0" w:line="176" w:lineRule="exact"/>
        <w:rPr>
          <w:rFonts w:ascii="Arial" w:cs="Arial" w:eastAsia="Arial" w:hAnsi="Arial"/>
          <w:sz w:val="20"/>
          <w:szCs w:val="20"/>
          <w:color w:val="auto"/>
        </w:rPr>
      </w:pPr>
    </w:p>
    <w:p>
      <w:pPr>
        <w:ind w:left="980" w:hanging="324"/>
        <w:spacing w:after="0"/>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The Credit Agreement is amended as follows:</w:t>
      </w:r>
    </w:p>
    <w:p>
      <w:pPr>
        <w:spacing w:after="0" w:line="21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The following definitions are added to Section 1.1:</w:t>
      </w:r>
    </w:p>
    <w:p>
      <w:pPr>
        <w:spacing w:after="0" w:line="216"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Augustus Case</w:t>
      </w:r>
      <w:r>
        <w:rPr>
          <w:rFonts w:ascii="Arial" w:cs="Arial" w:eastAsia="Arial" w:hAnsi="Arial"/>
          <w:sz w:val="20"/>
          <w:szCs w:val="20"/>
          <w:color w:val="auto"/>
        </w:rPr>
        <w:t>” means the consolidated cases of Augustus, Hall and Davis v. American Commercial Security Services filed on July 12, 2005 in the Superior Court of California, Los Angeles County.</w:t>
      </w:r>
    </w:p>
    <w:p>
      <w:pPr>
        <w:spacing w:after="0" w:line="177" w:lineRule="exact"/>
        <w:rPr>
          <w:sz w:val="20"/>
          <w:szCs w:val="20"/>
          <w:color w:val="auto"/>
        </w:rPr>
      </w:pPr>
    </w:p>
    <w:p>
      <w:pPr>
        <w:ind w:left="1300" w:right="1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ind w:left="1300" w:right="20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left="1300" w:right="4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 “</w:t>
      </w:r>
      <w:r>
        <w:rPr>
          <w:rFonts w:ascii="Arial" w:cs="Arial" w:eastAsia="Arial" w:hAnsi="Arial"/>
          <w:sz w:val="18"/>
          <w:szCs w:val="18"/>
          <w:u w:val="single" w:color="auto"/>
          <w:color w:val="auto"/>
        </w:rPr>
        <w:t>EEA</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ind w:left="1300" w:right="1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1300" w:right="16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#89304985v3</w:t>
      </w:r>
    </w:p>
    <w:p>
      <w:pPr>
        <w:sectPr>
          <w:pgSz w:w="11900" w:h="16838" w:orient="portrait"/>
          <w:cols w:equalWidth="0" w:num="1">
            <w:col w:w="11420"/>
          </w:cols>
          <w:pgMar w:left="240" w:top="584" w:right="239" w:bottom="1440" w:gutter="0" w:footer="0" w:header="0"/>
        </w:sectPr>
      </w:pPr>
    </w:p>
    <w:bookmarkStart w:id="38" w:name="page39"/>
    <w:bookmarkEnd w:id="38"/>
    <w:p>
      <w:pPr>
        <w:ind w:left="1300" w:right="20"/>
        <w:spacing w:after="0" w:line="260" w:lineRule="auto"/>
        <w:rPr>
          <w:sz w:val="20"/>
          <w:szCs w:val="20"/>
          <w:color w:val="auto"/>
        </w:rPr>
      </w:pPr>
      <w:r>
        <w:rPr>
          <w:rFonts w:ascii="Arial" w:cs="Arial" w:eastAsia="Arial" w:hAnsi="Arial"/>
          <w:sz w:val="20"/>
          <w:szCs w:val="20"/>
          <w:color w:val="auto"/>
        </w:rPr>
        <w:t>Bail-In Legislation for the applicable EEA Member Country, which write-down and conversion powers are described in the EU Bail-In Legislation Schedule.</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2.2 In clause (b) of the definition of “Consolidated EBITDA” in Section 1.1 the “and” after clause (iv) is deleted and the following is added immediately after clause (v):</w:t>
      </w:r>
    </w:p>
    <w:p>
      <w:pPr>
        <w:spacing w:after="0" w:line="177" w:lineRule="exact"/>
        <w:rPr>
          <w:sz w:val="20"/>
          <w:szCs w:val="20"/>
          <w:color w:val="auto"/>
        </w:rPr>
      </w:pPr>
    </w:p>
    <w:p>
      <w:pPr>
        <w:ind w:left="1300"/>
        <w:spacing w:after="0" w:line="276" w:lineRule="auto"/>
        <w:rPr>
          <w:sz w:val="20"/>
          <w:szCs w:val="20"/>
          <w:color w:val="auto"/>
        </w:rPr>
      </w:pPr>
      <w:r>
        <w:rPr>
          <w:rFonts w:ascii="Arial" w:cs="Arial" w:eastAsia="Arial" w:hAnsi="Arial"/>
          <w:sz w:val="20"/>
          <w:szCs w:val="20"/>
          <w:color w:val="auto"/>
        </w:rPr>
        <w:t>and (vi) charges (cash and non-cash) arising out of the Augustus Case, including any reserves taken with respect to the Augustus Case, in an aggregate amount not to exceed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during the term of this Agreement</w:t>
      </w:r>
    </w:p>
    <w:p>
      <w:pPr>
        <w:spacing w:after="0" w:line="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Clause (c) of the definition of “Consolidated EBITDA” in Section 1.1 is amended to read as follows:</w:t>
      </w:r>
    </w:p>
    <w:p>
      <w:pPr>
        <w:spacing w:after="0" w:line="216" w:lineRule="exact"/>
        <w:rPr>
          <w:sz w:val="20"/>
          <w:szCs w:val="20"/>
          <w:color w:val="auto"/>
        </w:rPr>
      </w:pPr>
    </w:p>
    <w:p>
      <w:pPr>
        <w:ind w:left="1300" w:right="20" w:firstLine="5"/>
        <w:spacing w:after="0" w:line="316" w:lineRule="auto"/>
        <w:tabs>
          <w:tab w:leader="none" w:pos="1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included in such Consolidated Net Income, (i) all non-recurring and extraordinary gains or income and (ii) gains resulting from the reduction or reversal of any non-cash charge, including any reserves, arising out of the Augustus Case</w:t>
      </w:r>
    </w:p>
    <w:p>
      <w:pPr>
        <w:spacing w:after="0" w:line="13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2.4 In clause (d) of the definition of “Defaulting Lender” the “or” immediately prior to clause (iii) is deleted and the following is added immediately after clause (iii):</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or (iv) become the subject of a Bail-in Action</w:t>
      </w:r>
    </w:p>
    <w:p>
      <w:pPr>
        <w:spacing w:after="0" w:line="21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A new Section 5.21 is added to read as follows:</w:t>
      </w:r>
    </w:p>
    <w:p>
      <w:pPr>
        <w:spacing w:after="0" w:line="21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5.21</w:t>
      </w:r>
      <w:r>
        <w:rPr>
          <w:sz w:val="20"/>
          <w:szCs w:val="20"/>
          <w:color w:val="auto"/>
        </w:rPr>
        <w:tab/>
      </w:r>
      <w:r>
        <w:rPr>
          <w:rFonts w:ascii="Arial" w:cs="Arial" w:eastAsia="Arial" w:hAnsi="Arial"/>
          <w:sz w:val="18"/>
          <w:szCs w:val="18"/>
          <w:u w:val="single" w:color="auto"/>
          <w:color w:val="auto"/>
        </w:rPr>
        <w:t>No EEA Financial Institution</w:t>
      </w:r>
      <w:r>
        <w:rPr>
          <w:rFonts w:ascii="Arial" w:cs="Arial" w:eastAsia="Arial" w:hAnsi="Arial"/>
          <w:sz w:val="18"/>
          <w:szCs w:val="18"/>
          <w:color w:val="auto"/>
        </w:rPr>
        <w:t>. No Loan Party is an EEA Financial Institution.</w:t>
      </w:r>
    </w:p>
    <w:p>
      <w:pPr>
        <w:spacing w:after="0" w:line="21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In Section 8.1(i) the following is added after “Material Financial Amount”:</w:t>
      </w:r>
    </w:p>
    <w:p>
      <w:pPr>
        <w:spacing w:after="0" w:line="216" w:lineRule="exact"/>
        <w:rPr>
          <w:sz w:val="20"/>
          <w:szCs w:val="20"/>
          <w:color w:val="auto"/>
        </w:rPr>
      </w:pPr>
    </w:p>
    <w:p>
      <w:pPr>
        <w:ind w:left="660" w:right="1980" w:firstLine="648"/>
        <w:spacing w:after="0" w:line="222" w:lineRule="auto"/>
        <w:rPr>
          <w:sz w:val="20"/>
          <w:szCs w:val="20"/>
          <w:color w:val="auto"/>
        </w:rPr>
      </w:pPr>
      <w:r>
        <w:rPr>
          <w:rFonts w:ascii="Arial" w:cs="Arial" w:eastAsia="Arial" w:hAnsi="Arial"/>
          <w:sz w:val="20"/>
          <w:szCs w:val="20"/>
          <w:color w:val="auto"/>
        </w:rPr>
        <w:t>or, solely with respect to any judgment or settlement in connection with the Augustus Case, $[*****],</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2.7 A new Section 10.23 is added to read as follows:</w:t>
      </w:r>
    </w:p>
    <w:p>
      <w:pPr>
        <w:spacing w:after="0" w:line="197" w:lineRule="exact"/>
        <w:rPr>
          <w:sz w:val="20"/>
          <w:szCs w:val="20"/>
          <w:color w:val="auto"/>
        </w:rPr>
      </w:pPr>
    </w:p>
    <w:p>
      <w:pPr>
        <w:jc w:val="both"/>
        <w:ind w:left="1300"/>
        <w:spacing w:after="0" w:line="260" w:lineRule="auto"/>
        <w:rPr>
          <w:sz w:val="20"/>
          <w:szCs w:val="20"/>
          <w:color w:val="auto"/>
        </w:rPr>
      </w:pPr>
      <w:r>
        <w:rPr>
          <w:rFonts w:ascii="Arial" w:cs="Arial" w:eastAsia="Arial" w:hAnsi="Arial"/>
          <w:sz w:val="19"/>
          <w:szCs w:val="19"/>
          <w:color w:val="auto"/>
        </w:rPr>
        <w:t xml:space="preserve">10.23. </w:t>
      </w:r>
      <w:r>
        <w:rPr>
          <w:rFonts w:ascii="Arial" w:cs="Arial" w:eastAsia="Arial" w:hAnsi="Arial"/>
          <w:sz w:val="19"/>
          <w:szCs w:val="19"/>
          <w:u w:val="single" w:color="auto"/>
          <w:color w:val="auto"/>
        </w:rPr>
        <w:t>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1" w:lineRule="exact"/>
        <w:rPr>
          <w:sz w:val="20"/>
          <w:szCs w:val="20"/>
          <w:color w:val="auto"/>
        </w:rPr>
      </w:pPr>
    </w:p>
    <w:p>
      <w:pPr>
        <w:ind w:left="1300" w:right="20" w:firstLine="653"/>
        <w:spacing w:after="0" w:line="287" w:lineRule="auto"/>
        <w:tabs>
          <w:tab w:leader="none" w:pos="251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Lender that is an EEA Financial Institution; and</w:t>
      </w:r>
    </w:p>
    <w:p>
      <w:pPr>
        <w:spacing w:after="0" w:line="152" w:lineRule="exact"/>
        <w:rPr>
          <w:rFonts w:ascii="Arial" w:cs="Arial" w:eastAsia="Arial" w:hAnsi="Arial"/>
          <w:sz w:val="19"/>
          <w:szCs w:val="19"/>
          <w:color w:val="auto"/>
        </w:rPr>
      </w:pPr>
    </w:p>
    <w:p>
      <w:pPr>
        <w:ind w:left="2360" w:hanging="407"/>
        <w:spacing w:after="0"/>
        <w:tabs>
          <w:tab w:leader="none" w:pos="23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960" w:hanging="359"/>
        <w:spacing w:after="0"/>
        <w:tabs>
          <w:tab w:leader="none" w:pos="29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29" w:lineRule="exact"/>
        <w:rPr>
          <w:rFonts w:ascii="Arial" w:cs="Arial" w:eastAsia="Arial" w:hAnsi="Arial"/>
          <w:sz w:val="20"/>
          <w:szCs w:val="20"/>
          <w:color w:val="auto"/>
        </w:rPr>
      </w:pPr>
    </w:p>
    <w:p>
      <w:pPr>
        <w:ind w:left="3080" w:hanging="479"/>
        <w:spacing w:after="0"/>
        <w:tabs>
          <w:tab w:leader="none" w:pos="3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w:t>
      </w:r>
    </w:p>
    <w:p>
      <w:pPr>
        <w:spacing w:after="0" w:line="39" w:lineRule="exact"/>
        <w:rPr>
          <w:sz w:val="20"/>
          <w:szCs w:val="20"/>
          <w:color w:val="auto"/>
        </w:rPr>
      </w:pPr>
    </w:p>
    <w:p>
      <w:pPr>
        <w:ind w:left="2600"/>
        <w:spacing w:after="0" w:line="239" w:lineRule="auto"/>
        <w:rPr>
          <w:sz w:val="20"/>
          <w:szCs w:val="20"/>
          <w:color w:val="auto"/>
        </w:rPr>
      </w:pPr>
      <w:r>
        <w:rPr>
          <w:rFonts w:ascii="Arial" w:cs="Arial" w:eastAsia="Arial" w:hAnsi="Arial"/>
          <w:sz w:val="20"/>
          <w:szCs w:val="20"/>
          <w:color w:val="auto"/>
        </w:rPr>
        <w:t>EEA Financial Institution, its parent undertaking, or a bridge institution that may be issued to it or otherwise conferred on it, and that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w:t>
      </w:r>
    </w:p>
    <w:p>
      <w:pPr>
        <w:ind w:left="1080" w:hanging="100"/>
        <w:spacing w:after="0" w:line="225" w:lineRule="auto"/>
        <w:tabs>
          <w:tab w:leader="none" w:pos="10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i w:val="1"/>
          <w:iCs w:val="1"/>
          <w:color w:val="auto"/>
        </w:rPr>
        <w:t>Confidential terms omitted and filed separately with the Commission. Confidential treatment requested under 17 C.F.R 240.24b-2.</w:t>
      </w:r>
    </w:p>
    <w:p>
      <w:pPr>
        <w:spacing w:after="0" w:line="16" w:lineRule="exact"/>
        <w:rPr>
          <w:rFonts w:ascii="Arial" w:cs="Arial" w:eastAsia="Arial" w:hAnsi="Arial"/>
          <w:sz w:val="25"/>
          <w:szCs w:val="25"/>
          <w:color w:val="auto"/>
          <w:vertAlign w:val="superscript"/>
        </w:rPr>
      </w:pPr>
    </w:p>
    <w:p>
      <w:pPr>
        <w:ind w:left="980"/>
        <w:spacing w:after="0"/>
        <w:rPr>
          <w:rFonts w:ascii="Arial" w:cs="Arial" w:eastAsia="Arial" w:hAnsi="Arial"/>
          <w:sz w:val="25"/>
          <w:szCs w:val="25"/>
          <w:color w:val="auto"/>
          <w:vertAlign w:val="superscript"/>
        </w:rPr>
      </w:pPr>
      <w:r>
        <w:rPr>
          <w:rFonts w:ascii="Arial" w:cs="Arial" w:eastAsia="Arial" w:hAnsi="Arial"/>
          <w:sz w:val="24"/>
          <w:szCs w:val="24"/>
          <w:i w:val="1"/>
          <w:iCs w:val="1"/>
          <w:color w:val="auto"/>
          <w:vertAlign w:val="superscript"/>
        </w:rPr>
        <w:t>2</w:t>
      </w:r>
      <w:r>
        <w:rPr>
          <w:rFonts w:ascii="Arial" w:cs="Arial" w:eastAsia="Arial" w:hAnsi="Arial"/>
          <w:sz w:val="17"/>
          <w:szCs w:val="17"/>
          <w:i w:val="1"/>
          <w:iCs w:val="1"/>
          <w:color w:val="auto"/>
        </w:rPr>
        <w:t xml:space="preserve"> Confidential terms omitted and filed separately with the Commission. Confidential treatment requested under 17 C.F.R 240.24b-2.</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#89304985v3</w:t>
      </w:r>
    </w:p>
    <w:p>
      <w:pPr>
        <w:sectPr>
          <w:pgSz w:w="11900" w:h="16838" w:orient="portrait"/>
          <w:cols w:equalWidth="0" w:num="1">
            <w:col w:w="11420"/>
          </w:cols>
          <w:pgMar w:left="240" w:top="366" w:right="239" w:bottom="1440" w:gutter="0" w:footer="0" w:header="0"/>
        </w:sectPr>
      </w:pPr>
    </w:p>
    <w:bookmarkStart w:id="39" w:name="page40"/>
    <w:bookmarkEnd w:id="39"/>
    <w:p>
      <w:pPr>
        <w:ind w:left="2600"/>
        <w:spacing w:after="0" w:line="260" w:lineRule="auto"/>
        <w:rPr>
          <w:sz w:val="20"/>
          <w:szCs w:val="20"/>
          <w:color w:val="auto"/>
        </w:rPr>
      </w:pPr>
      <w:r>
        <w:rPr>
          <w:rFonts w:ascii="Arial" w:cs="Arial" w:eastAsia="Arial" w:hAnsi="Arial"/>
          <w:sz w:val="20"/>
          <w:szCs w:val="20"/>
          <w:color w:val="auto"/>
        </w:rPr>
        <w:t>such shares or other instruments of ownership will be accepted by it in lieu of any rights with respect to any such liability under this Agreement or any other Loan Document; or</w:t>
      </w:r>
    </w:p>
    <w:p>
      <w:pPr>
        <w:spacing w:after="0" w:line="190" w:lineRule="exact"/>
        <w:rPr>
          <w:sz w:val="20"/>
          <w:szCs w:val="20"/>
          <w:color w:val="auto"/>
        </w:rPr>
      </w:pPr>
    </w:p>
    <w:p>
      <w:pPr>
        <w:ind w:left="1960" w:right="740" w:firstLine="641"/>
        <w:spacing w:after="0" w:line="260" w:lineRule="auto"/>
        <w:tabs>
          <w:tab w:leader="none" w:pos="3085"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90" w:lineRule="exact"/>
        <w:rPr>
          <w:rFonts w:ascii="Arial" w:cs="Arial" w:eastAsia="Arial" w:hAnsi="Arial"/>
          <w:sz w:val="20"/>
          <w:szCs w:val="20"/>
          <w:color w:val="auto"/>
        </w:rPr>
      </w:pPr>
    </w:p>
    <w:p>
      <w:pPr>
        <w:ind w:left="1020" w:hanging="36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become effective as of the date hereof upon satisfaction of the following conditions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precedent:</w:t>
      </w:r>
    </w:p>
    <w:p>
      <w:pPr>
        <w:spacing w:after="0" w:line="200"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3.1 Receipt by the Administrative Agent of counterparts of this Amendment executed by the Borrowers, the Required Lenders and the Administrative Agent; and</w:t>
      </w:r>
    </w:p>
    <w:p>
      <w:pPr>
        <w:spacing w:after="0" w:line="177"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3.2 Receipt by the Administrative Agent of counterparts of a Confirmation executed by the Subsidiary Guarantors, substantially in the form attached hereto as Exhibit A.</w:t>
      </w:r>
    </w:p>
    <w:p>
      <w:pPr>
        <w:spacing w:after="0" w:line="177" w:lineRule="exact"/>
        <w:rPr>
          <w:sz w:val="20"/>
          <w:szCs w:val="20"/>
          <w:color w:val="auto"/>
        </w:rPr>
      </w:pPr>
    </w:p>
    <w:p>
      <w:pPr>
        <w:jc w:val="both"/>
        <w:ind w:firstLine="656"/>
        <w:spacing w:after="0" w:line="250" w:lineRule="auto"/>
        <w:tabs>
          <w:tab w:leader="none" w:pos="100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Amendment is a “Loan Document”</w:t>
      </w:r>
      <w:r>
        <w:rPr>
          <w:rFonts w:ascii="Arial" w:cs="Arial" w:eastAsia="Arial" w:hAnsi="Arial"/>
          <w:sz w:val="20"/>
          <w:szCs w:val="20"/>
          <w:color w:val="auto"/>
        </w:rPr>
        <w:t>. This Amendment is a Loan Document and all references to a “Loan Document” in the Credit Agreement and the other Loan Documents (including all such references in the representations and warranties in the Credit Agreement and the other Loan Documents) shall be deemed to include this Amendment.</w:t>
      </w:r>
    </w:p>
    <w:p>
      <w:pPr>
        <w:spacing w:after="0" w:line="186" w:lineRule="exact"/>
        <w:rPr>
          <w:rFonts w:ascii="Arial" w:cs="Arial" w:eastAsia="Arial" w:hAnsi="Arial"/>
          <w:sz w:val="20"/>
          <w:szCs w:val="20"/>
          <w:color w:val="auto"/>
        </w:rPr>
      </w:pPr>
    </w:p>
    <w:p>
      <w:pPr>
        <w:jc w:val="both"/>
        <w:ind w:firstLine="656"/>
        <w:spacing w:after="0" w:line="243" w:lineRule="auto"/>
        <w:tabs>
          <w:tab w:leader="none" w:pos="100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 No Default</w:t>
      </w:r>
      <w:r>
        <w:rPr>
          <w:rFonts w:ascii="Arial" w:cs="Arial" w:eastAsia="Arial" w:hAnsi="Arial"/>
          <w:sz w:val="20"/>
          <w:szCs w:val="20"/>
          <w:color w:val="auto"/>
        </w:rPr>
        <w:t>. The Company represents and warrants to the Administrative Agent and each Lender that after giving effect to this Amendment (a) the representations and warranties of each Loan Party contained in Article V of the Credit Agreement and each other Loan Document and in each other document furnished at any time under or in connection with the Credit Agreement or any other Loan Document, shall be true and correct in all material respects as of the date hereof, except to the extent that such representations and warranties specifically refer to an earlier date, in which case they shall be true and correct in all material respects as of such earlier date and (b) no Default exists as of the date hereof.</w:t>
      </w:r>
    </w:p>
    <w:p>
      <w:pPr>
        <w:spacing w:after="0" w:line="196" w:lineRule="exact"/>
        <w:rPr>
          <w:rFonts w:ascii="Arial" w:cs="Arial" w:eastAsia="Arial" w:hAnsi="Arial"/>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modified hereby, all of the terms and provisions of the Loan Documents shall remain in full force and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effect.</w:t>
      </w:r>
    </w:p>
    <w:p>
      <w:pPr>
        <w:spacing w:after="0" w:line="199" w:lineRule="exact"/>
        <w:rPr>
          <w:rFonts w:ascii="Arial" w:cs="Arial" w:eastAsia="Arial" w:hAnsi="Arial"/>
          <w:sz w:val="18"/>
          <w:szCs w:val="18"/>
          <w:color w:val="auto"/>
        </w:rPr>
      </w:pPr>
    </w:p>
    <w:p>
      <w:pPr>
        <w:jc w:val="both"/>
        <w:ind w:firstLine="656"/>
        <w:spacing w:after="0" w:line="269" w:lineRule="auto"/>
        <w:tabs>
          <w:tab w:leader="none" w:pos="120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Counterparts; Delivery</w:t>
      </w:r>
      <w:r>
        <w:rPr>
          <w:rFonts w:ascii="Arial" w:cs="Arial" w:eastAsia="Arial" w:hAnsi="Arial"/>
          <w:sz w:val="19"/>
          <w:szCs w:val="19"/>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this Amendment by facsimile or other electronic imaging means shall be effective as an original.</w:t>
      </w:r>
    </w:p>
    <w:p>
      <w:pPr>
        <w:spacing w:after="0" w:line="170" w:lineRule="exact"/>
        <w:rPr>
          <w:rFonts w:ascii="Arial" w:cs="Arial" w:eastAsia="Arial" w:hAnsi="Arial"/>
          <w:sz w:val="19"/>
          <w:szCs w:val="19"/>
          <w:color w:val="auto"/>
        </w:rPr>
      </w:pPr>
    </w:p>
    <w:p>
      <w:pPr>
        <w:ind w:firstLine="656"/>
        <w:spacing w:after="0" w:line="260" w:lineRule="auto"/>
        <w:tabs>
          <w:tab w:leader="none" w:pos="1098"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deemed to be a contract made under, and for all purposes shall be construed in accordance with, the laws of the State of New York.</w:t>
      </w:r>
    </w:p>
    <w:p>
      <w:pPr>
        <w:spacing w:after="0" w:line="176" w:lineRule="exact"/>
        <w:rPr>
          <w:rFonts w:ascii="Arial" w:cs="Arial" w:eastAsia="Arial" w:hAnsi="Arial"/>
          <w:sz w:val="20"/>
          <w:szCs w:val="20"/>
          <w:color w:val="auto"/>
        </w:rPr>
      </w:pPr>
    </w:p>
    <w:p>
      <w:pPr>
        <w:jc w:val="both"/>
        <w:ind w:firstLine="656"/>
        <w:spacing w:after="0" w:line="291" w:lineRule="auto"/>
        <w:tabs>
          <w:tab w:leader="none" w:pos="113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FATCA</w:t>
      </w:r>
      <w:r>
        <w:rPr>
          <w:rFonts w:ascii="Arial" w:cs="Arial" w:eastAsia="Arial" w:hAnsi="Arial"/>
          <w:sz w:val="18"/>
          <w:szCs w:val="18"/>
          <w:color w:val="auto"/>
        </w:rPr>
        <w:t>. For purposes of determining withholding Taxes imposed under FATCA, from and after the effective date of this Amendment, the Borrowers and the Administrative Agent shall treat (and the Lenders hereby authorize the Administrative Agent to treat) the Credit Agreement as not qualifying as a "grandfathered obligation" within the meaning of Treasury Regulation Section 1.1471-2(b)(2)(i).</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#89304985v3</w:t>
      </w:r>
    </w:p>
    <w:p>
      <w:pPr>
        <w:sectPr>
          <w:pgSz w:w="11900" w:h="16838" w:orient="portrait"/>
          <w:cols w:equalWidth="0" w:num="1">
            <w:col w:w="11420"/>
          </w:cols>
          <w:pgMar w:left="240" w:top="366" w:right="239" w:bottom="1440" w:gutter="0" w:footer="0" w:header="0"/>
        </w:sectPr>
      </w:pPr>
    </w:p>
    <w:bookmarkStart w:id="40" w:name="page41"/>
    <w:bookmarkEnd w:id="40"/>
    <w:p>
      <w:pPr>
        <w:spacing w:after="0" w:line="260" w:lineRule="auto"/>
        <w:rPr>
          <w:sz w:val="20"/>
          <w:szCs w:val="20"/>
          <w:color w:val="auto"/>
        </w:rPr>
      </w:pPr>
      <w:r>
        <w:rPr>
          <w:rFonts w:ascii="Arial" w:cs="Arial" w:eastAsia="Arial" w:hAnsi="Arial"/>
          <w:sz w:val="20"/>
          <w:szCs w:val="20"/>
          <w:color w:val="auto"/>
        </w:rPr>
        <w:t>IN WITNESS WHEREOF, each of the parties hereto has caused a counterpart of this Seventh Amendment to be duly executed and delivered as of the date first above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00" w:type="dxa"/>
            <w:vAlign w:val="bottom"/>
          </w:tcPr>
          <w:p>
            <w:pPr>
              <w:spacing w:after="0"/>
              <w:rPr>
                <w:sz w:val="20"/>
                <w:szCs w:val="20"/>
                <w:color w:val="auto"/>
              </w:rPr>
            </w:pPr>
            <w:r>
              <w:rPr>
                <w:rFonts w:ascii="Arial" w:cs="Arial" w:eastAsia="Arial" w:hAnsi="Arial"/>
                <w:sz w:val="20"/>
                <w:szCs w:val="20"/>
                <w:color w:val="auto"/>
              </w:rPr>
              <w:t>COMPANY:</w:t>
            </w:r>
          </w:p>
        </w:tc>
        <w:tc>
          <w:tcPr>
            <w:tcW w:w="5700" w:type="dxa"/>
            <w:vAlign w:val="bottom"/>
            <w:gridSpan w:val="3"/>
          </w:tcPr>
          <w:p>
            <w:pPr>
              <w:ind w:left="300"/>
              <w:spacing w:after="0"/>
              <w:rPr>
                <w:sz w:val="20"/>
                <w:szCs w:val="20"/>
                <w:color w:val="auto"/>
              </w:rPr>
            </w:pPr>
            <w:r>
              <w:rPr>
                <w:rFonts w:ascii="Arial" w:cs="Arial" w:eastAsia="Arial" w:hAnsi="Arial"/>
                <w:sz w:val="20"/>
                <w:szCs w:val="20"/>
                <w:color w:val="auto"/>
                <w:w w:val="97"/>
              </w:rPr>
              <w:t>ABM INDUSTRIES INCORPORATED, a Delaware corporation</w:t>
            </w:r>
          </w:p>
        </w:tc>
      </w:tr>
      <w:tr>
        <w:trPr>
          <w:trHeight w:val="415"/>
        </w:trPr>
        <w:tc>
          <w:tcPr>
            <w:tcW w:w="1300" w:type="dxa"/>
            <w:vAlign w:val="bottom"/>
          </w:tcPr>
          <w:p>
            <w:pPr>
              <w:spacing w:after="0"/>
              <w:rPr>
                <w:sz w:val="24"/>
                <w:szCs w:val="24"/>
                <w:color w:val="auto"/>
              </w:rPr>
            </w:pPr>
          </w:p>
        </w:tc>
        <w:tc>
          <w:tcPr>
            <w:tcW w:w="5700" w:type="dxa"/>
            <w:vAlign w:val="bottom"/>
            <w:gridSpan w:val="3"/>
          </w:tcPr>
          <w:p>
            <w:pPr>
              <w:ind w:left="1300"/>
              <w:spacing w:after="0"/>
              <w:rPr>
                <w:sz w:val="20"/>
                <w:szCs w:val="20"/>
                <w:color w:val="auto"/>
              </w:rPr>
            </w:pPr>
            <w:r>
              <w:rPr>
                <w:rFonts w:ascii="Arial" w:cs="Arial" w:eastAsia="Arial" w:hAnsi="Arial"/>
                <w:sz w:val="20"/>
                <w:szCs w:val="20"/>
                <w:color w:val="auto"/>
              </w:rPr>
              <w:t>By: /s/  Anthony Scaglione</w:t>
            </w:r>
          </w:p>
        </w:tc>
      </w:tr>
      <w:tr>
        <w:trPr>
          <w:trHeight w:val="20"/>
        </w:trPr>
        <w:tc>
          <w:tcPr>
            <w:tcW w:w="1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3"/>
        </w:trPr>
        <w:tc>
          <w:tcPr>
            <w:tcW w:w="1300" w:type="dxa"/>
            <w:vAlign w:val="bottom"/>
          </w:tcPr>
          <w:p>
            <w:pPr>
              <w:spacing w:after="0"/>
              <w:rPr>
                <w:sz w:val="20"/>
                <w:szCs w:val="20"/>
                <w:color w:val="auto"/>
              </w:rPr>
            </w:pPr>
          </w:p>
        </w:tc>
        <w:tc>
          <w:tcPr>
            <w:tcW w:w="5700" w:type="dxa"/>
            <w:vAlign w:val="bottom"/>
            <w:gridSpan w:val="3"/>
          </w:tcPr>
          <w:p>
            <w:pPr>
              <w:ind w:left="1300"/>
              <w:spacing w:after="0"/>
              <w:rPr>
                <w:sz w:val="20"/>
                <w:szCs w:val="20"/>
                <w:color w:val="auto"/>
              </w:rPr>
            </w:pPr>
            <w:r>
              <w:rPr>
                <w:rFonts w:ascii="Arial" w:cs="Arial" w:eastAsia="Arial" w:hAnsi="Arial"/>
                <w:sz w:val="20"/>
                <w:szCs w:val="20"/>
                <w:color w:val="auto"/>
              </w:rPr>
              <w:t>Name: Anthony Scaglione</w:t>
            </w:r>
          </w:p>
        </w:tc>
      </w:tr>
      <w:tr>
        <w:trPr>
          <w:trHeight w:val="250"/>
        </w:trPr>
        <w:tc>
          <w:tcPr>
            <w:tcW w:w="1300" w:type="dxa"/>
            <w:vAlign w:val="bottom"/>
          </w:tcPr>
          <w:p>
            <w:pPr>
              <w:spacing w:after="0"/>
              <w:rPr>
                <w:sz w:val="21"/>
                <w:szCs w:val="21"/>
                <w:color w:val="auto"/>
              </w:rPr>
            </w:pPr>
          </w:p>
        </w:tc>
        <w:tc>
          <w:tcPr>
            <w:tcW w:w="5700" w:type="dxa"/>
            <w:vAlign w:val="bottom"/>
            <w:gridSpan w:val="3"/>
          </w:tcPr>
          <w:p>
            <w:pPr>
              <w:ind w:left="1300"/>
              <w:spacing w:after="0"/>
              <w:rPr>
                <w:sz w:val="20"/>
                <w:szCs w:val="20"/>
                <w:color w:val="auto"/>
              </w:rPr>
            </w:pPr>
            <w:r>
              <w:rPr>
                <w:rFonts w:ascii="Arial" w:cs="Arial" w:eastAsia="Arial" w:hAnsi="Arial"/>
                <w:sz w:val="20"/>
                <w:szCs w:val="20"/>
                <w:color w:val="auto"/>
                <w:w w:val="91"/>
              </w:rPr>
              <w:t>Title: Executive Vice President, Chief Financial Officer</w:t>
            </w:r>
          </w:p>
        </w:tc>
      </w:tr>
    </w:tbl>
    <w:p>
      <w:pPr>
        <w:spacing w:after="0" w:line="209" w:lineRule="exact"/>
        <w:rPr>
          <w:sz w:val="20"/>
          <w:szCs w:val="20"/>
          <w:color w:val="auto"/>
        </w:rPr>
      </w:pPr>
    </w:p>
    <w:p>
      <w:pPr>
        <w:spacing w:after="0"/>
        <w:tabs>
          <w:tab w:leader="none" w:pos="2640" w:val="left"/>
        </w:tabs>
        <w:rPr>
          <w:sz w:val="20"/>
          <w:szCs w:val="20"/>
          <w:color w:val="auto"/>
        </w:rPr>
      </w:pPr>
      <w:r>
        <w:rPr>
          <w:rFonts w:ascii="Arial" w:cs="Arial" w:eastAsia="Arial" w:hAnsi="Arial"/>
          <w:sz w:val="20"/>
          <w:szCs w:val="20"/>
          <w:color w:val="auto"/>
        </w:rPr>
        <w:t>DESIGNATED BORROWER:</w:t>
      </w:r>
      <w:r>
        <w:rPr>
          <w:sz w:val="20"/>
          <w:szCs w:val="20"/>
          <w:color w:val="auto"/>
        </w:rPr>
        <w:tab/>
      </w:r>
      <w:r>
        <w:rPr>
          <w:rFonts w:ascii="Arial" w:cs="Arial" w:eastAsia="Arial" w:hAnsi="Arial"/>
          <w:sz w:val="18"/>
          <w:szCs w:val="18"/>
          <w:color w:val="auto"/>
        </w:rPr>
        <w:t>OMNI SERV LIMITED, an English company</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 /s/ John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2045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John King</w:t>
      </w:r>
    </w:p>
    <w:p>
      <w:pPr>
        <w:ind w:left="2600"/>
        <w:spacing w:after="0"/>
        <w:rPr>
          <w:sz w:val="20"/>
          <w:szCs w:val="20"/>
          <w:color w:val="auto"/>
        </w:rPr>
      </w:pPr>
      <w:r>
        <w:rPr>
          <w:rFonts w:ascii="Arial" w:cs="Arial" w:eastAsia="Arial" w:hAnsi="Arial"/>
          <w:sz w:val="20"/>
          <w:szCs w:val="20"/>
          <w:color w:val="auto"/>
        </w:rPr>
        <w:t>Title: Finance Director</w:t>
      </w:r>
    </w:p>
    <w:p>
      <w:pPr>
        <w:spacing w:after="0" w:line="213" w:lineRule="exact"/>
        <w:rPr>
          <w:sz w:val="20"/>
          <w:szCs w:val="20"/>
          <w:color w:val="auto"/>
        </w:rPr>
      </w:pPr>
    </w:p>
    <w:p>
      <w:pPr>
        <w:jc w:val="center"/>
        <w:ind w:right="4440"/>
        <w:spacing w:after="0"/>
        <w:tabs>
          <w:tab w:leader="none" w:pos="180" w:val="left"/>
        </w:tabs>
        <w:rPr>
          <w:sz w:val="20"/>
          <w:szCs w:val="20"/>
          <w:color w:val="auto"/>
        </w:rPr>
      </w:pPr>
      <w:r>
        <w:rPr>
          <w:rFonts w:ascii="Arial" w:cs="Arial" w:eastAsia="Arial" w:hAnsi="Arial"/>
          <w:sz w:val="20"/>
          <w:szCs w:val="20"/>
          <w:color w:val="auto"/>
        </w:rPr>
        <w:t>ADMINISTRATIVE AGENT:</w:t>
      </w:r>
      <w:r>
        <w:rPr>
          <w:sz w:val="20"/>
          <w:szCs w:val="20"/>
          <w:color w:val="auto"/>
        </w:rPr>
        <w:tab/>
      </w:r>
      <w:r>
        <w:rPr>
          <w:rFonts w:ascii="Arial" w:cs="Arial" w:eastAsia="Arial" w:hAnsi="Arial"/>
          <w:sz w:val="19"/>
          <w:szCs w:val="19"/>
          <w:color w:val="auto"/>
        </w:rPr>
        <w:t>BANK OF AMERICA, N.A., as Administrative Agent</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By: /s/ Angela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-14605</wp:posOffset>
            </wp:positionV>
            <wp:extent cx="14135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20"/>
          <w:szCs w:val="20"/>
          <w:color w:val="auto"/>
        </w:rPr>
        <w:t>Name: Angela Larkin</w:t>
      </w:r>
    </w:p>
    <w:p>
      <w:pPr>
        <w:ind w:left="260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#89304985v3</w:t>
      </w:r>
    </w:p>
    <w:p>
      <w:pPr>
        <w:sectPr>
          <w:pgSz w:w="11900" w:h="16838" w:orient="portrait"/>
          <w:cols w:equalWidth="0" w:num="1">
            <w:col w:w="11420"/>
          </w:cols>
          <w:pgMar w:left="240" w:top="582" w:right="239" w:bottom="1440" w:gutter="0" w:footer="0" w:header="0"/>
        </w:sectPr>
      </w:pPr>
    </w:p>
    <w:bookmarkStart w:id="41" w:name="page42"/>
    <w:bookmarkEnd w:id="41"/>
    <w:p>
      <w:pPr>
        <w:spacing w:after="0"/>
        <w:tabs>
          <w:tab w:leader="none" w:pos="1320" w:val="left"/>
        </w:tabs>
        <w:rPr>
          <w:sz w:val="20"/>
          <w:szCs w:val="20"/>
          <w:color w:val="auto"/>
        </w:rPr>
      </w:pPr>
      <w:r>
        <w:rPr>
          <w:rFonts w:ascii="Arial" w:cs="Arial" w:eastAsia="Arial" w:hAnsi="Arial"/>
          <w:sz w:val="20"/>
          <w:szCs w:val="20"/>
          <w:color w:val="auto"/>
        </w:rPr>
        <w:t>LENDERS:</w:t>
      </w:r>
      <w:r>
        <w:rPr>
          <w:sz w:val="20"/>
          <w:szCs w:val="20"/>
          <w:color w:val="auto"/>
        </w:rPr>
        <w:tab/>
      </w:r>
      <w:r>
        <w:rPr>
          <w:rFonts w:ascii="Arial" w:cs="Arial" w:eastAsia="Arial" w:hAnsi="Arial"/>
          <w:sz w:val="20"/>
          <w:szCs w:val="20"/>
          <w:color w:val="auto"/>
        </w:rPr>
        <w:t>BANK OF AMERICA, N.A.</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Alan Pendergast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635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512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Alan Pendergast</w:t>
      </w:r>
    </w:p>
    <w:p>
      <w:pPr>
        <w:ind w:left="196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JPMORGAN CHASE BANK, N.A.</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Devin Roccisano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546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622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Devin Roccisano</w:t>
      </w:r>
    </w:p>
    <w:p>
      <w:pPr>
        <w:ind w:left="196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CITIZENS BANK, N.A.</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Angela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5113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130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Angela Reilly</w:t>
      </w:r>
    </w:p>
    <w:p>
      <w:pPr>
        <w:ind w:left="196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BANK OF TOKYO MITSUBISHI UFJ, LTD.</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George Stoecklein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614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1417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George Stoecklein</w:t>
      </w:r>
    </w:p>
    <w:p>
      <w:pPr>
        <w:ind w:left="196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WELLS FARGO BANK, NATIONAL ASSOCIATION</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Kara Treiber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4509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097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Kara Treiber</w:t>
      </w:r>
    </w:p>
    <w:p>
      <w:pPr>
        <w:ind w:left="196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US BANK NATIONAL ASSOCIATION</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Patrick McGraw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644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4401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Patrick McGraw</w:t>
      </w:r>
    </w:p>
    <w:p>
      <w:pPr>
        <w:ind w:left="196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KEYBANK NATIONAL ASSOCIATION</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Geoff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4325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3256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Geoff Smith</w:t>
      </w:r>
    </w:p>
    <w:p>
      <w:pPr>
        <w:ind w:left="196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#89304985v3</w:t>
      </w:r>
    </w:p>
    <w:p>
      <w:pPr>
        <w:sectPr>
          <w:pgSz w:w="11900" w:h="16838" w:orient="portrait"/>
          <w:cols w:equalWidth="0" w:num="1">
            <w:col w:w="10219"/>
          </w:cols>
          <w:pgMar w:left="240" w:top="811" w:right="1440" w:bottom="1440" w:gutter="0" w:footer="0" w:header="0"/>
        </w:sectPr>
      </w:pPr>
    </w:p>
    <w:bookmarkStart w:id="42" w:name="page43"/>
    <w:bookmarkEnd w:id="42"/>
    <w:p>
      <w:pPr>
        <w:ind w:left="1960"/>
        <w:spacing w:after="0"/>
        <w:rPr>
          <w:sz w:val="20"/>
          <w:szCs w:val="20"/>
          <w:color w:val="auto"/>
        </w:rPr>
      </w:pPr>
      <w:r>
        <w:rPr>
          <w:rFonts w:ascii="Arial" w:cs="Arial" w:eastAsia="Arial" w:hAnsi="Arial"/>
          <w:sz w:val="20"/>
          <w:szCs w:val="20"/>
          <w:color w:val="auto"/>
        </w:rPr>
        <w:t>BANK OF THE WEST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Rob Kido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3023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Rob Kido</w:t>
      </w:r>
    </w:p>
    <w:p>
      <w:pPr>
        <w:ind w:left="1960"/>
        <w:spacing w:after="0"/>
        <w:rPr>
          <w:sz w:val="20"/>
          <w:szCs w:val="20"/>
          <w:color w:val="auto"/>
        </w:rPr>
      </w:pPr>
      <w:r>
        <w:rPr>
          <w:rFonts w:ascii="Arial" w:cs="Arial" w:eastAsia="Arial" w:hAnsi="Arial"/>
          <w:sz w:val="20"/>
          <w:szCs w:val="20"/>
          <w:color w:val="auto"/>
        </w:rPr>
        <w:t>Title: Vice President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CREDIT SUISSE AG, CAYMAN ISLANDS BRANCH</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Robert Hetu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4274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2748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Robert Hetu</w:t>
      </w:r>
    </w:p>
    <w:p>
      <w:pPr>
        <w:ind w:left="1960"/>
        <w:spacing w:after="0"/>
        <w:rPr>
          <w:sz w:val="20"/>
          <w:szCs w:val="20"/>
          <w:color w:val="auto"/>
        </w:rPr>
      </w:pPr>
      <w:r>
        <w:rPr>
          <w:rFonts w:ascii="Arial" w:cs="Arial" w:eastAsia="Arial" w:hAnsi="Arial"/>
          <w:sz w:val="20"/>
          <w:szCs w:val="20"/>
          <w:color w:val="auto"/>
        </w:rPr>
        <w:t>Title: Authorized Signatory</w:t>
      </w:r>
    </w:p>
    <w:p>
      <w:pPr>
        <w:spacing w:after="0" w:line="2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Lingzi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5043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0431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Lingzi Huang</w:t>
      </w:r>
    </w:p>
    <w:p>
      <w:pPr>
        <w:ind w:left="1960"/>
        <w:spacing w:after="0"/>
        <w:rPr>
          <w:sz w:val="20"/>
          <w:szCs w:val="20"/>
          <w:color w:val="auto"/>
        </w:rPr>
      </w:pPr>
      <w:r>
        <w:rPr>
          <w:rFonts w:ascii="Arial" w:cs="Arial" w:eastAsia="Arial" w:hAnsi="Arial"/>
          <w:sz w:val="20"/>
          <w:szCs w:val="20"/>
          <w:color w:val="auto"/>
        </w:rPr>
        <w:t>Title: Authorized Signatory</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FIFTH THIRD BANK</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Valerie Schanzer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53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3225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Valerie Schanzer</w:t>
      </w:r>
    </w:p>
    <w:p>
      <w:pPr>
        <w:ind w:left="1960"/>
        <w:spacing w:after="0"/>
        <w:rPr>
          <w:sz w:val="20"/>
          <w:szCs w:val="20"/>
          <w:color w:val="auto"/>
        </w:rPr>
      </w:pPr>
      <w:r>
        <w:rPr>
          <w:rFonts w:ascii="Arial" w:cs="Arial" w:eastAsia="Arial" w:hAnsi="Arial"/>
          <w:sz w:val="20"/>
          <w:szCs w:val="20"/>
          <w:color w:val="auto"/>
        </w:rPr>
        <w:t>Title: Managing Director</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PNC BANK, NATIONAL ASSOCIATION</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Sharon Landgraf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-24765</wp:posOffset>
            </wp:positionV>
            <wp:extent cx="153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3225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Sharon Landgraf</w:t>
      </w:r>
    </w:p>
    <w:p>
      <w:pPr>
        <w:ind w:left="196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HSBC BANK USA, NATIONAL ASSOCIATION</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Aidan R. Spoto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5887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8877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Aidan R. Spoto</w:t>
      </w:r>
    </w:p>
    <w:p>
      <w:pPr>
        <w:ind w:left="196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NORTHERN TRUST COMPANY</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Sophia E.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5881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8813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Sophia E. Love</w:t>
      </w:r>
    </w:p>
    <w:p>
      <w:pPr>
        <w:ind w:left="196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CAPITAL ONE, NATIONAL ASSOCIATION</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Paul Darrigo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4554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542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Paul Darrigo</w:t>
      </w:r>
    </w:p>
    <w:p>
      <w:pPr>
        <w:ind w:left="1960"/>
        <w:spacing w:after="0"/>
        <w:rPr>
          <w:sz w:val="20"/>
          <w:szCs w:val="20"/>
          <w:color w:val="auto"/>
        </w:rPr>
      </w:pPr>
      <w:r>
        <w:rPr>
          <w:rFonts w:ascii="Arial" w:cs="Arial" w:eastAsia="Arial" w:hAnsi="Arial"/>
          <w:sz w:val="20"/>
          <w:szCs w:val="20"/>
          <w:color w:val="auto"/>
        </w:rPr>
        <w:t>Title: Senior Vice President</w:t>
      </w:r>
    </w:p>
    <w:p>
      <w:pPr>
        <w:spacing w:after="0" w:line="213" w:lineRule="exact"/>
        <w:rPr>
          <w:sz w:val="20"/>
          <w:szCs w:val="20"/>
          <w:color w:val="auto"/>
        </w:rPr>
      </w:pPr>
    </w:p>
    <w:p>
      <w:pPr>
        <w:jc w:val="right"/>
        <w:ind w:right="31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#89304985v3</w:t>
      </w:r>
    </w:p>
    <w:p>
      <w:pPr>
        <w:sectPr>
          <w:pgSz w:w="11900" w:h="16838" w:orient="portrait"/>
          <w:cols w:equalWidth="0" w:num="1">
            <w:col w:w="10219"/>
          </w:cols>
          <w:pgMar w:left="240" w:top="366" w:right="1440" w:bottom="1440" w:gutter="0" w:footer="0" w:header="0"/>
        </w:sectPr>
      </w:pPr>
    </w:p>
    <w:bookmarkStart w:id="43" w:name="page44"/>
    <w:bookmarkEnd w:id="43"/>
    <w:p>
      <w:pPr>
        <w:ind w:left="1960"/>
        <w:spacing w:after="0"/>
        <w:rPr>
          <w:sz w:val="20"/>
          <w:szCs w:val="20"/>
          <w:color w:val="auto"/>
        </w:rPr>
      </w:pPr>
      <w:r>
        <w:rPr>
          <w:rFonts w:ascii="Arial" w:cs="Arial" w:eastAsia="Arial" w:hAnsi="Arial"/>
          <w:sz w:val="19"/>
          <w:szCs w:val="19"/>
          <w:color w:val="auto"/>
        </w:rPr>
        <w:t>BRANCH BANKING AND TRUST COMPANY</w:t>
      </w:r>
    </w:p>
    <w:p>
      <w:pPr>
        <w:spacing w:after="0" w:line="24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/s/ Jeff Skalka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-14605</wp:posOffset>
            </wp:positionV>
            <wp:extent cx="13696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Name: Jeff Skalka</w:t>
      </w:r>
    </w:p>
    <w:p>
      <w:pPr>
        <w:ind w:left="196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#89304985v3</w:t>
      </w:r>
    </w:p>
    <w:p>
      <w:pPr>
        <w:sectPr>
          <w:pgSz w:w="11900" w:h="16838" w:orient="portrait"/>
          <w:cols w:equalWidth="0" w:num="1">
            <w:col w:w="10219"/>
          </w:cols>
          <w:pgMar w:left="240" w:top="366"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0"/>
          <w:szCs w:val="20"/>
          <w:color w:val="auto"/>
        </w:rPr>
        <w:t>EXHIBIT A</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CONFIRMATION</w:t>
      </w:r>
    </w:p>
    <w:p>
      <w:pPr>
        <w:spacing w:after="0" w:line="200"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January 6, 2017</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Bank of America, N.A., Administrative Agent, and the Lenders from time to time party to the Credit Agreement referred to below</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Please refer to (a) the Credit Agreement (as amended, modified, supplemented, increased and extended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November 30, 2010 among ABM Industries Incorporated,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Omni Serv Limited, an English company (the “</w:t>
      </w:r>
      <w:r>
        <w:rPr>
          <w:rFonts w:ascii="Arial" w:cs="Arial" w:eastAsia="Arial" w:hAnsi="Arial"/>
          <w:sz w:val="20"/>
          <w:szCs w:val="20"/>
          <w:u w:val="single" w:color="auto"/>
          <w:color w:val="auto"/>
        </w:rPr>
        <w:t>Designated Borrower</w:t>
      </w:r>
      <w:r>
        <w:rPr>
          <w:rFonts w:ascii="Arial" w:cs="Arial" w:eastAsia="Arial" w:hAnsi="Arial"/>
          <w:sz w:val="20"/>
          <w:szCs w:val="20"/>
          <w:color w:val="auto"/>
        </w:rPr>
        <w:t>”), the Lenders identified therein and Bank of America, N.A., as Administrative Agent, (b) the Subsidiary Guaranty dated as of November 30, 2010 given by the Subsidiary Guarantors identified therein in favor of the Administrative Agent and the Lenders and (c) the Seventh Amendment to the Credit Agreement dated as of the date hereof (the “</w:t>
      </w: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Each of the undersigned Subsidiary Guarantors confirms to the Administrative Agent and the Lenders that, after giving effect to the Seventh Amendment and this Confirmation, the Subsidiary Guaranty continues in full force and effect and is the legal, valid and binding obligation of such undersigned Subsidiary Guarantor, enforceable against such undersigned Subsidiary Guarantor in accordance with its terms.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#89304985v3</w:t>
      </w:r>
    </w:p>
    <w:p>
      <w:pPr>
        <w:sectPr>
          <w:pgSz w:w="11900" w:h="16838" w:orient="portrait"/>
          <w:cols w:equalWidth="0" w:num="1">
            <w:col w:w="11420"/>
          </w:cols>
          <w:pgMar w:left="240" w:top="366" w:right="23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SUBSIDIARY GUARANTORS: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ABM ONSITE SERVICES, INC. (FKA ABM JANITORIAL SERVICES,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ABM JANITORIAL SERVICES — MID-ATLANTIC, INC.</w:t>
      </w:r>
    </w:p>
    <w:p>
      <w:pPr>
        <w:spacing w:after="0"/>
        <w:rPr>
          <w:sz w:val="20"/>
          <w:szCs w:val="20"/>
          <w:color w:val="auto"/>
        </w:rPr>
      </w:pPr>
      <w:r>
        <w:rPr>
          <w:rFonts w:ascii="Arial" w:cs="Arial" w:eastAsia="Arial" w:hAnsi="Arial"/>
          <w:sz w:val="20"/>
          <w:szCs w:val="20"/>
          <w:color w:val="auto"/>
        </w:rPr>
        <w:t>ABM JANITORIAL SERVICES — NORTHEAST, INC.</w:t>
      </w:r>
    </w:p>
    <w:p>
      <w:pPr>
        <w:spacing w:after="0"/>
        <w:rPr>
          <w:sz w:val="20"/>
          <w:szCs w:val="20"/>
          <w:color w:val="auto"/>
        </w:rPr>
      </w:pPr>
      <w:r>
        <w:rPr>
          <w:rFonts w:ascii="Arial" w:cs="Arial" w:eastAsia="Arial" w:hAnsi="Arial"/>
          <w:sz w:val="20"/>
          <w:szCs w:val="20"/>
          <w:color w:val="auto"/>
        </w:rPr>
        <w:t>ABM JANITORIAL SERVICES — SOUTH CENTRAL, INC.</w:t>
      </w:r>
    </w:p>
    <w:p>
      <w:pPr>
        <w:spacing w:after="0"/>
        <w:rPr>
          <w:sz w:val="20"/>
          <w:szCs w:val="20"/>
          <w:color w:val="auto"/>
        </w:rPr>
      </w:pPr>
      <w:r>
        <w:rPr>
          <w:rFonts w:ascii="Arial" w:cs="Arial" w:eastAsia="Arial" w:hAnsi="Arial"/>
          <w:sz w:val="20"/>
          <w:szCs w:val="20"/>
          <w:color w:val="auto"/>
        </w:rPr>
        <w:t>ABM JANITORIAL SERVICES — SOUTHEAST, LLC</w:t>
      </w:r>
    </w:p>
    <w:p>
      <w:pPr>
        <w:spacing w:after="0"/>
        <w:rPr>
          <w:sz w:val="20"/>
          <w:szCs w:val="20"/>
          <w:color w:val="auto"/>
        </w:rPr>
      </w:pPr>
      <w:r>
        <w:rPr>
          <w:rFonts w:ascii="Arial" w:cs="Arial" w:eastAsia="Arial" w:hAnsi="Arial"/>
          <w:sz w:val="20"/>
          <w:szCs w:val="20"/>
          <w:color w:val="auto"/>
        </w:rPr>
        <w:t>ABM HEALTHCARE SUPPORT SERVICES, INC. (FKA HHA SERVICES, INC.)</w:t>
      </w:r>
    </w:p>
    <w:p>
      <w:pPr>
        <w:spacing w:after="0"/>
        <w:rPr>
          <w:sz w:val="20"/>
          <w:szCs w:val="20"/>
          <w:color w:val="auto"/>
        </w:rPr>
      </w:pPr>
      <w:r>
        <w:rPr>
          <w:rFonts w:ascii="Arial" w:cs="Arial" w:eastAsia="Arial" w:hAnsi="Arial"/>
          <w:sz w:val="20"/>
          <w:szCs w:val="20"/>
          <w:color w:val="auto"/>
        </w:rPr>
        <w:t>ABM INDUSTRIAL SERVICES, INC.</w:t>
      </w:r>
    </w:p>
    <w:p>
      <w:pPr>
        <w:spacing w:after="0"/>
        <w:rPr>
          <w:sz w:val="20"/>
          <w:szCs w:val="20"/>
          <w:color w:val="auto"/>
        </w:rPr>
      </w:pPr>
      <w:r>
        <w:rPr>
          <w:rFonts w:ascii="Arial" w:cs="Arial" w:eastAsia="Arial" w:hAnsi="Arial"/>
          <w:sz w:val="20"/>
          <w:szCs w:val="20"/>
          <w:color w:val="auto"/>
        </w:rPr>
        <w:t>ABM ONSITE SERVICES — MIDWEST, INC.</w:t>
      </w:r>
    </w:p>
    <w:p>
      <w:pPr>
        <w:spacing w:after="0"/>
        <w:rPr>
          <w:sz w:val="20"/>
          <w:szCs w:val="20"/>
          <w:color w:val="auto"/>
        </w:rPr>
      </w:pPr>
      <w:r>
        <w:rPr>
          <w:rFonts w:ascii="Arial" w:cs="Arial" w:eastAsia="Arial" w:hAnsi="Arial"/>
          <w:sz w:val="20"/>
          <w:szCs w:val="20"/>
          <w:color w:val="auto"/>
        </w:rPr>
        <w:t>ABM ONSITE SERVICES - WEST, INC. (FKA ABM SERVICES, INC.)</w:t>
      </w:r>
    </w:p>
    <w:p>
      <w:pPr>
        <w:spacing w:after="0"/>
        <w:rPr>
          <w:sz w:val="20"/>
          <w:szCs w:val="20"/>
          <w:color w:val="auto"/>
        </w:rPr>
      </w:pPr>
      <w:r>
        <w:rPr>
          <w:rFonts w:ascii="Arial" w:cs="Arial" w:eastAsia="Arial" w:hAnsi="Arial"/>
          <w:sz w:val="20"/>
          <w:szCs w:val="20"/>
          <w:color w:val="auto"/>
        </w:rPr>
        <w:t>ABM PARKING SERVICES, INC. (FKA AMPCO SYSTEM PARKING)</w:t>
      </w:r>
    </w:p>
    <w:p>
      <w:pPr>
        <w:spacing w:after="0"/>
        <w:rPr>
          <w:sz w:val="20"/>
          <w:szCs w:val="20"/>
          <w:color w:val="auto"/>
        </w:rPr>
      </w:pPr>
      <w:r>
        <w:rPr>
          <w:rFonts w:ascii="Arial" w:cs="Arial" w:eastAsia="Arial" w:hAnsi="Arial"/>
          <w:sz w:val="20"/>
          <w:szCs w:val="20"/>
          <w:color w:val="auto"/>
        </w:rPr>
        <w:t>ABM SECURITY SERVICES, INC.</w:t>
      </w:r>
    </w:p>
    <w:p>
      <w:pPr>
        <w:spacing w:after="0"/>
        <w:rPr>
          <w:sz w:val="20"/>
          <w:szCs w:val="20"/>
          <w:color w:val="auto"/>
        </w:rPr>
      </w:pPr>
      <w:r>
        <w:rPr>
          <w:rFonts w:ascii="Arial" w:cs="Arial" w:eastAsia="Arial" w:hAnsi="Arial"/>
          <w:sz w:val="20"/>
          <w:szCs w:val="20"/>
          <w:color w:val="auto"/>
        </w:rPr>
        <w:t>ABM SHARED SERVICES, INC.</w:t>
      </w:r>
    </w:p>
    <w:p>
      <w:pPr>
        <w:spacing w:after="0"/>
        <w:rPr>
          <w:sz w:val="20"/>
          <w:szCs w:val="20"/>
          <w:color w:val="auto"/>
        </w:rPr>
      </w:pPr>
      <w:r>
        <w:rPr>
          <w:rFonts w:ascii="Arial" w:cs="Arial" w:eastAsia="Arial" w:hAnsi="Arial"/>
          <w:sz w:val="20"/>
          <w:szCs w:val="20"/>
          <w:color w:val="auto"/>
        </w:rPr>
        <w:t>AIR SERV CORPORATION</w:t>
      </w:r>
    </w:p>
    <w:p>
      <w:pPr>
        <w:spacing w:after="0"/>
        <w:rPr>
          <w:sz w:val="20"/>
          <w:szCs w:val="20"/>
          <w:color w:val="auto"/>
        </w:rPr>
      </w:pPr>
      <w:r>
        <w:rPr>
          <w:rFonts w:ascii="Arial" w:cs="Arial" w:eastAsia="Arial" w:hAnsi="Arial"/>
          <w:sz w:val="20"/>
          <w:szCs w:val="20"/>
          <w:color w:val="auto"/>
        </w:rPr>
        <w:t>AIR SERV FACILITY SERVICES, INC.</w:t>
      </w:r>
    </w:p>
    <w:p>
      <w:pPr>
        <w:spacing w:after="0"/>
        <w:rPr>
          <w:sz w:val="20"/>
          <w:szCs w:val="20"/>
          <w:color w:val="auto"/>
        </w:rPr>
      </w:pPr>
      <w:r>
        <w:rPr>
          <w:rFonts w:ascii="Arial" w:cs="Arial" w:eastAsia="Arial" w:hAnsi="Arial"/>
          <w:sz w:val="20"/>
          <w:szCs w:val="20"/>
          <w:color w:val="auto"/>
        </w:rPr>
        <w:t>DIVERSCO, INC.</w:t>
      </w:r>
    </w:p>
    <w:p>
      <w:pPr>
        <w:spacing w:after="0"/>
        <w:rPr>
          <w:sz w:val="20"/>
          <w:szCs w:val="20"/>
          <w:color w:val="auto"/>
        </w:rPr>
      </w:pPr>
      <w:r>
        <w:rPr>
          <w:rFonts w:ascii="Arial" w:cs="Arial" w:eastAsia="Arial" w:hAnsi="Arial"/>
          <w:sz w:val="18"/>
          <w:szCs w:val="18"/>
          <w:color w:val="auto"/>
        </w:rPr>
        <w:t>ONESOURCE FACILITY SERVICES, INC. (CONVERTED FROM ONESOURCE FACILITY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SERVICES LLC TO A CORPORATION)</w:t>
      </w:r>
    </w:p>
    <w:p>
      <w:pPr>
        <w:spacing w:after="0"/>
        <w:rPr>
          <w:sz w:val="20"/>
          <w:szCs w:val="20"/>
          <w:color w:val="auto"/>
        </w:rPr>
      </w:pPr>
      <w:r>
        <w:rPr>
          <w:rFonts w:ascii="Arial" w:cs="Arial" w:eastAsia="Arial" w:hAnsi="Arial"/>
          <w:sz w:val="20"/>
          <w:szCs w:val="20"/>
          <w:color w:val="auto"/>
        </w:rPr>
        <w:t>ONESOURCE HOLDINGS, LLC</w:t>
      </w:r>
    </w:p>
    <w:p>
      <w:pPr>
        <w:spacing w:after="0"/>
        <w:rPr>
          <w:sz w:val="20"/>
          <w:szCs w:val="20"/>
          <w:color w:val="auto"/>
        </w:rPr>
      </w:pPr>
      <w:r>
        <w:rPr>
          <w:rFonts w:ascii="Arial" w:cs="Arial" w:eastAsia="Arial" w:hAnsi="Arial"/>
          <w:sz w:val="20"/>
          <w:szCs w:val="20"/>
          <w:color w:val="auto"/>
        </w:rPr>
        <w:t>SERVALL SERVICES INC.</w:t>
      </w:r>
    </w:p>
    <w:p>
      <w:pPr>
        <w:spacing w:after="0"/>
        <w:rPr>
          <w:sz w:val="20"/>
          <w:szCs w:val="20"/>
          <w:color w:val="auto"/>
        </w:rPr>
      </w:pPr>
      <w:r>
        <w:rPr>
          <w:rFonts w:ascii="Arial" w:cs="Arial" w:eastAsia="Arial" w:hAnsi="Arial"/>
          <w:sz w:val="20"/>
          <w:szCs w:val="20"/>
          <w:color w:val="auto"/>
        </w:rPr>
        <w:t>SOUTHERN MANAGEMENT ABM, LLC</w:t>
      </w:r>
    </w:p>
    <w:p>
      <w:pPr>
        <w:spacing w:after="0"/>
        <w:rPr>
          <w:sz w:val="20"/>
          <w:szCs w:val="20"/>
          <w:color w:val="auto"/>
        </w:rPr>
      </w:pPr>
      <w:r>
        <w:rPr>
          <w:rFonts w:ascii="Arial" w:cs="Arial" w:eastAsia="Arial" w:hAnsi="Arial"/>
          <w:sz w:val="20"/>
          <w:szCs w:val="20"/>
          <w:color w:val="auto"/>
        </w:rPr>
        <w:t>ABM FACILITY SOLUTIONS GROUP, LLC (FKA THE LINC GROUP, LLC)</w:t>
      </w:r>
    </w:p>
    <w:p>
      <w:pPr>
        <w:spacing w:after="0"/>
        <w:rPr>
          <w:sz w:val="20"/>
          <w:szCs w:val="20"/>
          <w:color w:val="auto"/>
        </w:rPr>
      </w:pPr>
      <w:r>
        <w:rPr>
          <w:rFonts w:ascii="Arial" w:cs="Arial" w:eastAsia="Arial" w:hAnsi="Arial"/>
          <w:sz w:val="20"/>
          <w:szCs w:val="20"/>
          <w:color w:val="auto"/>
        </w:rPr>
        <w:t>GREENHOMES AMERICA, LLC</w:t>
      </w:r>
    </w:p>
    <w:p>
      <w:pPr>
        <w:spacing w:after="0"/>
        <w:rPr>
          <w:sz w:val="20"/>
          <w:szCs w:val="20"/>
          <w:color w:val="auto"/>
        </w:rPr>
      </w:pPr>
      <w:r>
        <w:rPr>
          <w:rFonts w:ascii="Arial" w:cs="Arial" w:eastAsia="Arial" w:hAnsi="Arial"/>
          <w:sz w:val="20"/>
          <w:szCs w:val="20"/>
          <w:color w:val="auto"/>
        </w:rPr>
        <w:t>REEP, INC.</w:t>
      </w:r>
    </w:p>
    <w:p>
      <w:pPr>
        <w:ind w:right="2919"/>
        <w:spacing w:after="0" w:line="239" w:lineRule="auto"/>
        <w:rPr>
          <w:sz w:val="20"/>
          <w:szCs w:val="20"/>
          <w:color w:val="auto"/>
        </w:rPr>
      </w:pPr>
      <w:r>
        <w:rPr>
          <w:rFonts w:ascii="Arial" w:cs="Arial" w:eastAsia="Arial" w:hAnsi="Arial"/>
          <w:sz w:val="20"/>
          <w:szCs w:val="20"/>
          <w:color w:val="auto"/>
        </w:rPr>
        <w:t>ABM GOVERNMENT SERVICES, LLC (FKA LINC GOVERNMENT SERVICES, LLC) ABM GOVERNMENT SERVICES AFGHANISTAN BRANCH, LLC (FKA LINC GOVERNMENT SERVICES AFGHANISTAN BRANCH) FERGUSON-WILLIAMS LLC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ABM FACILITY SERVICES, INC.</w:t>
      </w:r>
    </w:p>
    <w:p>
      <w:pPr>
        <w:spacing w:after="0"/>
        <w:rPr>
          <w:sz w:val="20"/>
          <w:szCs w:val="20"/>
          <w:color w:val="auto"/>
        </w:rPr>
      </w:pPr>
      <w:r>
        <w:rPr>
          <w:rFonts w:ascii="Arial" w:cs="Arial" w:eastAsia="Arial" w:hAnsi="Arial"/>
          <w:sz w:val="20"/>
          <w:szCs w:val="20"/>
          <w:color w:val="auto"/>
        </w:rPr>
        <w:t>LINC INTERNATIONAL, INC.</w:t>
      </w:r>
    </w:p>
    <w:p>
      <w:pPr>
        <w:spacing w:after="0"/>
        <w:rPr>
          <w:sz w:val="20"/>
          <w:szCs w:val="20"/>
          <w:color w:val="auto"/>
        </w:rPr>
      </w:pPr>
      <w:r>
        <w:rPr>
          <w:rFonts w:ascii="Arial" w:cs="Arial" w:eastAsia="Arial" w:hAnsi="Arial"/>
          <w:sz w:val="20"/>
          <w:szCs w:val="20"/>
          <w:color w:val="auto"/>
        </w:rPr>
        <w:t>LINC FACILITY SERVICES UAE, LLC</w:t>
      </w:r>
    </w:p>
    <w:p>
      <w:pPr>
        <w:spacing w:after="0"/>
        <w:rPr>
          <w:sz w:val="20"/>
          <w:szCs w:val="20"/>
          <w:color w:val="auto"/>
        </w:rPr>
      </w:pPr>
      <w:r>
        <w:rPr>
          <w:rFonts w:ascii="Arial" w:cs="Arial" w:eastAsia="Arial" w:hAnsi="Arial"/>
          <w:sz w:val="20"/>
          <w:szCs w:val="20"/>
          <w:color w:val="auto"/>
        </w:rPr>
        <w:t>LINC FACILITY SERVICES IRAQ LLC</w:t>
      </w:r>
    </w:p>
    <w:p>
      <w:pPr>
        <w:spacing w:after="0"/>
        <w:rPr>
          <w:sz w:val="20"/>
          <w:szCs w:val="20"/>
          <w:color w:val="auto"/>
        </w:rPr>
      </w:pPr>
      <w:r>
        <w:rPr>
          <w:rFonts w:ascii="Arial" w:cs="Arial" w:eastAsia="Arial" w:hAnsi="Arial"/>
          <w:sz w:val="20"/>
          <w:szCs w:val="20"/>
          <w:color w:val="auto"/>
        </w:rPr>
        <w:t>LINC FACILITY SERVICES ME, LLC</w:t>
      </w:r>
    </w:p>
    <w:p>
      <w:pPr>
        <w:spacing w:after="0"/>
        <w:rPr>
          <w:sz w:val="20"/>
          <w:szCs w:val="20"/>
          <w:color w:val="auto"/>
        </w:rPr>
      </w:pPr>
      <w:r>
        <w:rPr>
          <w:rFonts w:ascii="Arial" w:cs="Arial" w:eastAsia="Arial" w:hAnsi="Arial"/>
          <w:sz w:val="20"/>
          <w:szCs w:val="20"/>
          <w:color w:val="auto"/>
        </w:rPr>
        <w:t>ABM FRANCHISING GROUP, LLC (FKA LINC NETWORK LLC)</w:t>
      </w:r>
    </w:p>
    <w:p>
      <w:pPr>
        <w:ind w:right="2539"/>
        <w:spacing w:after="0" w:line="239" w:lineRule="auto"/>
        <w:rPr>
          <w:sz w:val="20"/>
          <w:szCs w:val="20"/>
          <w:color w:val="auto"/>
        </w:rPr>
      </w:pPr>
      <w:r>
        <w:rPr>
          <w:rFonts w:ascii="Arial" w:cs="Arial" w:eastAsia="Arial" w:hAnsi="Arial"/>
          <w:sz w:val="20"/>
          <w:szCs w:val="20"/>
          <w:color w:val="auto"/>
        </w:rPr>
        <w:t>ABM BUILDING &amp; ENERGY SOLUTIONS, LLC (CONVERTED FROM A CORPORATION TO AN LLC) (FKA LINC BUILDING &amp; ENERGY SOLUTIONS INC.) ABM BUILDING SOLUTIONS, LLC (FKA LINC MECHANICAL)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ABM BUILDING SERVICES, LLC (FKA LINC SERVICES LLC)</w:t>
      </w:r>
    </w:p>
    <w:p>
      <w:pPr>
        <w:spacing w:after="0"/>
        <w:rPr>
          <w:sz w:val="20"/>
          <w:szCs w:val="20"/>
          <w:color w:val="auto"/>
        </w:rPr>
      </w:pPr>
      <w:r>
        <w:rPr>
          <w:rFonts w:ascii="Arial" w:cs="Arial" w:eastAsia="Arial" w:hAnsi="Arial"/>
          <w:sz w:val="20"/>
          <w:szCs w:val="20"/>
          <w:color w:val="auto"/>
        </w:rPr>
        <w:t>ABM ELECTRICAL POWER SOLUTIONS, LLC (FKA MET ELECTRICAL TESTING)</w:t>
      </w:r>
    </w:p>
    <w:p>
      <w:pPr>
        <w:spacing w:after="0"/>
        <w:rPr>
          <w:sz w:val="20"/>
          <w:szCs w:val="20"/>
          <w:color w:val="auto"/>
        </w:rPr>
      </w:pPr>
      <w:r>
        <w:rPr>
          <w:rFonts w:ascii="Arial" w:cs="Arial" w:eastAsia="Arial" w:hAnsi="Arial"/>
          <w:sz w:val="20"/>
          <w:szCs w:val="20"/>
          <w:color w:val="auto"/>
        </w:rPr>
        <w:t>ABM ELECTRICAL POWER SERVICES, LLC (FKA CET ELECTRICAL TESTING)</w:t>
      </w:r>
    </w:p>
    <w:p>
      <w:pPr>
        <w:spacing w:after="0"/>
        <w:rPr>
          <w:sz w:val="20"/>
          <w:szCs w:val="20"/>
          <w:color w:val="auto"/>
        </w:rPr>
      </w:pPr>
      <w:r>
        <w:rPr>
          <w:rFonts w:ascii="Arial" w:cs="Arial" w:eastAsia="Arial" w:hAnsi="Arial"/>
          <w:sz w:val="20"/>
          <w:szCs w:val="20"/>
          <w:color w:val="auto"/>
        </w:rPr>
        <w:t>ABM HEALTH, INC. (FKA LINC HEALTH, INC.)</w:t>
      </w:r>
    </w:p>
    <w:p>
      <w:pPr>
        <w:spacing w:after="0"/>
        <w:rPr>
          <w:sz w:val="20"/>
          <w:szCs w:val="20"/>
          <w:color w:val="auto"/>
        </w:rPr>
      </w:pPr>
      <w:r>
        <w:rPr>
          <w:rFonts w:ascii="Arial" w:cs="Arial" w:eastAsia="Arial" w:hAnsi="Arial"/>
          <w:sz w:val="20"/>
          <w:szCs w:val="20"/>
          <w:color w:val="auto"/>
        </w:rPr>
        <w:t>ABM ELECTRICAL NETWORK, INC.</w:t>
      </w:r>
    </w:p>
    <w:p>
      <w:pPr>
        <w:spacing w:after="0"/>
        <w:rPr>
          <w:sz w:val="20"/>
          <w:szCs w:val="20"/>
          <w:color w:val="auto"/>
        </w:rPr>
      </w:pPr>
      <w:r>
        <w:rPr>
          <w:rFonts w:ascii="Arial" w:cs="Arial" w:eastAsia="Arial" w:hAnsi="Arial"/>
          <w:sz w:val="20"/>
          <w:szCs w:val="20"/>
          <w:color w:val="auto"/>
        </w:rPr>
        <w:t>ABM ELECTRICAL &amp; LIGHTING SOLUTIONS, INC. (FKA ABM ELECTRICAL INC.)</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-14605</wp:posOffset>
            </wp:positionV>
            <wp:extent cx="628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ectPr>
          <w:pgSz w:w="11900" w:h="16838" w:orient="portrait"/>
          <w:cols w:equalWidth="0" w:num="1">
            <w:col w:w="10219"/>
          </w:cols>
          <w:pgMar w:left="240" w:top="366" w:right="1440"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 each of the Subsidiary Guarantors</w:t>
      </w:r>
    </w:p>
    <w:p>
      <w:pPr>
        <w:spacing w:after="0" w:line="234" w:lineRule="exact"/>
        <w:rPr>
          <w:sz w:val="20"/>
          <w:szCs w:val="20"/>
          <w:color w:val="auto"/>
        </w:rPr>
      </w:pPr>
    </w:p>
    <w:p>
      <w:pPr>
        <w:sectPr>
          <w:pgSz w:w="11900" w:h="16838" w:orient="portrait"/>
          <w:cols w:equalWidth="0" w:num="2">
            <w:col w:w="420" w:space="400"/>
            <w:col w:w="9399"/>
          </w:cols>
          <w:pgMar w:left="240" w:top="366" w:right="1440"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#89304985v3</w:t>
      </w:r>
    </w:p>
    <w:p>
      <w:pPr>
        <w:sectPr>
          <w:pgSz w:w="11900" w:h="16838" w:orient="portrait"/>
          <w:cols w:equalWidth="0" w:num="1">
            <w:col w:w="10219"/>
          </w:cols>
          <w:pgMar w:left="240" w:top="366"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8, 2017</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4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8, 2017</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EXHIBIT 32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January 31, 2017,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8, 2017</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900"/>
        <w:spacing w:after="0"/>
        <w:tabs>
          <w:tab w:leader="none" w:pos="6520" w:val="left"/>
        </w:tabs>
        <w:rPr>
          <w:sz w:val="20"/>
          <w:szCs w:val="20"/>
          <w:color w:val="auto"/>
        </w:rPr>
      </w:pPr>
      <w:r>
        <w:rPr>
          <w:rFonts w:ascii="Arial" w:cs="Arial" w:eastAsia="Arial" w:hAnsi="Arial"/>
          <w:sz w:val="18"/>
          <w:szCs w:val="18"/>
          <w:color w:val="auto"/>
        </w:rPr>
        <w:t>March 8, 2017</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6"/>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2"/>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amp;"/>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3"/>
    </w:lvl>
  </w:abstractNum>
  <w:abstractNum w:abstractNumId="17">
    <w:nsid w:val="333AB105"/>
    <w:multiLevelType w:val="hybridMultilevel"/>
    <w:lvl w:ilvl="0">
      <w:lvlJc w:val="left"/>
      <w:lvlText w:val="(%1)"/>
      <w:numFmt w:val="lowerLetter"/>
      <w:start w:val="1"/>
    </w:lvl>
    <w:lvl w:ilvl="1">
      <w:lvlJc w:val="left"/>
      <w:lvlText w:val="(%2)"/>
      <w:numFmt w:val="lowerRoman"/>
      <w:start w:val="1"/>
    </w:lvl>
  </w:abstractNum>
  <w:abstractNum w:abstractNumId="18">
    <w:nsid w:val="721DA317"/>
    <w:multiLevelType w:val="hybridMultilevel"/>
    <w:lvl w:ilvl="0">
      <w:lvlJc w:val="left"/>
      <w:lvlText w:val="1"/>
      <w:numFmt w:val="bullet"/>
      <w:start w:val="1"/>
    </w:lvl>
  </w:abstractNum>
  <w:abstractNum w:abstractNumId="19">
    <w:nsid w:val="2443A858"/>
    <w:multiLevelType w:val="hybridMultilevel"/>
    <w:lvl w:ilvl="0">
      <w:lvlJc w:val="left"/>
      <w:lvlText w:val="%1"/>
      <w:numFmt w:val="decimal"/>
      <w:start w:val="1"/>
    </w:lvl>
    <w:lvl w:ilvl="1">
      <w:lvlJc w:val="left"/>
      <w:lvlText w:val="(%2)"/>
      <w:numFmt w:val="lowerRoman"/>
      <w:start w:val="3"/>
    </w:lvl>
  </w:abstractNum>
  <w:abstractNum w:abstractNumId="20">
    <w:nsid w:val="2D1D5AE9"/>
    <w:multiLevelType w:val="hybridMultilevel"/>
    <w:lvl w:ilvl="0">
      <w:lvlJc w:val="left"/>
      <w:lvlText w:val="%1."/>
      <w:numFmt w:val="decimal"/>
      <w:start w:val="3"/>
    </w:lvl>
    <w:lvl w:ilvl="1">
      <w:lvlJc w:val="left"/>
      <w:lvlText w:val="%2"/>
      <w:numFmt w:val="lowerRoman"/>
      <w:start w:val="1"/>
    </w:lvl>
  </w:abstractNum>
  <w:abstractNum w:abstractNumId="21">
    <w:nsid w:val="6763845E"/>
    <w:multiLevelType w:val="hybridMultilevel"/>
    <w:lvl w:ilvl="0">
      <w:lvlJc w:val="left"/>
      <w:lvlText w:val="%1."/>
      <w:numFmt w:val="decimal"/>
      <w:start w:val="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2019-12-05T13:08:18Z</dcterms:created>
  <dcterms:modified xsi:type="dcterms:W3CDTF">2019-12-05T13:08:18Z</dcterms:modified>
</cp:coreProperties>
</file>