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5, 2026, ABM Industries Incorporated (the "Company") issued a press release announcing financial results related to the quarter ended April 30, 2026. A copy of the press release is being furnished as Exhibit 99.1 to this Form 8-K, which is incorporated into this item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5, 2026, the Company announced that the Board of Directors of the Company declared a quarterly dividend of $0.29 per share, payable August 3, 2026 to stockholders of record on July 2,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June 5, 2026, announcing financial results related to the quarter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6469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9380"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2026, and the declaration of a dividend payable August 3, 2026, to stockholders of record on July 2,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482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29175" cy="8890"/>
                    </a:xfrm>
                    <a:prstGeom prst="rect">
                      <a:avLst/>
                    </a:prstGeom>
                    <a:noFill/>
                  </pic:spPr>
                </pic:pic>
              </a:graphicData>
            </a:graphic>
          </wp:anchor>
        </w:drawing>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715010</wp:posOffset>
            </wp:positionV>
            <wp:extent cx="123444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0046AD"/>
        </w:rPr>
        <w:t>ABM REPORTS FISCAL SECOND QUARTER 2026 RESULTS AND REAFFIRMS FISCAL 2026 ADJUSTED EPS OUTLOOK</w:t>
      </w:r>
    </w:p>
    <w:p>
      <w:pPr>
        <w:spacing w:after="0" w:line="135" w:lineRule="exact"/>
        <w:rPr>
          <w:sz w:val="20"/>
          <w:szCs w:val="20"/>
          <w:color w:val="auto"/>
        </w:rPr>
      </w:pPr>
    </w:p>
    <w:p>
      <w:pPr>
        <w:ind w:left="760" w:right="340" w:hanging="378"/>
        <w:spacing w:after="0" w:line="23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Revenue increased 8.4% to a second quarter record of $2.3 billion, including organic growth of 6.1% and acquisition growth of 2.3%</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Record first half new sales bookings of $1.2 billion</w:t>
      </w:r>
    </w:p>
    <w:p>
      <w:pPr>
        <w:ind w:left="760" w:right="34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auto"/>
        </w:rPr>
        <w:t>Net income improved to $43.1 million, or $0.73 per diluted share, as compared to $42.2 million, or $0.67, in the prior year</w:t>
      </w:r>
    </w:p>
    <w:p>
      <w:pPr>
        <w:spacing w:after="0" w:line="1" w:lineRule="exact"/>
        <w:rPr>
          <w:rFonts w:ascii="Times New Roman" w:cs="Times New Roman" w:eastAsia="Times New Roman" w:hAnsi="Times New Roman"/>
          <w:sz w:val="20"/>
          <w:szCs w:val="20"/>
          <w:i w:val="1"/>
          <w:iCs w:val="1"/>
          <w:color w:val="242424"/>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net income was $52.9 million, or $0.90 per diluted share, versus $54.1 million, or $0.86, in the prior year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increased to $131.7 million, versus $125.9 million last yea</w:t>
      </w:r>
      <w:r>
        <w:rPr>
          <w:rFonts w:ascii="Arial" w:cs="Arial" w:eastAsia="Arial" w:hAnsi="Arial"/>
          <w:sz w:val="20"/>
          <w:szCs w:val="20"/>
          <w:color w:val="auto"/>
        </w:rPr>
        <w:t>r</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Operating cash flow was $66.2 million and free cash flow totaled $22.4 million, both well above the prior year</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NEW YORK, NY - June 5, 2026 - ABM (NYSE: ABM), a leading provider of facility, engineering and infrastructure solutions, today announced financial results for its fiscal second quarter ended April 30, 2026.</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212121"/>
        </w:rPr>
        <w:t>"Our second quarter performance was highlighted by organic revenue growth of 6.1% and record first half new sales bookings of $1.2 billion," said Scott Salmirs, President and Chief Executive Officer. "Organic growth was especially strong in Technical Solutions ("ATS") and Aviation. Manufacturing &amp; Distribution's ("M&amp;D") robust growth was driven by healthy organic demand, further boosted by our recent WGNSTAR acquisition, which is performing well and contributing meaningfully to growth. The investments we have made in organic growth and acquisitions, along with our healthy backlog and constructive end-market conditions, have positioned us well for a strong second half."</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212121"/>
        </w:rPr>
        <w:t>Mr. Salmirs continued, "Beyond the top line, we executed well in the quarter, resulting in improved margin on a sequential basis and continued solid free cash flow generation, which was up significantly in the first half versus last year. Looking to the second half, we expect meaningfully higher volume in ATS and M&amp;D, as well as improved service mix, especially within ATS. We also expect to benefit from our ongoing cost savings and pricing initiatives. Combined, these factors are expected to drive significant improvement in earnings and margin in the back half of the year."</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212121"/>
        </w:rPr>
        <w:t>Mr. Salmirs concluded, "We are encouraged by constructive demand trends across the majority of our end markets, and remain focused on executing with discipline as the broader macroeconomic environment continues to evolve. As such, our fiscal 2026 outlook remains unchanged."</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Second Quarter Fiscal 2026 Results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Revenue increased 8.4% year over year to a second quarter record of $2.3 billion, including 6.1% organic growth and 2.3% growth from acquisitions. </w:t>
      </w:r>
      <w:r>
        <w:rPr>
          <w:rFonts w:ascii="Arial" w:cs="Arial" w:eastAsia="Arial" w:hAnsi="Arial"/>
          <w:sz w:val="20"/>
          <w:szCs w:val="20"/>
          <w:color w:val="242424"/>
        </w:rPr>
        <w:t>Revenue growth was led by ATS and Aviation,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3" w:lineRule="auto"/>
        <w:rPr>
          <w:sz w:val="20"/>
          <w:szCs w:val="20"/>
          <w:color w:val="auto"/>
        </w:rPr>
      </w:pPr>
      <w:r>
        <w:rPr>
          <w:rFonts w:ascii="Arial" w:cs="Arial" w:eastAsia="Arial" w:hAnsi="Arial"/>
          <w:sz w:val="20"/>
          <w:szCs w:val="20"/>
          <w:color w:val="242424"/>
        </w:rPr>
        <w:t xml:space="preserve">which grew </w:t>
      </w:r>
      <w:r>
        <w:rPr>
          <w:rFonts w:ascii="Arial" w:cs="Arial" w:eastAsia="Arial" w:hAnsi="Arial"/>
          <w:sz w:val="20"/>
          <w:szCs w:val="20"/>
          <w:color w:val="000000"/>
        </w:rPr>
        <w:t xml:space="preserve">27% and 20%, respectively. ATS benefited from strong demand for battery energy storage systems and datacenter-related services, as well as contributions from its recent acquisition, while Aviation’s growth reflected healthy domestic air travel trends and the continued ramp of new contracts, including the recently won London Heathrow contract. </w:t>
      </w:r>
      <w:r>
        <w:rPr>
          <w:rFonts w:ascii="Arial" w:cs="Arial" w:eastAsia="Arial" w:hAnsi="Arial"/>
          <w:sz w:val="20"/>
          <w:szCs w:val="20"/>
          <w:color w:val="242424"/>
        </w:rPr>
        <w:t>M&amp;D increased</w:t>
      </w:r>
      <w:r>
        <w:rPr>
          <w:rFonts w:ascii="Arial" w:cs="Arial" w:eastAsia="Arial" w:hAnsi="Arial"/>
          <w:sz w:val="20"/>
          <w:szCs w:val="20"/>
          <w:color w:val="000000"/>
        </w:rPr>
        <w:t xml:space="preserve"> 17%, driven by </w:t>
      </w:r>
      <w:r>
        <w:rPr>
          <w:rFonts w:ascii="Arial" w:cs="Arial" w:eastAsia="Arial" w:hAnsi="Arial"/>
          <w:sz w:val="20"/>
          <w:szCs w:val="20"/>
          <w:color w:val="242424"/>
        </w:rPr>
        <w:t>acquisitions, recent client wins and ongoing expansions, while</w:t>
      </w:r>
      <w:r>
        <w:rPr>
          <w:rFonts w:ascii="Arial" w:cs="Arial" w:eastAsia="Arial" w:hAnsi="Arial"/>
          <w:sz w:val="20"/>
          <w:szCs w:val="20"/>
          <w:color w:val="000000"/>
        </w:rPr>
        <w:t xml:space="preserve"> Education delivered growth of 2%, benefiting from price escalations. </w:t>
      </w:r>
      <w:r>
        <w:rPr>
          <w:rFonts w:ascii="Arial" w:cs="Arial" w:eastAsia="Arial" w:hAnsi="Arial"/>
          <w:sz w:val="20"/>
          <w:szCs w:val="20"/>
          <w:color w:val="242424"/>
        </w:rPr>
        <w:t>Business &amp; Industry (“</w:t>
      </w:r>
      <w:r>
        <w:rPr>
          <w:rFonts w:ascii="Arial" w:cs="Arial" w:eastAsia="Arial" w:hAnsi="Arial"/>
          <w:sz w:val="20"/>
          <w:szCs w:val="20"/>
          <w:color w:val="000000"/>
        </w:rPr>
        <w:t>B</w:t>
      </w:r>
      <w:r>
        <w:rPr>
          <w:rFonts w:ascii="Arial" w:cs="Arial" w:eastAsia="Arial" w:hAnsi="Arial"/>
          <w:sz w:val="20"/>
          <w:szCs w:val="20"/>
          <w:color w:val="242424"/>
        </w:rPr>
        <w:t>&amp;I”) was essentially flat</w:t>
      </w:r>
      <w:r>
        <w:rPr>
          <w:rFonts w:ascii="Arial" w:cs="Arial" w:eastAsia="Arial" w:hAnsi="Arial"/>
          <w:sz w:val="20"/>
          <w:szCs w:val="20"/>
          <w:color w:val="000000"/>
        </w:rPr>
        <w:t>, as strong growth in its UK operations was largely offset by the exit of certain clients.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42424"/>
        </w:rPr>
        <w:t>N</w:t>
      </w:r>
      <w:r>
        <w:rPr>
          <w:rFonts w:ascii="Arial" w:cs="Arial" w:eastAsia="Arial" w:hAnsi="Arial"/>
          <w:sz w:val="20"/>
          <w:szCs w:val="20"/>
          <w:color w:val="000000"/>
        </w:rPr>
        <w:t>et income was $43.1 million, or $0.73 per diluted share, compared to $ 42.2 million, or $0.67 per diluted share, in the prior year</w:t>
      </w:r>
      <w:r>
        <w:rPr>
          <w:rFonts w:ascii="Arial" w:cs="Arial" w:eastAsia="Arial" w:hAnsi="Arial"/>
          <w:sz w:val="20"/>
          <w:szCs w:val="20"/>
          <w:color w:val="242424"/>
        </w:rPr>
        <w:t xml:space="preserve"> </w:t>
      </w:r>
      <w:r>
        <w:rPr>
          <w:rFonts w:ascii="Arial" w:cs="Arial" w:eastAsia="Arial" w:hAnsi="Arial"/>
          <w:sz w:val="20"/>
          <w:szCs w:val="20"/>
          <w:color w:val="000000"/>
        </w:rPr>
        <w:t>period. The increase in net income primarily reflects lower tax expense and reduced corporate costs, partially offset by higher interest and amortization expense related to the WGNSTAR acquisition. EPS growth was further driven by the Company’s share repurchase activities earlier in the year. Net income margin was 1.9% versus 2.0% in the prior year.</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Segment operating margin was 7.3% compared to 7.9% last year. The change in segment operating margin was driven mainly by the impact of newer contracts that came online last year in M&amp;D and B&amp;I, as well as by weather-related and ramp-up cost inefficiencies in Aviation.</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Adjusted net income was $52.9 million, or $0.90 per diluted share, compared to $54.1 million, or $ 0.86 per diluted share in the prior year period. The year-over-year change primarily reflects the factors discussed above, with per share results benefiting from the Company's share repurchase activities.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increased to $131.7 million versus $125.9 million last year.</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results exclude items impacting comparability. A description of items impacting comparability can be found in the “Reconciliation of Non-GAAP Financial Measures” table.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cash provided by operating activities was $66.2 million, and free cash flow was $22.4 million, compared to $ 32.3 million and $15.2 million, respectively, in the prior year period. The improvement year over year primarily reflects strong working capital management and ongoing advancements in the Company’s enterprise resource planning (“ERP”) implementation during the quarter. A reconciliation of net cash provided by (used in) operating activities to free cash flow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Leverage &amp; Liquidity</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 the end of the second quarter, the Company’s total indebtedness stood at $1.9 billion, including $ 23.5 million in standby letters of credit, resulting in a total leverage ratio of 3.2x, as defined by the Company's credit facility. Available liquidity was $613.8 million, including $94.9 million in cash and cash equivalents. The Company expects its total leverage ratio to be below 3.0x by fiscal year-end.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After the quarter’s close, the Board declared a cash dividend of $0.29 per common share, payable on August 3, 2026, to shareholders of record on July 2, 2026.</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is reaffirming its fiscal 2026 outlook with the following updates. The Company now expects organic revenue growth toward the top end of the 3% to 4% range and total revenue growth toward the top end of the 4% to 5% range. Segment operating margin, defined as total segment operating profit divided by total revenue, is projected toward the low end of the 7.8% to 8.0% range, and adjusted EPS is still expected to be in the range of $3.85 to $4.15. This outlook now reflects the Company's updated approach to providing full year adjusted EPS guidance, which no longer excludes the impact of any prior-year self-insurance adjustments.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Interest expense is now forecast to be approximately $110 million, and the normalized tax rate is expected to be between 29% and 30%, excluding discrete and non-taxable items.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cannot provide a reconciliation of forward-looking non-GAAP segment operating margin or adjusted EPS to the corresponding GAAP measure without unreasonable effort due to the uncertainty of timing and the magnitude of items such as acquisition and integration related costs, legal costs and other settlements. These items are inherently difficult to forecast and may result in a GAAP range that is too large and variable to be meaningful.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Friday, June 5, 2026,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three hours after the webcast through June 19, 2026, and can be accessed by dialing</w:t>
      </w:r>
    </w:p>
    <w:p>
      <w:pPr>
        <w:ind w:left="540" w:hanging="532"/>
        <w:spacing w:after="0" w:line="229"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512-2921 and then entering ID #13759986.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both"/>
        <w:spacing w:after="0" w:line="226"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may not realize the growth opportunities and synergies that are anticipated from the WGNSTAR acquisition;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both"/>
        <w:spacing w:after="0" w:line="230" w:lineRule="auto"/>
        <w:rPr>
          <w:sz w:val="20"/>
          <w:szCs w:val="20"/>
          <w:color w:val="auto"/>
        </w:rPr>
      </w:pPr>
      <w:r>
        <w:rPr>
          <w:rFonts w:ascii="Arial" w:cs="Arial" w:eastAsia="Arial" w:hAnsi="Arial"/>
          <w:sz w:val="20"/>
          <w:szCs w:val="20"/>
          <w:i w:val="1"/>
          <w:iCs w:val="1"/>
          <w:color w:val="auto"/>
        </w:rPr>
        <w:t>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second quarter and first six months of fiscal years 2026 and 2025.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second quarter and first six months of fiscal years 2026 and 2025. Adjusted EBITDA is among the indicators management uses as a basis for planning and forecasting future periods. The Company also presents total segment operating profit, which is the sum of the segment operating profit of each of its segments, and total segment operating margin, defined as total segment operating profit divided by total revenue, because management believes they are useful as they represent the aggregate value of income/profit created by its segments and exclude items not directly related to the segments for performance evaluation purposes.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ind w:left="60"/>
        <w:spacing w:after="0"/>
        <w:tabs>
          <w:tab w:leader="none" w:pos="286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3400" w:hanging="523"/>
        <w:spacing w:after="0"/>
        <w:tabs>
          <w:tab w:leader="none" w:pos="3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297-9721</w:t>
      </w:r>
    </w:p>
    <w:p>
      <w:pPr>
        <w:spacing w:after="0" w:line="80" w:lineRule="exact"/>
        <w:rPr>
          <w:rFonts w:ascii="Arial" w:cs="Arial" w:eastAsia="Arial" w:hAnsi="Arial"/>
          <w:sz w:val="20"/>
          <w:szCs w:val="20"/>
          <w:color w:val="auto"/>
        </w:rPr>
      </w:pPr>
    </w:p>
    <w:p>
      <w:pPr>
        <w:ind w:left="288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April 30,</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3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8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2,290.0</w:t>
            </w:r>
          </w:p>
        </w:tc>
        <w:tc>
          <w:tcPr>
            <w:tcW w:w="108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2,111.7</w:t>
            </w:r>
          </w:p>
        </w:tc>
        <w:tc>
          <w:tcPr>
            <w:tcW w:w="14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2,013.0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1,841.0</w:t>
            </w:r>
          </w:p>
        </w:tc>
        <w:tc>
          <w:tcPr>
            <w:tcW w:w="148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175.1</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Restructuring and related expenses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85"/>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DCE2EF"/>
          </w:tcPr>
          <w:p>
            <w:pPr>
              <w:spacing w:after="0"/>
              <w:rPr>
                <w:sz w:val="24"/>
                <w:szCs w:val="24"/>
                <w:color w:val="auto"/>
              </w:rPr>
            </w:pP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13.2</w:t>
            </w:r>
          </w:p>
        </w:tc>
        <w:tc>
          <w:tcPr>
            <w:tcW w:w="148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20.5</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636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48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168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82"/>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5"/>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59.8</w:t>
            </w:r>
          </w:p>
        </w:tc>
        <w:tc>
          <w:tcPr>
            <w:tcW w:w="168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7"/>
        </w:trPr>
        <w:tc>
          <w:tcPr>
            <w:tcW w:w="63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DCE2E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48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43.1</w:t>
            </w:r>
          </w:p>
        </w:tc>
        <w:tc>
          <w:tcPr>
            <w:tcW w:w="108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42.2</w:t>
            </w:r>
          </w:p>
        </w:tc>
        <w:tc>
          <w:tcPr>
            <w:tcW w:w="1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6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360" w:type="dxa"/>
            <w:vAlign w:val="bottom"/>
            <w:gridSpan w:val="3"/>
            <w:vMerge w:val="continue"/>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shd w:val="clear" w:color="auto" w:fill="DCE2EF"/>
          </w:tcPr>
          <w:p>
            <w:pPr>
              <w:spacing w:after="0"/>
              <w:rPr>
                <w:sz w:val="24"/>
                <w:szCs w:val="24"/>
                <w:color w:val="auto"/>
              </w:rPr>
            </w:pPr>
          </w:p>
        </w:tc>
        <w:tc>
          <w:tcPr>
            <w:tcW w:w="63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0.73</w:t>
            </w:r>
          </w:p>
        </w:tc>
        <w:tc>
          <w:tcPr>
            <w:tcW w:w="108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0.67</w:t>
            </w:r>
          </w:p>
        </w:tc>
        <w:tc>
          <w:tcPr>
            <w:tcW w:w="1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630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0.73</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0.67</w:t>
            </w:r>
          </w:p>
        </w:tc>
        <w:tc>
          <w:tcPr>
            <w:tcW w:w="148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48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CE2EF"/>
          </w:tcPr>
          <w:p>
            <w:pPr>
              <w:spacing w:after="0"/>
              <w:rPr>
                <w:sz w:val="20"/>
                <w:szCs w:val="20"/>
                <w:color w:val="auto"/>
              </w:rPr>
            </w:pPr>
          </w:p>
        </w:tc>
        <w:tc>
          <w:tcPr>
            <w:tcW w:w="630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80" w:type="dxa"/>
            <w:vAlign w:val="bottom"/>
            <w:shd w:val="clear" w:color="auto" w:fill="DCE2EF"/>
          </w:tcPr>
          <w:p>
            <w:pPr>
              <w:spacing w:after="0"/>
              <w:rPr>
                <w:sz w:val="20"/>
                <w:szCs w:val="20"/>
                <w:color w:val="auto"/>
              </w:rPr>
            </w:pPr>
          </w:p>
        </w:tc>
        <w:tc>
          <w:tcPr>
            <w:tcW w:w="58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560" w:type="dxa"/>
            <w:vAlign w:val="bottom"/>
            <w:shd w:val="clear" w:color="auto" w:fill="DCE2EF"/>
          </w:tcPr>
          <w:p>
            <w:pPr>
              <w:spacing w:after="0"/>
              <w:rPr>
                <w:sz w:val="20"/>
                <w:szCs w:val="20"/>
                <w:color w:val="auto"/>
              </w:rPr>
            </w:pPr>
          </w:p>
        </w:tc>
        <w:tc>
          <w:tcPr>
            <w:tcW w:w="148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630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62.6</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63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62.9</w:t>
            </w:r>
          </w:p>
        </w:tc>
        <w:tc>
          <w:tcPr>
            <w:tcW w:w="148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0.290</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0.265</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6061710</wp:posOffset>
            </wp:positionH>
            <wp:positionV relativeFrom="paragraph">
              <wp:posOffset>-3702050</wp:posOffset>
            </wp:positionV>
            <wp:extent cx="9398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-2510790</wp:posOffset>
            </wp:positionV>
            <wp:extent cx="93980" cy="213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21399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-2510790</wp:posOffset>
            </wp:positionV>
            <wp:extent cx="93980" cy="213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2139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-1597660</wp:posOffset>
            </wp:positionV>
            <wp:extent cx="6858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-1597660</wp:posOffset>
            </wp:positionV>
            <wp:extent cx="6858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 w:name="page10"/>
    <w:bookmarkEnd w:id="9"/>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April 30,</w:t>
            </w:r>
          </w:p>
        </w:tc>
        <w:tc>
          <w:tcPr>
            <w:tcW w:w="56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8"/>
                <w:szCs w:val="18"/>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c>
          <w:tcPr>
            <w:tcW w:w="1300" w:type="dxa"/>
            <w:vAlign w:val="bottom"/>
          </w:tcPr>
          <w:p>
            <w:pPr>
              <w:ind w:left="400"/>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2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8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4,533.5</w:t>
            </w:r>
          </w:p>
        </w:tc>
        <w:tc>
          <w:tcPr>
            <w:tcW w:w="110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w w:val="97"/>
              </w:rPr>
              <w:t>4,226.6</w:t>
            </w:r>
          </w:p>
        </w:tc>
        <w:tc>
          <w:tcPr>
            <w:tcW w:w="13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52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3,996.5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3,696.1</w:t>
            </w:r>
          </w:p>
        </w:tc>
        <w:tc>
          <w:tcPr>
            <w:tcW w:w="130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340.9</w:t>
            </w:r>
          </w:p>
        </w:tc>
        <w:tc>
          <w:tcPr>
            <w:tcW w:w="100" w:type="dxa"/>
            <w:vAlign w:val="bottom"/>
            <w:shd w:val="clear" w:color="auto" w:fill="DCE2EF"/>
          </w:tcPr>
          <w:p>
            <w:pPr>
              <w:spacing w:after="0"/>
              <w:rPr>
                <w:sz w:val="24"/>
                <w:szCs w:val="24"/>
                <w:color w:val="auto"/>
              </w:rPr>
            </w:pP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344.1</w:t>
            </w:r>
          </w:p>
        </w:tc>
        <w:tc>
          <w:tcPr>
            <w:tcW w:w="1300" w:type="dxa"/>
            <w:vAlign w:val="bottom"/>
            <w:shd w:val="clear" w:color="auto" w:fill="DCE2EF"/>
          </w:tcPr>
          <w:p>
            <w:pPr>
              <w:ind w:left="66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520" w:type="dxa"/>
            <w:vAlign w:val="bottom"/>
            <w:gridSpan w:val="3"/>
          </w:tcPr>
          <w:p>
            <w:pPr>
              <w:ind w:left="60"/>
              <w:spacing w:after="0"/>
              <w:rPr>
                <w:sz w:val="20"/>
                <w:szCs w:val="20"/>
                <w:color w:val="auto"/>
              </w:rPr>
            </w:pPr>
            <w:r>
              <w:rPr>
                <w:rFonts w:ascii="Arial" w:cs="Arial" w:eastAsia="Arial" w:hAnsi="Arial"/>
                <w:sz w:val="16"/>
                <w:szCs w:val="16"/>
                <w:color w:val="auto"/>
              </w:rPr>
              <w:t>Restructuring and related expenses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1"/>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DCE2EF"/>
          </w:tcPr>
          <w:p>
            <w:pPr>
              <w:spacing w:after="0"/>
              <w:rPr>
                <w:sz w:val="24"/>
                <w:szCs w:val="24"/>
                <w:color w:val="auto"/>
              </w:rPr>
            </w:pPr>
          </w:p>
        </w:tc>
        <w:tc>
          <w:tcPr>
            <w:tcW w:w="100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26.5</w:t>
            </w: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52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91"/>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24"/>
                <w:szCs w:val="24"/>
                <w:color w:val="auto"/>
              </w:rPr>
            </w:pP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300" w:type="dxa"/>
            <w:vAlign w:val="bottom"/>
            <w:shd w:val="clear" w:color="auto" w:fill="DCE2EF"/>
          </w:tcPr>
          <w:p>
            <w:pPr>
              <w:ind w:left="660"/>
              <w:spacing w:after="0"/>
              <w:rPr>
                <w:sz w:val="20"/>
                <w:szCs w:val="20"/>
                <w:color w:val="auto"/>
              </w:rPr>
            </w:pPr>
            <w:r>
              <w:rPr>
                <w:rFonts w:ascii="Arial" w:cs="Arial" w:eastAsia="Arial" w:hAnsi="Arial"/>
                <w:sz w:val="16"/>
                <w:szCs w:val="16"/>
                <w:color w:val="auto"/>
              </w:rPr>
              <w:t>12.8</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52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300" w:type="dxa"/>
            <w:vAlign w:val="bottom"/>
          </w:tcPr>
          <w:p>
            <w:pPr>
              <w:ind w:left="660"/>
              <w:spacing w:after="0"/>
              <w:rPr>
                <w:sz w:val="20"/>
                <w:szCs w:val="20"/>
                <w:color w:val="auto"/>
              </w:rPr>
            </w:pPr>
            <w:r>
              <w:rPr>
                <w:rFonts w:ascii="Arial" w:cs="Arial" w:eastAsia="Arial" w:hAnsi="Arial"/>
                <w:sz w:val="16"/>
                <w:szCs w:val="16"/>
                <w:color w:val="auto"/>
              </w:rPr>
              <w:t>(11.4)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DCE2EF"/>
            </w:tcBorders>
            <w:shd w:val="clear" w:color="auto" w:fill="DCE2EF"/>
          </w:tcPr>
          <w:p>
            <w:pPr>
              <w:spacing w:after="0"/>
              <w:rPr>
                <w:sz w:val="21"/>
                <w:szCs w:val="21"/>
                <w:color w:val="auto"/>
              </w:rPr>
            </w:pPr>
          </w:p>
        </w:tc>
        <w:tc>
          <w:tcPr>
            <w:tcW w:w="10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115.2</w:t>
            </w:r>
          </w:p>
        </w:tc>
        <w:tc>
          <w:tcPr>
            <w:tcW w:w="1300" w:type="dxa"/>
            <w:vAlign w:val="bottom"/>
            <w:tcBorders>
              <w:bottom w:val="single" w:sz="8" w:color="DCE2EF"/>
            </w:tcBorders>
            <w:shd w:val="clear" w:color="auto" w:fill="DCE2EF"/>
          </w:tcPr>
          <w:p>
            <w:pPr>
              <w:ind w:left="660"/>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300" w:type="dxa"/>
            <w:vAlign w:val="bottom"/>
            <w:tcBorders>
              <w:bottom w:val="single" w:sz="8" w:color="DCE2EF"/>
            </w:tcBorders>
          </w:tcPr>
          <w:p>
            <w:pPr>
              <w:ind w:left="660"/>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81.8</w:t>
            </w:r>
          </w:p>
        </w:tc>
        <w:tc>
          <w:tcPr>
            <w:tcW w:w="110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85.8</w:t>
            </w:r>
          </w:p>
        </w:tc>
        <w:tc>
          <w:tcPr>
            <w:tcW w:w="1300" w:type="dxa"/>
            <w:vAlign w:val="bottom"/>
            <w:shd w:val="clear" w:color="auto" w:fill="DCE2EF"/>
          </w:tcPr>
          <w:p>
            <w:pPr>
              <w:ind w:left="66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652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DCE2E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300" w:type="dxa"/>
            <w:vAlign w:val="bottom"/>
            <w:tcBorders>
              <w:top w:val="single" w:sz="8" w:color="DCE2EF"/>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1.37</w:t>
            </w:r>
          </w:p>
        </w:tc>
        <w:tc>
          <w:tcPr>
            <w:tcW w:w="110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1.37</w:t>
            </w:r>
          </w:p>
        </w:tc>
        <w:tc>
          <w:tcPr>
            <w:tcW w:w="1300" w:type="dxa"/>
            <w:vAlign w:val="bottom"/>
            <w:shd w:val="clear" w:color="auto" w:fill="DCE2EF"/>
          </w:tcPr>
          <w:p>
            <w:pPr>
              <w:ind w:left="10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520" w:type="dxa"/>
            <w:vAlign w:val="bottom"/>
            <w:gridSpan w:val="3"/>
          </w:tcPr>
          <w:p>
            <w:pPr>
              <w:ind w:left="6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w:t>
            </w:r>
          </w:p>
        </w:tc>
        <w:tc>
          <w:tcPr>
            <w:tcW w:w="130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8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00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CE2EF"/>
          </w:tcPr>
          <w:p>
            <w:pPr>
              <w:spacing w:after="0"/>
              <w:rPr>
                <w:sz w:val="20"/>
                <w:szCs w:val="20"/>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80" w:type="dxa"/>
            <w:vAlign w:val="bottom"/>
            <w:shd w:val="clear" w:color="auto" w:fill="DCE2EF"/>
          </w:tcPr>
          <w:p>
            <w:pPr>
              <w:spacing w:after="0"/>
              <w:rPr>
                <w:sz w:val="20"/>
                <w:szCs w:val="20"/>
                <w:color w:val="auto"/>
              </w:rPr>
            </w:pPr>
          </w:p>
        </w:tc>
        <w:tc>
          <w:tcPr>
            <w:tcW w:w="58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1000" w:type="dxa"/>
            <w:vAlign w:val="bottom"/>
            <w:shd w:val="clear" w:color="auto" w:fill="DCE2EF"/>
          </w:tcPr>
          <w:p>
            <w:pPr>
              <w:spacing w:after="0"/>
              <w:rPr>
                <w:sz w:val="20"/>
                <w:szCs w:val="20"/>
                <w:color w:val="auto"/>
              </w:rPr>
            </w:pPr>
          </w:p>
        </w:tc>
        <w:tc>
          <w:tcPr>
            <w:tcW w:w="560" w:type="dxa"/>
            <w:vAlign w:val="bottom"/>
            <w:shd w:val="clear" w:color="auto" w:fill="DCE2EF"/>
          </w:tcPr>
          <w:p>
            <w:pPr>
              <w:spacing w:after="0"/>
              <w:rPr>
                <w:sz w:val="20"/>
                <w:szCs w:val="20"/>
                <w:color w:val="auto"/>
              </w:rPr>
            </w:pPr>
          </w:p>
        </w:tc>
        <w:tc>
          <w:tcPr>
            <w:tcW w:w="130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20" w:type="dxa"/>
            <w:vAlign w:val="bottom"/>
            <w:gridSpan w:val="3"/>
          </w:tcPr>
          <w:p>
            <w:pPr>
              <w:ind w:left="60"/>
              <w:spacing w:after="0"/>
              <w:rPr>
                <w:sz w:val="20"/>
                <w:szCs w:val="20"/>
                <w:color w:val="auto"/>
              </w:rPr>
            </w:pPr>
            <w:r>
              <w:rPr>
                <w:rFonts w:ascii="Arial" w:cs="Arial" w:eastAsia="Arial" w:hAnsi="Arial"/>
                <w:sz w:val="16"/>
                <w:szCs w:val="16"/>
                <w:color w:val="auto"/>
              </w:rPr>
              <w:t>Basic</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62.7</w:t>
            </w: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5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Diluted</w:t>
            </w:r>
          </w:p>
        </w:tc>
        <w:tc>
          <w:tcPr>
            <w:tcW w:w="9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DCE2EF"/>
          </w:tcPr>
          <w:p>
            <w:pPr>
              <w:spacing w:after="0"/>
              <w:rPr>
                <w:sz w:val="24"/>
                <w:szCs w:val="24"/>
                <w:color w:val="auto"/>
              </w:rPr>
            </w:pP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3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20" w:type="dxa"/>
            <w:vAlign w:val="bottom"/>
            <w:gridSpan w:val="3"/>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0.580</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0.530</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-1374775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-1567815</wp:posOffset>
            </wp:positionV>
            <wp:extent cx="93980" cy="213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213995"/>
                    </a:xfrm>
                    <a:prstGeom prst="rect">
                      <a:avLst/>
                    </a:prstGeom>
                    <a:noFill/>
                  </pic:spPr>
                </pic:pic>
              </a:graphicData>
            </a:graphic>
          </wp:anchor>
        </w:drawing>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2082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r>
      <w:tr>
        <w:trPr>
          <w:trHeight w:val="34"/>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7200" w:type="dxa"/>
            <w:vAlign w:val="bottom"/>
            <w:tcBorders>
              <w:bottom w:val="single" w:sz="8" w:color="DCE2E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04"/>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66.2</w:t>
            </w:r>
          </w:p>
        </w:tc>
        <w:tc>
          <w:tcPr>
            <w:tcW w:w="11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32.3</w:t>
            </w:r>
          </w:p>
        </w:tc>
      </w:tr>
      <w:tr>
        <w:trPr>
          <w:trHeight w:val="256"/>
        </w:trPr>
        <w:tc>
          <w:tcPr>
            <w:tcW w:w="79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Additions to property, plant and equipment</w:t>
            </w:r>
          </w:p>
        </w:tc>
        <w:tc>
          <w:tcPr>
            <w:tcW w:w="10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DCE2EF"/>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91"/>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Purchase of businesses, net of cash acquired</w:t>
            </w: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(242.5)</w:t>
            </w:r>
          </w:p>
        </w:tc>
        <w:tc>
          <w:tcPr>
            <w:tcW w:w="1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7960" w:type="dxa"/>
            <w:vAlign w:val="bottom"/>
            <w:gridSpan w:val="3"/>
          </w:tcPr>
          <w:p>
            <w:pPr>
              <w:ind w:left="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79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(285.8)</w:t>
            </w:r>
          </w:p>
        </w:tc>
        <w:tc>
          <w:tcPr>
            <w:tcW w:w="1160" w:type="dxa"/>
            <w:vAlign w:val="bottom"/>
            <w:tcBorders>
              <w:bottom w:val="single" w:sz="8" w:color="DCE2EF"/>
            </w:tcBorders>
            <w:gridSpan w:val="2"/>
            <w:shd w:val="clear" w:color="auto" w:fill="DCE2E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(17.1)</w:t>
            </w:r>
          </w:p>
        </w:tc>
      </w:tr>
      <w:tr>
        <w:trPr>
          <w:trHeight w:val="242"/>
        </w:trPr>
        <w:tc>
          <w:tcPr>
            <w:tcW w:w="79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Proceeds from issuance of share-based compensation awards, net</w:t>
            </w:r>
          </w:p>
        </w:tc>
        <w:tc>
          <w:tcPr>
            <w:tcW w:w="10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DCE2EF"/>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91"/>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Repurchases of common stock, including excise taxes</w:t>
            </w: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7960" w:type="dxa"/>
            <w:vAlign w:val="bottom"/>
            <w:gridSpan w:val="3"/>
          </w:tcPr>
          <w:p>
            <w:pPr>
              <w:ind w:left="60"/>
              <w:spacing w:after="0"/>
              <w:rPr>
                <w:sz w:val="20"/>
                <w:szCs w:val="20"/>
                <w:color w:val="auto"/>
              </w:rPr>
            </w:pPr>
            <w:r>
              <w:rPr>
                <w:rFonts w:ascii="Arial" w:cs="Arial" w:eastAsia="Arial" w:hAnsi="Arial"/>
                <w:sz w:val="16"/>
                <w:szCs w:val="16"/>
                <w:color w:val="auto"/>
              </w:rPr>
              <w:t>Dividends paid</w:t>
            </w: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91"/>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Deferred financing costs paid</w:t>
            </w: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w:t>
            </w:r>
          </w:p>
        </w:tc>
      </w:tr>
      <w:tr>
        <w:trPr>
          <w:trHeight w:val="276"/>
        </w:trPr>
        <w:tc>
          <w:tcPr>
            <w:tcW w:w="7960" w:type="dxa"/>
            <w:vAlign w:val="bottom"/>
            <w:gridSpan w:val="3"/>
          </w:tcPr>
          <w:p>
            <w:pPr>
              <w:ind w:left="60"/>
              <w:spacing w:after="0"/>
              <w:rPr>
                <w:sz w:val="20"/>
                <w:szCs w:val="20"/>
                <w:color w:val="auto"/>
              </w:rPr>
            </w:pPr>
            <w:r>
              <w:rPr>
                <w:rFonts w:ascii="Arial" w:cs="Arial" w:eastAsia="Arial" w:hAnsi="Arial"/>
                <w:sz w:val="16"/>
                <w:szCs w:val="16"/>
                <w:color w:val="auto"/>
              </w:rPr>
              <w:t>Borrowings from debt</w:t>
            </w: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722.5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91"/>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borrowings from debt</w:t>
            </w:r>
          </w:p>
        </w:tc>
        <w:tc>
          <w:tcPr>
            <w:tcW w:w="100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(488.2)</w:t>
            </w:r>
          </w:p>
        </w:tc>
        <w:tc>
          <w:tcPr>
            <w:tcW w:w="1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(327.0)</w:t>
            </w:r>
          </w:p>
        </w:tc>
      </w:tr>
      <w:tr>
        <w:trPr>
          <w:trHeight w:val="276"/>
        </w:trPr>
        <w:tc>
          <w:tcPr>
            <w:tcW w:w="7960" w:type="dxa"/>
            <w:vAlign w:val="bottom"/>
            <w:gridSpan w:val="3"/>
          </w:tcPr>
          <w:p>
            <w:pPr>
              <w:ind w:left="60"/>
              <w:spacing w:after="0"/>
              <w:rPr>
                <w:sz w:val="20"/>
                <w:szCs w:val="20"/>
                <w:color w:val="auto"/>
              </w:rPr>
            </w:pPr>
            <w:r>
              <w:rPr>
                <w:rFonts w:ascii="Arial" w:cs="Arial" w:eastAsia="Arial" w:hAnsi="Arial"/>
                <w:sz w:val="16"/>
                <w:szCs w:val="16"/>
                <w:color w:val="auto"/>
              </w:rPr>
              <w:t>Changes in book cash overdrafts</w:t>
            </w: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85"/>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finance lease obligations</w:t>
            </w:r>
          </w:p>
        </w:tc>
        <w:tc>
          <w:tcPr>
            <w:tcW w:w="100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104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796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215.1</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9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1000" w:type="dxa"/>
            <w:vAlign w:val="bottom"/>
            <w:shd w:val="clear" w:color="auto" w:fill="DCE2EF"/>
          </w:tcPr>
          <w:p>
            <w:pPr>
              <w:spacing w:after="0"/>
              <w:rPr>
                <w:sz w:val="22"/>
                <w:szCs w:val="22"/>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-2588260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-2562860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-2767965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-1842770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-1816735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2048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r>
      <w:tr>
        <w:trPr>
          <w:trHeight w:val="34"/>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726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04"/>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128.2</w:t>
            </w:r>
          </w:p>
        </w:tc>
        <w:tc>
          <w:tcPr>
            <w:tcW w:w="1120" w:type="dxa"/>
            <w:vAlign w:val="bottom"/>
            <w:gridSpan w:val="2"/>
            <w:shd w:val="clear" w:color="auto" w:fill="DCE2E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(73.9)</w:t>
            </w:r>
          </w:p>
        </w:tc>
      </w:tr>
      <w:tr>
        <w:trPr>
          <w:trHeight w:val="242"/>
        </w:trPr>
        <w:tc>
          <w:tcPr>
            <w:tcW w:w="802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Additions to property, plant and equipment</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DCE2EF"/>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91"/>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Purchase of businesses, net of cash acquired</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shd w:val="clear" w:color="auto" w:fill="DCE2EF"/>
          </w:tcPr>
          <w:p>
            <w:pPr>
              <w:spacing w:after="0"/>
              <w:rPr>
                <w:sz w:val="24"/>
                <w:szCs w:val="24"/>
                <w:color w:val="auto"/>
              </w:rPr>
            </w:pPr>
          </w:p>
        </w:tc>
        <w:tc>
          <w:tcPr>
            <w:tcW w:w="10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w:t>
            </w:r>
          </w:p>
        </w:tc>
      </w:tr>
      <w:tr>
        <w:trPr>
          <w:trHeight w:val="283"/>
        </w:trPr>
        <w:tc>
          <w:tcPr>
            <w:tcW w:w="8020" w:type="dxa"/>
            <w:vAlign w:val="bottom"/>
            <w:gridSpan w:val="3"/>
          </w:tcPr>
          <w:p>
            <w:pPr>
              <w:ind w:left="6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310"/>
        </w:trPr>
        <w:tc>
          <w:tcPr>
            <w:tcW w:w="80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used in investing activities</w:t>
            </w:r>
          </w:p>
        </w:tc>
        <w:tc>
          <w:tcPr>
            <w:tcW w:w="960" w:type="dxa"/>
            <w:vAlign w:val="bottom"/>
            <w:tcBorders>
              <w:bottom w:val="single" w:sz="8" w:color="DCE2EF"/>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(298.4)</w:t>
            </w:r>
          </w:p>
        </w:tc>
        <w:tc>
          <w:tcPr>
            <w:tcW w:w="1120" w:type="dxa"/>
            <w:vAlign w:val="bottom"/>
            <w:tcBorders>
              <w:bottom w:val="single" w:sz="8" w:color="DCE2EF"/>
            </w:tcBorders>
            <w:gridSpan w:val="2"/>
            <w:shd w:val="clear" w:color="auto" w:fill="DCE2E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(31.6)</w:t>
            </w:r>
          </w:p>
        </w:tc>
      </w:tr>
      <w:tr>
        <w:trPr>
          <w:trHeight w:val="242"/>
        </w:trPr>
        <w:tc>
          <w:tcPr>
            <w:tcW w:w="802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Taxes withheld from issuance of share-based compensation awards, net</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DCE2EF"/>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91"/>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Repurchases of common stock, including excise taxes</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DCE2EF"/>
          </w:tcPr>
          <w:p>
            <w:pPr>
              <w:spacing w:after="0"/>
              <w:rPr>
                <w:sz w:val="24"/>
                <w:szCs w:val="24"/>
                <w:color w:val="auto"/>
              </w:rPr>
            </w:pPr>
          </w:p>
        </w:tc>
        <w:tc>
          <w:tcPr>
            <w:tcW w:w="10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r>
      <w:tr>
        <w:trPr>
          <w:trHeight w:val="276"/>
        </w:trPr>
        <w:tc>
          <w:tcPr>
            <w:tcW w:w="8020" w:type="dxa"/>
            <w:vAlign w:val="bottom"/>
            <w:gridSpan w:val="3"/>
          </w:tcPr>
          <w:p>
            <w:pPr>
              <w:ind w:left="60"/>
              <w:spacing w:after="0"/>
              <w:rPr>
                <w:sz w:val="20"/>
                <w:szCs w:val="20"/>
                <w:color w:val="auto"/>
              </w:rPr>
            </w:pPr>
            <w:r>
              <w:rPr>
                <w:rFonts w:ascii="Arial" w:cs="Arial" w:eastAsia="Arial" w:hAnsi="Arial"/>
                <w:sz w:val="16"/>
                <w:szCs w:val="16"/>
                <w:color w:val="auto"/>
              </w:rPr>
              <w:t>Dividends paid</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91"/>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Deferred financing costs paid</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CE2EF"/>
          </w:tcPr>
          <w:p>
            <w:pPr>
              <w:spacing w:after="0"/>
              <w:rPr>
                <w:sz w:val="24"/>
                <w:szCs w:val="24"/>
                <w:color w:val="auto"/>
              </w:rPr>
            </w:pPr>
          </w:p>
        </w:tc>
        <w:tc>
          <w:tcPr>
            <w:tcW w:w="10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w:t>
            </w:r>
          </w:p>
        </w:tc>
      </w:tr>
      <w:tr>
        <w:trPr>
          <w:trHeight w:val="276"/>
        </w:trPr>
        <w:tc>
          <w:tcPr>
            <w:tcW w:w="8020" w:type="dxa"/>
            <w:vAlign w:val="bottom"/>
            <w:gridSpan w:val="3"/>
          </w:tcPr>
          <w:p>
            <w:pPr>
              <w:ind w:left="60"/>
              <w:spacing w:after="0"/>
              <w:rPr>
                <w:sz w:val="20"/>
                <w:szCs w:val="20"/>
                <w:color w:val="auto"/>
              </w:rPr>
            </w:pPr>
            <w:r>
              <w:rPr>
                <w:rFonts w:ascii="Arial" w:cs="Arial" w:eastAsia="Arial" w:hAnsi="Arial"/>
                <w:sz w:val="16"/>
                <w:szCs w:val="16"/>
                <w:color w:val="auto"/>
              </w:rPr>
              <w:t>Borrowings from debt</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1,077.0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918.8</w:t>
            </w:r>
          </w:p>
        </w:tc>
      </w:tr>
      <w:tr>
        <w:trPr>
          <w:trHeight w:val="291"/>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borrowings from debt</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(779.2)</w:t>
            </w:r>
          </w:p>
        </w:tc>
        <w:tc>
          <w:tcPr>
            <w:tcW w:w="100" w:type="dxa"/>
            <w:vAlign w:val="bottom"/>
            <w:shd w:val="clear" w:color="auto" w:fill="DCE2EF"/>
          </w:tcPr>
          <w:p>
            <w:pPr>
              <w:spacing w:after="0"/>
              <w:rPr>
                <w:sz w:val="24"/>
                <w:szCs w:val="24"/>
                <w:color w:val="auto"/>
              </w:rPr>
            </w:pPr>
          </w:p>
        </w:tc>
        <w:tc>
          <w:tcPr>
            <w:tcW w:w="10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(700.0)</w:t>
            </w:r>
          </w:p>
        </w:tc>
      </w:tr>
      <w:tr>
        <w:trPr>
          <w:trHeight w:val="276"/>
        </w:trPr>
        <w:tc>
          <w:tcPr>
            <w:tcW w:w="8020" w:type="dxa"/>
            <w:vAlign w:val="bottom"/>
            <w:gridSpan w:val="3"/>
          </w:tcPr>
          <w:p>
            <w:pPr>
              <w:ind w:left="60"/>
              <w:spacing w:after="0"/>
              <w:rPr>
                <w:sz w:val="20"/>
                <w:szCs w:val="20"/>
                <w:color w:val="auto"/>
              </w:rPr>
            </w:pPr>
            <w:r>
              <w:rPr>
                <w:rFonts w:ascii="Arial" w:cs="Arial" w:eastAsia="Arial" w:hAnsi="Arial"/>
                <w:sz w:val="16"/>
                <w:szCs w:val="16"/>
                <w:color w:val="auto"/>
              </w:rPr>
              <w:t>Changes in book cash overdrafts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85"/>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finance lease obligations</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CE2EF"/>
          </w:tcPr>
          <w:p>
            <w:pPr>
              <w:spacing w:after="0"/>
              <w:rPr>
                <w:sz w:val="24"/>
                <w:szCs w:val="24"/>
                <w:color w:val="auto"/>
              </w:rPr>
            </w:pPr>
          </w:p>
        </w:tc>
        <w:tc>
          <w:tcPr>
            <w:tcW w:w="10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802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cash provided by financing activities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159.9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0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60" w:type="dxa"/>
            <w:vAlign w:val="bottom"/>
            <w:shd w:val="clear" w:color="auto" w:fill="DCE2EF"/>
          </w:tcPr>
          <w:p>
            <w:pPr>
              <w:spacing w:after="0"/>
              <w:rPr>
                <w:sz w:val="21"/>
                <w:szCs w:val="21"/>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21"/>
                <w:szCs w:val="21"/>
                <w:color w:val="auto"/>
              </w:rPr>
            </w:pPr>
          </w:p>
        </w:tc>
        <w:tc>
          <w:tcPr>
            <w:tcW w:w="1020" w:type="dxa"/>
            <w:vAlign w:val="bottom"/>
            <w:shd w:val="clear" w:color="auto" w:fill="DCE2EF"/>
          </w:tcPr>
          <w:p>
            <w:pPr>
              <w:spacing w:after="0"/>
              <w:rPr>
                <w:sz w:val="21"/>
                <w:szCs w:val="21"/>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-2571115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-2545080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-2750820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-1833880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-1807845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rPr>
              <w:t>April 30, 2026</w:t>
            </w: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October 31, 2025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7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94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114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94.9</w:t>
            </w:r>
          </w:p>
        </w:tc>
        <w:tc>
          <w:tcPr>
            <w:tcW w:w="1260" w:type="dxa"/>
            <w:vAlign w:val="bottom"/>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Trade accounts receivable</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1,517.2</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1,471.1</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Costs incurred in excess of amounts billed</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174.7</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Prepaid expenses</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6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Other current assets</w:t>
            </w:r>
          </w:p>
        </w:tc>
        <w:tc>
          <w:tcPr>
            <w:tcW w:w="94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Borders>
              <w:bottom w:val="single" w:sz="8" w:color="DCE2EF"/>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764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9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2,034.0</w:t>
            </w:r>
          </w:p>
        </w:tc>
        <w:tc>
          <w:tcPr>
            <w:tcW w:w="1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1,938.7</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940" w:type="dxa"/>
            <w:vAlign w:val="bottom"/>
            <w:tcBorders>
              <w:bottom w:val="single" w:sz="8" w:color="DCE2EF"/>
            </w:tcBorders>
            <w:shd w:val="clear" w:color="auto" w:fill="DCE2EF"/>
          </w:tcPr>
          <w:p>
            <w:pPr>
              <w:spacing w:after="0"/>
              <w:rPr>
                <w:sz w:val="21"/>
                <w:szCs w:val="21"/>
                <w:color w:val="auto"/>
              </w:rPr>
            </w:pPr>
          </w:p>
        </w:tc>
        <w:tc>
          <w:tcPr>
            <w:tcW w:w="1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DCE2EF"/>
            </w:tcBorders>
            <w:shd w:val="clear" w:color="auto" w:fill="DCE2EF"/>
          </w:tcPr>
          <w:p>
            <w:pPr>
              <w:spacing w:after="0"/>
              <w:rPr>
                <w:sz w:val="21"/>
                <w:szCs w:val="21"/>
                <w:color w:val="auto"/>
              </w:rPr>
            </w:pPr>
          </w:p>
        </w:tc>
        <w:tc>
          <w:tcPr>
            <w:tcW w:w="11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76"/>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209.7</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91"/>
        </w:trPr>
        <w:tc>
          <w:tcPr>
            <w:tcW w:w="77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76"/>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91"/>
        </w:trPr>
        <w:tc>
          <w:tcPr>
            <w:tcW w:w="77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2,738.4</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2,591.1</w:t>
            </w:r>
          </w:p>
        </w:tc>
        <w:tc>
          <w:tcPr>
            <w:tcW w:w="0" w:type="dxa"/>
            <w:vAlign w:val="bottom"/>
          </w:tcPr>
          <w:p>
            <w:pPr>
              <w:spacing w:after="0"/>
              <w:rPr>
                <w:sz w:val="1"/>
                <w:szCs w:val="1"/>
                <w:color w:val="auto"/>
              </w:rPr>
            </w:pPr>
          </w:p>
        </w:tc>
      </w:tr>
      <w:tr>
        <w:trPr>
          <w:trHeight w:val="282"/>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310"/>
        </w:trPr>
        <w:tc>
          <w:tcPr>
            <w:tcW w:w="77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DCE2EF"/>
            </w:tcBorders>
            <w:shd w:val="clear" w:color="auto" w:fill="DCE2EF"/>
          </w:tcPr>
          <w:p>
            <w:pPr>
              <w:jc w:val="center"/>
              <w:ind w:left="65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5,647.0</w:t>
            </w:r>
          </w:p>
        </w:tc>
        <w:tc>
          <w:tcPr>
            <w:tcW w:w="1260" w:type="dxa"/>
            <w:vAlign w:val="bottom"/>
            <w:tcBorders>
              <w:bottom w:val="single" w:sz="8" w:color="DCE2EF"/>
            </w:tcBorders>
            <w:gridSpan w:val="2"/>
            <w:shd w:val="clear" w:color="auto" w:fill="DCE2EF"/>
          </w:tcPr>
          <w:p>
            <w:pPr>
              <w:jc w:val="center"/>
              <w:ind w:left="5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5,269.5</w:t>
            </w:r>
          </w:p>
        </w:tc>
        <w:tc>
          <w:tcPr>
            <w:tcW w:w="0" w:type="dxa"/>
            <w:vAlign w:val="bottom"/>
          </w:tcPr>
          <w:p>
            <w:pPr>
              <w:spacing w:after="0"/>
              <w:rPr>
                <w:sz w:val="1"/>
                <w:szCs w:val="1"/>
                <w:color w:val="auto"/>
              </w:rPr>
            </w:pPr>
          </w:p>
        </w:tc>
      </w:tr>
      <w:tr>
        <w:trPr>
          <w:trHeight w:val="246"/>
        </w:trPr>
        <w:tc>
          <w:tcPr>
            <w:tcW w:w="770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9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DCE2EF"/>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7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Current portion of long-term debt, net</w:t>
            </w:r>
          </w:p>
        </w:tc>
        <w:tc>
          <w:tcPr>
            <w:tcW w:w="9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Trade accounts payable</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416.5</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401.2</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Accrued taxes—other than income</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Insurance claims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206.8</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64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Current portion of lease liabilities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Other accrued liabilities</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w:t>
            </w: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58"/>
        </w:trPr>
        <w:tc>
          <w:tcPr>
            <w:tcW w:w="60" w:type="dxa"/>
            <w:vAlign w:val="bottom"/>
            <w:tcBorders>
              <w:bottom w:val="single" w:sz="8" w:color="DCE2EF"/>
            </w:tcBorders>
            <w:shd w:val="clear" w:color="auto" w:fill="DCE2EF"/>
          </w:tcPr>
          <w:p>
            <w:pPr>
              <w:spacing w:after="0"/>
              <w:rPr>
                <w:sz w:val="22"/>
                <w:szCs w:val="22"/>
                <w:color w:val="auto"/>
              </w:rPr>
            </w:pPr>
          </w:p>
        </w:tc>
        <w:tc>
          <w:tcPr>
            <w:tcW w:w="76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current liabilities</w:t>
            </w:r>
          </w:p>
        </w:tc>
        <w:tc>
          <w:tcPr>
            <w:tcW w:w="940" w:type="dxa"/>
            <w:vAlign w:val="bottom"/>
            <w:tcBorders>
              <w:bottom w:val="single" w:sz="8" w:color="auto"/>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1,391.6</w:t>
            </w:r>
          </w:p>
        </w:tc>
        <w:tc>
          <w:tcPr>
            <w:tcW w:w="120" w:type="dxa"/>
            <w:vAlign w:val="bottom"/>
            <w:tcBorders>
              <w:bottom w:val="single" w:sz="8" w:color="DCE2EF"/>
            </w:tcBorders>
            <w:shd w:val="clear" w:color="auto" w:fill="DCE2EF"/>
          </w:tcPr>
          <w:p>
            <w:pPr>
              <w:spacing w:after="0"/>
              <w:rPr>
                <w:sz w:val="22"/>
                <w:szCs w:val="22"/>
                <w:color w:val="auto"/>
              </w:rPr>
            </w:pPr>
          </w:p>
        </w:tc>
        <w:tc>
          <w:tcPr>
            <w:tcW w:w="114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1,305.7</w:t>
            </w:r>
          </w:p>
        </w:tc>
        <w:tc>
          <w:tcPr>
            <w:tcW w:w="0" w:type="dxa"/>
            <w:vAlign w:val="bottom"/>
          </w:tcPr>
          <w:p>
            <w:pPr>
              <w:spacing w:after="0"/>
              <w:rPr>
                <w:sz w:val="1"/>
                <w:szCs w:val="1"/>
                <w:color w:val="auto"/>
              </w:rPr>
            </w:pPr>
          </w:p>
        </w:tc>
      </w:tr>
      <w:tr>
        <w:trPr>
          <w:trHeight w:val="241"/>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Long-term debt, net</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1,821.6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1,537.1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7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76"/>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91"/>
        </w:trPr>
        <w:tc>
          <w:tcPr>
            <w:tcW w:w="77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9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472.2</w:t>
            </w:r>
          </w:p>
        </w:tc>
        <w:tc>
          <w:tcPr>
            <w:tcW w:w="12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459.3</w:t>
            </w:r>
          </w:p>
        </w:tc>
        <w:tc>
          <w:tcPr>
            <w:tcW w:w="0" w:type="dxa"/>
            <w:vAlign w:val="bottom"/>
          </w:tcPr>
          <w:p>
            <w:pPr>
              <w:spacing w:after="0"/>
              <w:rPr>
                <w:sz w:val="1"/>
                <w:szCs w:val="1"/>
                <w:color w:val="auto"/>
              </w:rPr>
            </w:pPr>
          </w:p>
        </w:tc>
      </w:tr>
      <w:tr>
        <w:trPr>
          <w:trHeight w:val="276"/>
        </w:trPr>
        <w:tc>
          <w:tcPr>
            <w:tcW w:w="770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90"/>
        </w:trPr>
        <w:tc>
          <w:tcPr>
            <w:tcW w:w="77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94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DCE2EF"/>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640" w:type="dxa"/>
            <w:vAlign w:val="bottom"/>
            <w:gridSpan w:val="2"/>
          </w:tcPr>
          <w:p>
            <w:pPr>
              <w:ind w:left="24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3,898.7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3,483.8</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 w:type="dxa"/>
            <w:vAlign w:val="bottom"/>
            <w:tcBorders>
              <w:bottom w:val="single" w:sz="8" w:color="DCE2EF"/>
            </w:tcBorders>
            <w:shd w:val="clear" w:color="auto" w:fill="DCE2EF"/>
          </w:tcPr>
          <w:p>
            <w:pPr>
              <w:spacing w:after="0"/>
              <w:rPr>
                <w:sz w:val="24"/>
                <w:szCs w:val="24"/>
                <w:color w:val="auto"/>
              </w:rPr>
            </w:pPr>
          </w:p>
        </w:tc>
        <w:tc>
          <w:tcPr>
            <w:tcW w:w="76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stockholders’ equity</w:t>
            </w:r>
          </w:p>
        </w:tc>
        <w:tc>
          <w:tcPr>
            <w:tcW w:w="94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1,748.4</w:t>
            </w:r>
          </w:p>
        </w:tc>
        <w:tc>
          <w:tcPr>
            <w:tcW w:w="120" w:type="dxa"/>
            <w:vAlign w:val="bottom"/>
            <w:tcBorders>
              <w:bottom w:val="single" w:sz="8" w:color="DCE2EF"/>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1,785.6</w:t>
            </w:r>
          </w:p>
        </w:tc>
        <w:tc>
          <w:tcPr>
            <w:tcW w:w="0" w:type="dxa"/>
            <w:vAlign w:val="bottom"/>
          </w:tcPr>
          <w:p>
            <w:pPr>
              <w:spacing w:after="0"/>
              <w:rPr>
                <w:sz w:val="1"/>
                <w:szCs w:val="1"/>
                <w:color w:val="auto"/>
              </w:rPr>
            </w:pPr>
          </w:p>
        </w:tc>
      </w:tr>
      <w:tr>
        <w:trPr>
          <w:trHeight w:val="235"/>
        </w:trPr>
        <w:tc>
          <w:tcPr>
            <w:tcW w:w="770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940" w:type="dxa"/>
            <w:vAlign w:val="bottom"/>
          </w:tcPr>
          <w:p>
            <w:pPr>
              <w:jc w:val="center"/>
              <w:ind w:left="65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5,647.0</w:t>
            </w:r>
          </w:p>
        </w:tc>
        <w:tc>
          <w:tcPr>
            <w:tcW w:w="1260" w:type="dxa"/>
            <w:vAlign w:val="bottom"/>
            <w:gridSpan w:val="2"/>
          </w:tcPr>
          <w:p>
            <w:pPr>
              <w:jc w:val="center"/>
              <w:ind w:left="5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5,269.5</w:t>
            </w:r>
          </w:p>
        </w:tc>
        <w:tc>
          <w:tcPr>
            <w:tcW w:w="0" w:type="dxa"/>
            <w:vAlign w:val="bottom"/>
          </w:tcPr>
          <w:p>
            <w:pPr>
              <w:spacing w:after="0"/>
              <w:rPr>
                <w:sz w:val="1"/>
                <w:szCs w:val="1"/>
                <w:color w:val="auto"/>
              </w:rPr>
            </w:pPr>
          </w:p>
        </w:tc>
      </w:tr>
      <w:tr>
        <w:trPr>
          <w:trHeight w:val="29"/>
        </w:trPr>
        <w:tc>
          <w:tcPr>
            <w:tcW w:w="7700" w:type="dxa"/>
            <w:vAlign w:val="bottom"/>
            <w:gridSpan w:val="3"/>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-5274310</wp:posOffset>
            </wp:positionV>
            <wp:extent cx="6858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-3830955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-3805555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-1836420</wp:posOffset>
            </wp:positionV>
            <wp:extent cx="6858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-1656715</wp:posOffset>
            </wp:positionV>
            <wp:extent cx="6858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-576580</wp:posOffset>
            </wp:positionV>
            <wp:extent cx="6858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-216535</wp:posOffset>
            </wp:positionV>
            <wp:extent cx="6858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 w:name="page14"/>
    <w:bookmarkEnd w:id="13"/>
    <w:p>
      <w:pPr>
        <w:ind w:right="4940"/>
        <w:spacing w:after="0" w:line="297"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9"/>
                <w:szCs w:val="19"/>
                <w:color w:val="auto"/>
              </w:rPr>
            </w:pPr>
          </w:p>
        </w:tc>
        <w:tc>
          <w:tcPr>
            <w:tcW w:w="13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Pr>
          <w:p>
            <w:pPr>
              <w:spacing w:after="0"/>
              <w:rPr>
                <w:sz w:val="4"/>
                <w:szCs w:val="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3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9"/>
              <w:spacing w:after="0" w:line="176" w:lineRule="exact"/>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60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8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3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1,015.8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1,015.5</w:t>
            </w: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463.8</w:t>
            </w:r>
          </w:p>
        </w:tc>
        <w:tc>
          <w:tcPr>
            <w:tcW w:w="1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398.1</w:t>
            </w:r>
          </w:p>
        </w:tc>
        <w:tc>
          <w:tcPr>
            <w:tcW w:w="1480" w:type="dxa"/>
            <w:vAlign w:val="bottom"/>
            <w:gridSpan w:val="2"/>
            <w:shd w:val="clear" w:color="auto" w:fill="DCE2EF"/>
          </w:tcPr>
          <w:p>
            <w:pPr>
              <w:ind w:left="840"/>
              <w:spacing w:after="0"/>
              <w:rPr>
                <w:sz w:val="20"/>
                <w:szCs w:val="20"/>
                <w:color w:val="auto"/>
              </w:rPr>
            </w:pPr>
            <w:r>
              <w:rPr>
                <w:rFonts w:ascii="Arial" w:cs="Arial" w:eastAsia="Arial" w:hAnsi="Arial"/>
                <w:sz w:val="16"/>
                <w:szCs w:val="16"/>
                <w:color w:val="auto"/>
              </w:rPr>
              <w:t>16.5</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310.8</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260.1</w:t>
            </w:r>
          </w:p>
        </w:tc>
        <w:tc>
          <w:tcPr>
            <w:tcW w:w="1480" w:type="dxa"/>
            <w:vAlign w:val="bottom"/>
            <w:gridSpan w:val="2"/>
          </w:tcPr>
          <w:p>
            <w:pPr>
              <w:ind w:left="840"/>
              <w:spacing w:after="0"/>
              <w:rPr>
                <w:sz w:val="20"/>
                <w:szCs w:val="20"/>
                <w:color w:val="auto"/>
              </w:rPr>
            </w:pPr>
            <w:r>
              <w:rPr>
                <w:rFonts w:ascii="Arial" w:cs="Arial" w:eastAsia="Arial" w:hAnsi="Arial"/>
                <w:sz w:val="16"/>
                <w:szCs w:val="16"/>
                <w:color w:val="auto"/>
              </w:rPr>
              <w:t>19.5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232.2</w:t>
            </w:r>
          </w:p>
        </w:tc>
        <w:tc>
          <w:tcPr>
            <w:tcW w:w="1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227.8</w:t>
            </w:r>
          </w:p>
        </w:tc>
        <w:tc>
          <w:tcPr>
            <w:tcW w:w="14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63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120" w:type="dxa"/>
            <w:vAlign w:val="bottom"/>
            <w:tcBorders>
              <w:bottom w:val="single" w:sz="8" w:color="DCE2E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w:t>
            </w:r>
          </w:p>
        </w:tc>
        <w:tc>
          <w:tcPr>
            <w:tcW w:w="1480" w:type="dxa"/>
            <w:vAlign w:val="bottom"/>
            <w:tcBorders>
              <w:bottom w:val="single" w:sz="8" w:color="DCE2EF"/>
            </w:tcBorders>
            <w:gridSpan w:val="2"/>
          </w:tcPr>
          <w:p>
            <w:pPr>
              <w:ind w:left="840"/>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2,290.0</w:t>
            </w:r>
          </w:p>
        </w:tc>
        <w:tc>
          <w:tcPr>
            <w:tcW w:w="108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2,111.7</w:t>
            </w:r>
          </w:p>
        </w:tc>
        <w:tc>
          <w:tcPr>
            <w:tcW w:w="14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3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DCE2E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DCE2EF"/>
            </w:tcBorders>
          </w:tcPr>
          <w:p>
            <w:pPr>
              <w:spacing w:after="0"/>
              <w:rPr>
                <w:sz w:val="22"/>
                <w:szCs w:val="22"/>
                <w:color w:val="auto"/>
              </w:rPr>
            </w:pPr>
          </w:p>
        </w:tc>
        <w:tc>
          <w:tcPr>
            <w:tcW w:w="1380" w:type="dxa"/>
            <w:vAlign w:val="bottom"/>
            <w:tcBorders>
              <w:top w:val="single" w:sz="8" w:color="DCE2EF"/>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76.7</w:t>
            </w:r>
          </w:p>
        </w:tc>
        <w:tc>
          <w:tcPr>
            <w:tcW w:w="1080" w:type="dxa"/>
            <w:vAlign w:val="bottom"/>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83.0</w:t>
            </w:r>
          </w:p>
        </w:tc>
        <w:tc>
          <w:tcPr>
            <w:tcW w:w="1480" w:type="dxa"/>
            <w:vAlign w:val="bottom"/>
            <w:gridSpan w:val="2"/>
            <w:shd w:val="clear" w:color="auto" w:fill="DCE2EF"/>
          </w:tcPr>
          <w:p>
            <w:pPr>
              <w:ind w:left="84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16.5</w:t>
            </w:r>
          </w:p>
        </w:tc>
        <w:tc>
          <w:tcPr>
            <w:tcW w:w="1480" w:type="dxa"/>
            <w:vAlign w:val="bottom"/>
            <w:gridSpan w:val="2"/>
            <w:shd w:val="clear" w:color="auto" w:fill="DCE2EF"/>
          </w:tcPr>
          <w:p>
            <w:pPr>
              <w:ind w:left="840"/>
              <w:spacing w:after="0"/>
              <w:rPr>
                <w:sz w:val="20"/>
                <w:szCs w:val="20"/>
                <w:color w:val="auto"/>
              </w:rPr>
            </w:pPr>
            <w:r>
              <w:rPr>
                <w:rFonts w:ascii="Arial" w:cs="Arial" w:eastAsia="Arial" w:hAnsi="Arial"/>
                <w:sz w:val="16"/>
                <w:szCs w:val="16"/>
                <w:color w:val="auto"/>
              </w:rPr>
              <w:t>(0.9)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w:t>
            </w:r>
          </w:p>
        </w:tc>
        <w:tc>
          <w:tcPr>
            <w:tcW w:w="1480" w:type="dxa"/>
            <w:vAlign w:val="bottom"/>
            <w:gridSpan w:val="2"/>
          </w:tcPr>
          <w:p>
            <w:pPr>
              <w:ind w:left="840"/>
              <w:spacing w:after="0"/>
              <w:rPr>
                <w:sz w:val="20"/>
                <w:szCs w:val="20"/>
                <w:color w:val="auto"/>
              </w:rPr>
            </w:pPr>
            <w:r>
              <w:rPr>
                <w:rFonts w:ascii="Arial" w:cs="Arial" w:eastAsia="Arial" w:hAnsi="Arial"/>
                <w:sz w:val="16"/>
                <w:szCs w:val="16"/>
                <w:color w:val="auto"/>
              </w:rPr>
              <w:t>18.8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DCE2EF"/>
          </w:tcPr>
          <w:p>
            <w:pPr>
              <w:spacing w:after="0"/>
              <w:rPr>
                <w:sz w:val="24"/>
                <w:szCs w:val="24"/>
                <w:color w:val="auto"/>
              </w:rPr>
            </w:pP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1480" w:type="dxa"/>
            <w:vAlign w:val="bottom"/>
            <w:gridSpan w:val="2"/>
            <w:shd w:val="clear" w:color="auto" w:fill="DCE2EF"/>
          </w:tcPr>
          <w:p>
            <w:pPr>
              <w:ind w:left="840"/>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Segment operating profit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166.9</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166.6</w:t>
            </w:r>
          </w:p>
        </w:tc>
        <w:tc>
          <w:tcPr>
            <w:tcW w:w="168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91"/>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i w:val="1"/>
                <w:iCs w:val="1"/>
                <w:color w:val="auto"/>
              </w:rPr>
              <w:t>Segment operating margin</w:t>
            </w: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i w:val="1"/>
                <w:iCs w:val="1"/>
                <w:color w:val="auto"/>
              </w:rPr>
              <w:t>7.3 %</w:t>
            </w:r>
          </w:p>
        </w:tc>
        <w:tc>
          <w:tcPr>
            <w:tcW w:w="1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i w:val="1"/>
                <w:iCs w:val="1"/>
                <w:color w:val="auto"/>
              </w:rPr>
              <w:t>7.9 %</w:t>
            </w:r>
          </w:p>
        </w:tc>
        <w:tc>
          <w:tcPr>
            <w:tcW w:w="100" w:type="dxa"/>
            <w:vAlign w:val="bottom"/>
            <w:shd w:val="clear" w:color="auto" w:fill="DCE2EF"/>
          </w:tcPr>
          <w:p>
            <w:pPr>
              <w:spacing w:after="0"/>
              <w:rPr>
                <w:sz w:val="24"/>
                <w:szCs w:val="24"/>
                <w:color w:val="auto"/>
              </w:rPr>
            </w:pPr>
          </w:p>
        </w:tc>
        <w:tc>
          <w:tcPr>
            <w:tcW w:w="138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8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96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38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80" w:type="dxa"/>
            <w:vAlign w:val="bottom"/>
            <w:shd w:val="clear" w:color="auto" w:fill="DCE2EF"/>
          </w:tcPr>
          <w:p>
            <w:pPr>
              <w:spacing w:after="0"/>
              <w:rPr>
                <w:sz w:val="20"/>
                <w:szCs w:val="20"/>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0"/>
                <w:szCs w:val="20"/>
                <w:color w:val="auto"/>
              </w:rPr>
            </w:pPr>
          </w:p>
        </w:tc>
        <w:tc>
          <w:tcPr>
            <w:tcW w:w="96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1480" w:type="dxa"/>
            <w:vAlign w:val="bottom"/>
            <w:gridSpan w:val="2"/>
            <w:shd w:val="clear" w:color="auto" w:fill="DCE2EF"/>
          </w:tcPr>
          <w:p>
            <w:pPr>
              <w:ind w:left="840"/>
              <w:spacing w:after="0"/>
              <w:rPr>
                <w:sz w:val="20"/>
                <w:szCs w:val="20"/>
                <w:color w:val="auto"/>
              </w:rPr>
            </w:pPr>
            <w:r>
              <w:rPr>
                <w:rFonts w:ascii="Arial" w:cs="Arial" w:eastAsia="Arial" w:hAnsi="Arial"/>
                <w:sz w:val="16"/>
                <w:szCs w:val="16"/>
                <w:color w:val="auto"/>
              </w:rPr>
              <w:t>28.6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 in</w:t>
            </w:r>
          </w:p>
        </w:tc>
        <w:tc>
          <w:tcPr>
            <w:tcW w:w="98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Arial" w:cs="Arial" w:eastAsia="Arial" w:hAnsi="Arial"/>
                <w:sz w:val="16"/>
                <w:szCs w:val="16"/>
                <w:color w:val="auto"/>
              </w:rPr>
              <w:t>33.6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8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DCE2EF"/>
            </w:tcBorders>
            <w:shd w:val="clear" w:color="auto" w:fill="DCE2EF"/>
          </w:tcPr>
          <w:p>
            <w:pPr>
              <w:spacing w:after="0"/>
              <w:rPr>
                <w:sz w:val="21"/>
                <w:szCs w:val="21"/>
                <w:color w:val="auto"/>
              </w:rPr>
            </w:pPr>
          </w:p>
        </w:tc>
        <w:tc>
          <w:tcPr>
            <w:tcW w:w="96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82.3</w:t>
            </w:r>
          </w:p>
        </w:tc>
        <w:tc>
          <w:tcPr>
            <w:tcW w:w="1680" w:type="dxa"/>
            <w:vAlign w:val="bottom"/>
            <w:tcBorders>
              <w:bottom w:val="single" w:sz="8" w:color="DCE2EF"/>
            </w:tcBorders>
            <w:gridSpan w:val="3"/>
            <w:shd w:val="clear" w:color="auto" w:fill="DCE2E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76"/>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480" w:type="dxa"/>
            <w:vAlign w:val="bottom"/>
            <w:gridSpan w:val="2"/>
          </w:tcPr>
          <w:p>
            <w:pPr>
              <w:ind w:left="840"/>
              <w:spacing w:after="0"/>
              <w:rPr>
                <w:sz w:val="20"/>
                <w:szCs w:val="20"/>
                <w:color w:val="auto"/>
              </w:rPr>
            </w:pPr>
            <w:r>
              <w:rPr>
                <w:rFonts w:ascii="Arial" w:cs="Arial" w:eastAsia="Arial" w:hAnsi="Arial"/>
                <w:sz w:val="16"/>
                <w:szCs w:val="16"/>
                <w:color w:val="auto"/>
              </w:rPr>
              <w:t>(28.6)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63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DCE2EF"/>
            </w:tcBorders>
            <w:shd w:val="clear" w:color="auto" w:fill="DCE2EF"/>
          </w:tcPr>
          <w:p>
            <w:pPr>
              <w:spacing w:after="0"/>
              <w:rPr>
                <w:sz w:val="24"/>
                <w:szCs w:val="24"/>
                <w:color w:val="auto"/>
              </w:rPr>
            </w:pP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(23.9)</w:t>
            </w:r>
          </w:p>
        </w:tc>
        <w:tc>
          <w:tcPr>
            <w:tcW w:w="1480" w:type="dxa"/>
            <w:vAlign w:val="bottom"/>
            <w:tcBorders>
              <w:bottom w:val="single" w:sz="8" w:color="DCE2EF"/>
            </w:tcBorders>
            <w:gridSpan w:val="2"/>
            <w:shd w:val="clear" w:color="auto" w:fill="DCE2EF"/>
          </w:tcPr>
          <w:p>
            <w:pPr>
              <w:ind w:left="840"/>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59.8</w:t>
            </w:r>
          </w:p>
        </w:tc>
        <w:tc>
          <w:tcPr>
            <w:tcW w:w="1480" w:type="dxa"/>
            <w:vAlign w:val="bottom"/>
            <w:gridSpan w:val="2"/>
          </w:tcPr>
          <w:p>
            <w:pPr>
              <w:ind w:left="840"/>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3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DCE2EF"/>
          </w:tcPr>
          <w:p>
            <w:pPr>
              <w:spacing w:after="0"/>
              <w:rPr>
                <w:sz w:val="24"/>
                <w:szCs w:val="24"/>
                <w:color w:val="auto"/>
              </w:rPr>
            </w:pP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14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6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43.1</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42.2</w:t>
            </w:r>
          </w:p>
        </w:tc>
        <w:tc>
          <w:tcPr>
            <w:tcW w:w="1680" w:type="dxa"/>
            <w:vAlign w:val="bottom"/>
            <w:gridSpan w:val="3"/>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-3350895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-3325495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-3531235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-3350895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-3325495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-3531235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-576580</wp:posOffset>
            </wp:positionV>
            <wp:extent cx="6858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-576580</wp:posOffset>
            </wp:positionV>
            <wp:extent cx="6858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4" w:name="page15"/>
    <w:bookmarkEnd w:id="14"/>
    <w:p>
      <w:pPr>
        <w:ind w:right="3300"/>
        <w:spacing w:after="0" w:line="398"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ind w:left="6940"/>
        <w:spacing w:after="0"/>
        <w:rPr>
          <w:sz w:val="20"/>
          <w:szCs w:val="20"/>
          <w:color w:val="auto"/>
        </w:rPr>
      </w:pPr>
      <w:r>
        <w:rPr>
          <w:rFonts w:ascii="Arial" w:cs="Arial" w:eastAsia="Arial" w:hAnsi="Arial"/>
          <w:sz w:val="16"/>
          <w:szCs w:val="16"/>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29210</wp:posOffset>
            </wp:positionV>
            <wp:extent cx="2040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Revenues</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320" w:type="dxa"/>
            <w:vAlign w:val="bottom"/>
            <w:gridSpan w:val="2"/>
            <w:vMerge w:val="continue"/>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632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2,080.9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2,038.4</w:t>
            </w:r>
          </w:p>
        </w:tc>
        <w:tc>
          <w:tcPr>
            <w:tcW w:w="0" w:type="dxa"/>
            <w:vAlign w:val="bottom"/>
          </w:tcPr>
          <w:p>
            <w:pPr>
              <w:spacing w:after="0"/>
              <w:rPr>
                <w:sz w:val="1"/>
                <w:szCs w:val="1"/>
                <w:color w:val="auto"/>
              </w:rPr>
            </w:pPr>
          </w:p>
        </w:tc>
      </w:tr>
      <w:tr>
        <w:trPr>
          <w:trHeight w:val="283"/>
        </w:trPr>
        <w:tc>
          <w:tcPr>
            <w:tcW w:w="632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886.1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792.4</w:t>
            </w:r>
          </w:p>
        </w:tc>
        <w:tc>
          <w:tcPr>
            <w:tcW w:w="0" w:type="dxa"/>
            <w:vAlign w:val="bottom"/>
          </w:tcPr>
          <w:p>
            <w:pPr>
              <w:spacing w:after="0"/>
              <w:rPr>
                <w:sz w:val="1"/>
                <w:szCs w:val="1"/>
                <w:color w:val="auto"/>
              </w:rPr>
            </w:pPr>
          </w:p>
        </w:tc>
      </w:tr>
      <w:tr>
        <w:trPr>
          <w:trHeight w:val="283"/>
        </w:trPr>
        <w:tc>
          <w:tcPr>
            <w:tcW w:w="632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608.5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84"/>
        </w:trPr>
        <w:tc>
          <w:tcPr>
            <w:tcW w:w="632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98"/>
        </w:trPr>
        <w:tc>
          <w:tcPr>
            <w:tcW w:w="632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w:t>
            </w:r>
          </w:p>
        </w:tc>
        <w:tc>
          <w:tcPr>
            <w:tcW w:w="0" w:type="dxa"/>
            <w:vAlign w:val="bottom"/>
          </w:tcPr>
          <w:p>
            <w:pPr>
              <w:spacing w:after="0"/>
              <w:rPr>
                <w:sz w:val="1"/>
                <w:szCs w:val="1"/>
                <w:color w:val="auto"/>
              </w:rPr>
            </w:pPr>
          </w:p>
        </w:tc>
      </w:tr>
      <w:tr>
        <w:trPr>
          <w:trHeight w:val="236"/>
        </w:trPr>
        <w:tc>
          <w:tcPr>
            <w:tcW w:w="6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Revenues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4,533.5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4,226.6</w:t>
            </w:r>
          </w:p>
        </w:tc>
        <w:tc>
          <w:tcPr>
            <w:tcW w:w="0" w:type="dxa"/>
            <w:vAlign w:val="bottom"/>
          </w:tcPr>
          <w:p>
            <w:pPr>
              <w:spacing w:after="0"/>
              <w:rPr>
                <w:sz w:val="1"/>
                <w:szCs w:val="1"/>
                <w:color w:val="auto"/>
              </w:rPr>
            </w:pPr>
          </w:p>
        </w:tc>
      </w:tr>
      <w:tr>
        <w:trPr>
          <w:trHeight w:val="29"/>
        </w:trPr>
        <w:tc>
          <w:tcPr>
            <w:tcW w:w="632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320" w:type="dxa"/>
            <w:vAlign w:val="bottom"/>
            <w:gridSpan w:val="2"/>
            <w:vMerge w:val="continue"/>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32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156.4</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83"/>
        </w:trPr>
        <w:tc>
          <w:tcPr>
            <w:tcW w:w="632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83"/>
        </w:trPr>
        <w:tc>
          <w:tcPr>
            <w:tcW w:w="632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83"/>
        </w:trPr>
        <w:tc>
          <w:tcPr>
            <w:tcW w:w="632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93"/>
        </w:trPr>
        <w:tc>
          <w:tcPr>
            <w:tcW w:w="632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08"/>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Segment operating profit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325.4</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346"/>
        </w:trPr>
        <w:tc>
          <w:tcPr>
            <w:tcW w:w="6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Segment operating margin</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7.2 %</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7.8 %</w:t>
            </w:r>
          </w:p>
        </w:tc>
        <w:tc>
          <w:tcPr>
            <w:tcW w:w="0" w:type="dxa"/>
            <w:vAlign w:val="bottom"/>
          </w:tcPr>
          <w:p>
            <w:pPr>
              <w:spacing w:after="0"/>
              <w:rPr>
                <w:sz w:val="1"/>
                <w:szCs w:val="1"/>
                <w:color w:val="auto"/>
              </w:rPr>
            </w:pPr>
          </w:p>
        </w:tc>
      </w:tr>
      <w:tr>
        <w:trPr>
          <w:trHeight w:val="275"/>
        </w:trPr>
        <w:tc>
          <w:tcPr>
            <w:tcW w:w="632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58"/>
        </w:trPr>
        <w:tc>
          <w:tcPr>
            <w:tcW w:w="6320" w:type="dxa"/>
            <w:vAlign w:val="bottom"/>
            <w:gridSpan w:val="2"/>
          </w:tcPr>
          <w:p>
            <w:pPr>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32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8"/>
        </w:trPr>
        <w:tc>
          <w:tcPr>
            <w:tcW w:w="6320" w:type="dxa"/>
            <w:vAlign w:val="bottom"/>
            <w:gridSpan w:val="2"/>
          </w:tcPr>
          <w:p>
            <w:pPr>
              <w:spacing w:after="0"/>
              <w:rPr>
                <w:sz w:val="20"/>
                <w:szCs w:val="20"/>
                <w:color w:val="auto"/>
              </w:rPr>
            </w:pPr>
            <w:r>
              <w:rPr>
                <w:rFonts w:ascii="Arial" w:cs="Arial" w:eastAsia="Arial" w:hAnsi="Arial"/>
                <w:sz w:val="16"/>
                <w:szCs w:val="16"/>
                <w:color w:val="auto"/>
              </w:rPr>
              <w:t>Adjustment for tax deductions for energy efficient government buildings, included in</w:t>
            </w:r>
          </w:p>
        </w:tc>
        <w:tc>
          <w:tcPr>
            <w:tcW w:w="98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Total operating profit</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89"/>
        </w:trPr>
        <w:tc>
          <w:tcPr>
            <w:tcW w:w="632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8"/>
        </w:trPr>
        <w:tc>
          <w:tcPr>
            <w:tcW w:w="63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5"/>
        </w:trPr>
        <w:tc>
          <w:tcPr>
            <w:tcW w:w="632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306"/>
        </w:trPr>
        <w:tc>
          <w:tcPr>
            <w:tcW w:w="6320" w:type="dxa"/>
            <w:vAlign w:val="bottom"/>
            <w:gridSpan w:val="2"/>
          </w:tcPr>
          <w:p>
            <w:pPr>
              <w:spacing w:after="0"/>
              <w:rPr>
                <w:sz w:val="20"/>
                <w:szCs w:val="20"/>
                <w:color w:val="auto"/>
              </w:rPr>
            </w:pPr>
            <w:r>
              <w:rPr>
                <w:rFonts w:ascii="Arial" w:cs="Arial" w:eastAsia="Arial" w:hAnsi="Arial"/>
                <w:sz w:val="16"/>
                <w:szCs w:val="16"/>
                <w:color w:val="auto"/>
              </w:rPr>
              <w:t>Income tax provision</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81.8</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-3959860</wp:posOffset>
            </wp:positionV>
            <wp:extent cx="71323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-4682490</wp:posOffset>
            </wp:positionV>
            <wp:extent cx="7132320" cy="182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2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-3602355</wp:posOffset>
            </wp:positionV>
            <wp:extent cx="7132320" cy="2171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17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82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82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firstLine="41"/>
        <w:spacing w:after="0" w:line="296" w:lineRule="auto"/>
        <w:rPr>
          <w:sz w:val="20"/>
          <w:szCs w:val="20"/>
          <w:color w:val="auto"/>
        </w:rPr>
      </w:pPr>
      <w:r>
        <w:rPr>
          <w:rFonts w:ascii="Arial" w:cs="Arial" w:eastAsia="Arial" w:hAnsi="Arial"/>
          <w:sz w:val="16"/>
          <w:szCs w:val="16"/>
          <w:b w:val="1"/>
          <w:bCs w:val="1"/>
          <w:color w:val="auto"/>
        </w:rPr>
        <w:t>Increase/ (Decrease)</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2.1 %</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5"/>
          <w:szCs w:val="15"/>
          <w:color w:val="auto"/>
        </w:rPr>
        <w:t>%</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5"/>
          <w:szCs w:val="15"/>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1.7 %</w:t>
      </w:r>
    </w:p>
    <w:p>
      <w:pPr>
        <w:spacing w:after="0" w:line="1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20.5</w:t>
      </w:r>
      <w:r>
        <w:rPr>
          <w:sz w:val="20"/>
          <w:szCs w:val="20"/>
          <w:color w:val="auto"/>
        </w:rPr>
        <w:tab/>
      </w:r>
      <w:r>
        <w:rPr>
          <w:rFonts w:ascii="Arial" w:cs="Arial" w:eastAsia="Arial" w:hAnsi="Arial"/>
          <w:sz w:val="15"/>
          <w:szCs w:val="15"/>
          <w:color w:val="auto"/>
        </w:rPr>
        <w: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7.3 %</w:t>
      </w:r>
    </w:p>
    <w:p>
      <w:pPr>
        <w:spacing w:after="0" w:line="38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5"/>
          <w:szCs w:val="15"/>
          <w:color w:val="auto"/>
        </w:rPr>
        <w:t>%</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5"/>
          <w:szCs w:val="15"/>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0.6 %</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36.6</w:t>
      </w:r>
      <w:r>
        <w:rPr>
          <w:sz w:val="20"/>
          <w:szCs w:val="20"/>
          <w:color w:val="auto"/>
        </w:rPr>
        <w:tab/>
      </w:r>
      <w:r>
        <w:rPr>
          <w:rFonts w:ascii="Arial" w:cs="Arial" w:eastAsia="Arial" w:hAnsi="Arial"/>
          <w:sz w:val="15"/>
          <w:szCs w:val="15"/>
          <w:color w:val="auto"/>
        </w:rPr>
        <w:t>%</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(15.9)</w:t>
      </w:r>
      <w:r>
        <w:rPr>
          <w:sz w:val="20"/>
          <w:szCs w:val="20"/>
          <w:color w:val="auto"/>
        </w:rPr>
        <w:tab/>
      </w:r>
      <w:r>
        <w:rPr>
          <w:rFonts w:ascii="Arial" w:cs="Arial" w:eastAsia="Arial" w:hAnsi="Arial"/>
          <w:sz w:val="15"/>
          <w:szCs w:val="15"/>
          <w:color w:val="auto"/>
        </w:rPr>
        <w:t>%</w:t>
      </w:r>
    </w:p>
    <w:p>
      <w:pPr>
        <w:spacing w:after="0" w:line="14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(0.8)</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3.1 %</w:t>
      </w:r>
    </w:p>
    <w:p>
      <w:pPr>
        <w:spacing w:after="0" w:line="2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5"/>
          <w:szCs w:val="15"/>
          <w:color w:val="auto"/>
        </w:rPr>
        <w:t>%</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NM*</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1.1 %</w:t>
      </w:r>
    </w:p>
    <w:p>
      <w:pPr>
        <w:spacing w:after="0" w:line="1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5"/>
          <w:szCs w:val="15"/>
          <w:color w:val="auto"/>
        </w:rPr>
        <w:t>%</w:t>
      </w:r>
    </w:p>
    <w:p>
      <w:pPr>
        <w:spacing w:after="0" w:line="1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5"/>
          <w:szCs w:val="15"/>
          <w:color w:val="auto"/>
        </w:rPr>
        <w:t>%</w:t>
      </w:r>
    </w:p>
    <w:p>
      <w:pPr>
        <w:spacing w:after="0" w:line="7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5"/>
          <w:szCs w:val="15"/>
          <w:color w:val="auto"/>
        </w:rPr>
        <w:t>%</w:t>
      </w:r>
    </w:p>
    <w:p>
      <w:pPr>
        <w:spacing w:after="0" w:line="1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5"/>
          <w:szCs w:val="15"/>
          <w:color w:val="auto"/>
        </w:rPr>
        <w:t>%</w:t>
      </w:r>
    </w:p>
    <w:p>
      <w:pPr>
        <w:spacing w:after="0" w:line="14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5"/>
          <w:szCs w:val="15"/>
          <w:color w:val="auto"/>
        </w:rPr>
        <w:t>%</w:t>
      </w:r>
    </w:p>
    <w:p>
      <w:pPr>
        <w:sectPr>
          <w:pgSz w:w="11900" w:h="16838" w:orient="portrait"/>
          <w:cols w:equalWidth="0" w:num="2">
            <w:col w:w="9600" w:space="460"/>
            <w:col w:w="1160"/>
          </w:cols>
          <w:pgMar w:left="320" w:top="885" w:right="359" w:bottom="1440" w:gutter="0" w:footer="0" w:header="0"/>
        </w:sectPr>
      </w:pPr>
    </w:p>
    <w:bookmarkStart w:id="15" w:name="page16"/>
    <w:bookmarkEnd w:id="15"/>
    <w:p>
      <w:pPr>
        <w:ind w:right="428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980" w:type="dxa"/>
            <w:vAlign w:val="bottom"/>
            <w:tcBorders>
              <w:top w:val="single" w:sz="8" w:color="auto"/>
            </w:tcBorders>
          </w:tcPr>
          <w:p>
            <w:pPr>
              <w:spacing w:after="0"/>
              <w:rPr>
                <w:sz w:val="21"/>
                <w:szCs w:val="21"/>
                <w:color w:val="auto"/>
              </w:rPr>
            </w:pPr>
          </w:p>
        </w:tc>
        <w:tc>
          <w:tcPr>
            <w:tcW w:w="2700" w:type="dxa"/>
            <w:vAlign w:val="bottom"/>
          </w:tcPr>
          <w:p>
            <w:pPr>
              <w:spacing w:after="0"/>
              <w:rPr>
                <w:sz w:val="21"/>
                <w:szCs w:val="21"/>
                <w:color w:val="auto"/>
              </w:rPr>
            </w:pPr>
          </w:p>
        </w:tc>
        <w:tc>
          <w:tcPr>
            <w:tcW w:w="300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5"/>
                <w:szCs w:val="15"/>
                <w:b w:val="1"/>
                <w:bCs w:val="1"/>
                <w:color w:val="auto"/>
              </w:rPr>
              <w:t>Three Months Ended April 30,</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5"/>
                <w:szCs w:val="15"/>
                <w:b w:val="1"/>
                <w:bCs w:val="1"/>
                <w:color w:val="auto"/>
              </w:rPr>
              <w:t>Six Months Ended April 30,</w:t>
            </w: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20" w:type="dxa"/>
            <w:vAlign w:val="bottom"/>
          </w:tcPr>
          <w:p>
            <w:pPr>
              <w:jc w:val="right"/>
              <w:ind w:right="144"/>
              <w:spacing w:after="0"/>
              <w:rPr>
                <w:sz w:val="20"/>
                <w:szCs w:val="20"/>
                <w:color w:val="auto"/>
              </w:rPr>
            </w:pPr>
            <w:r>
              <w:rPr>
                <w:rFonts w:ascii="Arial" w:cs="Arial" w:eastAsia="Arial" w:hAnsi="Arial"/>
                <w:sz w:val="15"/>
                <w:szCs w:val="15"/>
                <w:b w:val="1"/>
                <w:bCs w:val="1"/>
                <w:color w:val="auto"/>
              </w:rPr>
              <w:t>2026</w:t>
            </w:r>
          </w:p>
        </w:tc>
        <w:tc>
          <w:tcPr>
            <w:tcW w:w="460" w:type="dxa"/>
            <w:vAlign w:val="bottom"/>
          </w:tcPr>
          <w:p>
            <w:pPr>
              <w:spacing w:after="0"/>
              <w:rPr>
                <w:sz w:val="20"/>
                <w:szCs w:val="20"/>
                <w:color w:val="auto"/>
              </w:rPr>
            </w:pPr>
          </w:p>
        </w:tc>
        <w:tc>
          <w:tcPr>
            <w:tcW w:w="132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0"/>
                <w:szCs w:val="20"/>
                <w:color w:val="auto"/>
              </w:rPr>
            </w:pPr>
          </w:p>
        </w:tc>
        <w:tc>
          <w:tcPr>
            <w:tcW w:w="108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2026</w:t>
            </w:r>
          </w:p>
        </w:tc>
        <w:tc>
          <w:tcPr>
            <w:tcW w:w="460" w:type="dxa"/>
            <w:vAlign w:val="bottom"/>
          </w:tcPr>
          <w:p>
            <w:pPr>
              <w:spacing w:after="0"/>
              <w:rPr>
                <w:sz w:val="20"/>
                <w:szCs w:val="20"/>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80" w:type="dxa"/>
            <w:vAlign w:val="bottom"/>
            <w:gridSpan w:val="2"/>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tc>
        <w:tc>
          <w:tcPr>
            <w:tcW w:w="1220" w:type="dxa"/>
            <w:vAlign w:val="bottom"/>
            <w:tcBorders>
              <w:top w:val="single" w:sz="8" w:color="auto"/>
            </w:tcBorders>
            <w:shd w:val="clear" w:color="auto" w:fill="DCE2EF"/>
          </w:tcPr>
          <w:p>
            <w:pPr>
              <w:spacing w:after="0"/>
              <w:rPr>
                <w:sz w:val="20"/>
                <w:szCs w:val="20"/>
                <w:color w:val="auto"/>
              </w:rPr>
            </w:pPr>
          </w:p>
        </w:tc>
        <w:tc>
          <w:tcPr>
            <w:tcW w:w="460" w:type="dxa"/>
            <w:vAlign w:val="bottom"/>
            <w:tcBorders>
              <w:top w:val="single" w:sz="8" w:color="auto"/>
            </w:tcBorders>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120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980" w:type="dxa"/>
            <w:vAlign w:val="bottom"/>
            <w:tcBorders>
              <w:top w:val="single" w:sz="8" w:color="auto"/>
            </w:tcBorders>
            <w:shd w:val="clear" w:color="auto" w:fill="DCE2EF"/>
          </w:tcPr>
          <w:p>
            <w:pPr>
              <w:spacing w:after="0"/>
              <w:rPr>
                <w:sz w:val="20"/>
                <w:szCs w:val="20"/>
                <w:color w:val="auto"/>
              </w:rPr>
            </w:pPr>
          </w:p>
        </w:tc>
        <w:tc>
          <w:tcPr>
            <w:tcW w:w="460" w:type="dxa"/>
            <w:vAlign w:val="bottom"/>
            <w:tcBorders>
              <w:top w:val="single" w:sz="8" w:color="auto"/>
            </w:tcBorders>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104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980" w:type="dxa"/>
            <w:vAlign w:val="bottom"/>
            <w:shd w:val="clear" w:color="auto" w:fill="DCE2EF"/>
          </w:tcPr>
          <w:p>
            <w:pPr>
              <w:spacing w:after="0"/>
              <w:rPr>
                <w:sz w:val="11"/>
                <w:szCs w:val="11"/>
                <w:color w:val="auto"/>
              </w:rPr>
            </w:pPr>
          </w:p>
        </w:tc>
        <w:tc>
          <w:tcPr>
            <w:tcW w:w="2700" w:type="dxa"/>
            <w:vAlign w:val="bottom"/>
            <w:shd w:val="clear" w:color="auto" w:fill="DCE2EF"/>
          </w:tcPr>
          <w:p>
            <w:pPr>
              <w:spacing w:after="0"/>
              <w:rPr>
                <w:sz w:val="11"/>
                <w:szCs w:val="11"/>
                <w:color w:val="auto"/>
              </w:rPr>
            </w:pPr>
          </w:p>
        </w:tc>
        <w:tc>
          <w:tcPr>
            <w:tcW w:w="1220" w:type="dxa"/>
            <w:vAlign w:val="bottom"/>
            <w:shd w:val="clear" w:color="auto" w:fill="DCE2EF"/>
          </w:tcPr>
          <w:p>
            <w:pPr>
              <w:spacing w:after="0"/>
              <w:rPr>
                <w:sz w:val="11"/>
                <w:szCs w:val="11"/>
                <w:color w:val="auto"/>
              </w:rPr>
            </w:pPr>
          </w:p>
        </w:tc>
        <w:tc>
          <w:tcPr>
            <w:tcW w:w="46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1200" w:type="dxa"/>
            <w:vAlign w:val="bottom"/>
            <w:shd w:val="clear" w:color="auto" w:fill="DCE2EF"/>
          </w:tcPr>
          <w:p>
            <w:pPr>
              <w:spacing w:after="0"/>
              <w:rPr>
                <w:sz w:val="11"/>
                <w:szCs w:val="11"/>
                <w:color w:val="auto"/>
              </w:rPr>
            </w:pPr>
          </w:p>
        </w:tc>
        <w:tc>
          <w:tcPr>
            <w:tcW w:w="4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980" w:type="dxa"/>
            <w:vAlign w:val="bottom"/>
            <w:shd w:val="clear" w:color="auto" w:fill="DCE2EF"/>
          </w:tcPr>
          <w:p>
            <w:pPr>
              <w:spacing w:after="0"/>
              <w:rPr>
                <w:sz w:val="11"/>
                <w:szCs w:val="11"/>
                <w:color w:val="auto"/>
              </w:rPr>
            </w:pPr>
          </w:p>
        </w:tc>
        <w:tc>
          <w:tcPr>
            <w:tcW w:w="4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40" w:type="dxa"/>
            <w:vAlign w:val="bottom"/>
            <w:shd w:val="clear" w:color="auto" w:fill="DCE2EF"/>
          </w:tcPr>
          <w:p>
            <w:pPr>
              <w:spacing w:after="0"/>
              <w:rPr>
                <w:sz w:val="11"/>
                <w:szCs w:val="11"/>
                <w:color w:val="auto"/>
              </w:rPr>
            </w:pPr>
          </w:p>
        </w:tc>
        <w:tc>
          <w:tcPr>
            <w:tcW w:w="44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680" w:type="dxa"/>
            <w:vAlign w:val="bottom"/>
            <w:gridSpan w:val="2"/>
          </w:tcPr>
          <w:p>
            <w:pPr>
              <w:ind w:left="60"/>
              <w:spacing w:after="0"/>
              <w:rPr>
                <w:sz w:val="20"/>
                <w:szCs w:val="20"/>
                <w:color w:val="auto"/>
              </w:rPr>
            </w:pPr>
            <w:r>
              <w:rPr>
                <w:rFonts w:ascii="Arial" w:cs="Arial" w:eastAsia="Arial" w:hAnsi="Arial"/>
                <w:sz w:val="15"/>
                <w:szCs w:val="15"/>
                <w:color w:val="auto"/>
              </w:rPr>
              <w:t>Net income</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43.1</w:t>
            </w:r>
          </w:p>
        </w:tc>
        <w:tc>
          <w:tcPr>
            <w:tcW w:w="132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42.2</w:t>
            </w:r>
          </w:p>
        </w:tc>
        <w:tc>
          <w:tcPr>
            <w:tcW w:w="108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81.8</w:t>
            </w:r>
          </w:p>
        </w:tc>
        <w:tc>
          <w:tcPr>
            <w:tcW w:w="11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59"/>
        </w:trPr>
        <w:tc>
          <w:tcPr>
            <w:tcW w:w="4680" w:type="dxa"/>
            <w:vAlign w:val="bottom"/>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(a)(b)</w:t>
            </w:r>
          </w:p>
        </w:tc>
        <w:tc>
          <w:tcPr>
            <w:tcW w:w="12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680" w:type="dxa"/>
            <w:vAlign w:val="bottom"/>
            <w:gridSpan w:val="2"/>
          </w:tcPr>
          <w:p>
            <w:pPr>
              <w:ind w:left="140"/>
              <w:spacing w:after="0"/>
              <w:rPr>
                <w:sz w:val="20"/>
                <w:szCs w:val="20"/>
                <w:color w:val="auto"/>
              </w:rPr>
            </w:pPr>
            <w:r>
              <w:rPr>
                <w:rFonts w:ascii="Arial" w:cs="Arial" w:eastAsia="Arial" w:hAnsi="Arial"/>
                <w:sz w:val="15"/>
                <w:szCs w:val="15"/>
                <w:color w:val="auto"/>
              </w:rPr>
              <w:t>Restructuring and related</w:t>
            </w:r>
            <w:r>
              <w:rPr>
                <w:rFonts w:ascii="Arial" w:cs="Arial" w:eastAsia="Arial" w:hAnsi="Arial"/>
                <w:sz w:val="20"/>
                <w:szCs w:val="20"/>
                <w:color w:val="auto"/>
                <w:vertAlign w:val="superscript"/>
              </w:rPr>
              <w:t>(c)</w:t>
            </w:r>
          </w:p>
        </w:tc>
        <w:tc>
          <w:tcPr>
            <w:tcW w:w="12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19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4680" w:type="dxa"/>
            <w:vAlign w:val="bottom"/>
            <w:gridSpan w:val="2"/>
            <w:shd w:val="clear" w:color="auto" w:fill="DCE2EF"/>
          </w:tcPr>
          <w:p>
            <w:pPr>
              <w:ind w:left="140"/>
              <w:spacing w:after="0"/>
              <w:rPr>
                <w:sz w:val="20"/>
                <w:szCs w:val="20"/>
                <w:color w:val="auto"/>
              </w:rPr>
            </w:pPr>
            <w:r>
              <w:rPr>
                <w:rFonts w:ascii="Arial" w:cs="Arial" w:eastAsia="Arial" w:hAnsi="Arial"/>
                <w:sz w:val="15"/>
                <w:szCs w:val="15"/>
                <w:color w:val="auto"/>
              </w:rPr>
              <w:t>Legal costs and other settlements</w:t>
            </w:r>
          </w:p>
        </w:tc>
        <w:tc>
          <w:tcPr>
            <w:tcW w:w="122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DCE2EF"/>
          </w:tcPr>
          <w:p>
            <w:pPr>
              <w:spacing w:after="0"/>
              <w:rPr>
                <w:sz w:val="22"/>
                <w:szCs w:val="22"/>
                <w:color w:val="auto"/>
              </w:rPr>
            </w:pPr>
          </w:p>
        </w:tc>
        <w:tc>
          <w:tcPr>
            <w:tcW w:w="120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7"/>
        </w:trPr>
        <w:tc>
          <w:tcPr>
            <w:tcW w:w="4680" w:type="dxa"/>
            <w:vAlign w:val="bottom"/>
            <w:gridSpan w:val="2"/>
          </w:tcPr>
          <w:p>
            <w:pPr>
              <w:ind w:left="14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(d)</w:t>
            </w:r>
          </w:p>
        </w:tc>
        <w:tc>
          <w:tcPr>
            <w:tcW w:w="1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56"/>
        </w:trPr>
        <w:tc>
          <w:tcPr>
            <w:tcW w:w="4680" w:type="dxa"/>
            <w:vAlign w:val="bottom"/>
            <w:gridSpan w:val="2"/>
            <w:shd w:val="clear" w:color="auto" w:fill="DCE2EF"/>
          </w:tcPr>
          <w:p>
            <w:pPr>
              <w:ind w:left="18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(e)</w:t>
            </w:r>
          </w:p>
        </w:tc>
        <w:tc>
          <w:tcPr>
            <w:tcW w:w="122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DCE2EF"/>
          </w:tcPr>
          <w:p>
            <w:pPr>
              <w:spacing w:after="0"/>
              <w:rPr>
                <w:sz w:val="22"/>
                <w:szCs w:val="22"/>
                <w:color w:val="auto"/>
              </w:rPr>
            </w:pPr>
          </w:p>
        </w:tc>
        <w:tc>
          <w:tcPr>
            <w:tcW w:w="120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10.7</w:t>
            </w:r>
          </w:p>
        </w:tc>
        <w:tc>
          <w:tcPr>
            <w:tcW w:w="10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57"/>
        </w:trPr>
        <w:tc>
          <w:tcPr>
            <w:tcW w:w="4680" w:type="dxa"/>
            <w:vAlign w:val="bottom"/>
            <w:gridSpan w:val="2"/>
          </w:tcPr>
          <w:p>
            <w:pPr>
              <w:ind w:left="14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(f)</w:t>
            </w:r>
          </w:p>
        </w:tc>
        <w:tc>
          <w:tcPr>
            <w:tcW w:w="1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DCE2EF"/>
          </w:tcPr>
          <w:p>
            <w:pPr>
              <w:ind w:left="60"/>
              <w:spacing w:after="0"/>
              <w:rPr>
                <w:sz w:val="20"/>
                <w:szCs w:val="20"/>
                <w:color w:val="auto"/>
              </w:rPr>
            </w:pPr>
            <w:r>
              <w:rPr>
                <w:rFonts w:ascii="Arial" w:cs="Arial" w:eastAsia="Arial" w:hAnsi="Arial"/>
                <w:sz w:val="15"/>
                <w:szCs w:val="15"/>
                <w:color w:val="auto"/>
              </w:rPr>
              <w:t>Total items impacting comparability</w:t>
            </w:r>
          </w:p>
        </w:tc>
        <w:tc>
          <w:tcPr>
            <w:tcW w:w="1220" w:type="dxa"/>
            <w:vAlign w:val="bottom"/>
            <w:shd w:val="clear" w:color="auto" w:fill="DCE2EF"/>
          </w:tcPr>
          <w:p>
            <w:pPr>
              <w:spacing w:after="0"/>
              <w:rPr>
                <w:sz w:val="20"/>
                <w:szCs w:val="20"/>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DCE2EF"/>
          </w:tcPr>
          <w:p>
            <w:pPr>
              <w:spacing w:after="0"/>
              <w:rPr>
                <w:sz w:val="20"/>
                <w:szCs w:val="20"/>
                <w:color w:val="auto"/>
              </w:rPr>
            </w:pPr>
          </w:p>
        </w:tc>
        <w:tc>
          <w:tcPr>
            <w:tcW w:w="1200" w:type="dxa"/>
            <w:vAlign w:val="bottom"/>
            <w:shd w:val="clear" w:color="auto" w:fill="DCE2EF"/>
          </w:tcPr>
          <w:p>
            <w:pPr>
              <w:spacing w:after="0"/>
              <w:rPr>
                <w:sz w:val="20"/>
                <w:szCs w:val="20"/>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DCE2EF"/>
          </w:tcPr>
          <w:p>
            <w:pPr>
              <w:spacing w:after="0"/>
              <w:rPr>
                <w:sz w:val="20"/>
                <w:szCs w:val="20"/>
                <w:color w:val="auto"/>
              </w:rPr>
            </w:pPr>
          </w:p>
        </w:tc>
        <w:tc>
          <w:tcPr>
            <w:tcW w:w="1040" w:type="dxa"/>
            <w:vAlign w:val="bottom"/>
            <w:shd w:val="clear" w:color="auto" w:fill="DCE2EF"/>
          </w:tcPr>
          <w:p>
            <w:pPr>
              <w:spacing w:after="0"/>
              <w:rPr>
                <w:sz w:val="20"/>
                <w:szCs w:val="20"/>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7"/>
        </w:trPr>
        <w:tc>
          <w:tcPr>
            <w:tcW w:w="4680" w:type="dxa"/>
            <w:vAlign w:val="bottom"/>
            <w:gridSpan w:val="2"/>
          </w:tcPr>
          <w:p>
            <w:pPr>
              <w:ind w:left="60"/>
              <w:spacing w:after="0"/>
              <w:rPr>
                <w:sz w:val="20"/>
                <w:szCs w:val="20"/>
                <w:color w:val="auto"/>
              </w:rPr>
            </w:pPr>
            <w:r>
              <w:rPr>
                <w:rFonts w:ascii="Arial" w:cs="Arial" w:eastAsia="Arial" w:hAnsi="Arial"/>
                <w:sz w:val="15"/>
                <w:szCs w:val="15"/>
                <w:color w:val="auto"/>
              </w:rPr>
              <w:t xml:space="preserve">Income tax impact </w:t>
            </w:r>
            <w:r>
              <w:rPr>
                <w:rFonts w:ascii="Arial" w:cs="Arial" w:eastAsia="Arial" w:hAnsi="Arial"/>
                <w:sz w:val="20"/>
                <w:szCs w:val="20"/>
                <w:color w:val="auto"/>
                <w:vertAlign w:val="superscript"/>
              </w:rPr>
              <w:t>(g)</w:t>
            </w:r>
          </w:p>
        </w:tc>
        <w:tc>
          <w:tcPr>
            <w:tcW w:w="1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22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DCE2EF"/>
            </w:tcBorders>
            <w:shd w:val="clear" w:color="auto" w:fill="DCE2EF"/>
          </w:tcPr>
          <w:p>
            <w:pPr>
              <w:spacing w:after="0"/>
              <w:rPr>
                <w:sz w:val="20"/>
                <w:szCs w:val="20"/>
                <w:color w:val="auto"/>
              </w:rPr>
            </w:pPr>
          </w:p>
        </w:tc>
        <w:tc>
          <w:tcPr>
            <w:tcW w:w="120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DCE2EF"/>
            </w:tcBorders>
            <w:shd w:val="clear" w:color="auto" w:fill="DCE2EF"/>
          </w:tcPr>
          <w:p>
            <w:pPr>
              <w:spacing w:after="0"/>
              <w:rPr>
                <w:sz w:val="20"/>
                <w:szCs w:val="20"/>
                <w:color w:val="auto"/>
              </w:rPr>
            </w:pPr>
          </w:p>
        </w:tc>
        <w:tc>
          <w:tcPr>
            <w:tcW w:w="104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36"/>
        </w:trPr>
        <w:tc>
          <w:tcPr>
            <w:tcW w:w="4680" w:type="dxa"/>
            <w:vAlign w:val="bottom"/>
            <w:gridSpan w:val="2"/>
          </w:tcPr>
          <w:p>
            <w:pPr>
              <w:ind w:left="60"/>
              <w:spacing w:after="0"/>
              <w:rPr>
                <w:sz w:val="20"/>
                <w:szCs w:val="20"/>
                <w:color w:val="auto"/>
              </w:rPr>
            </w:pPr>
            <w:r>
              <w:rPr>
                <w:rFonts w:ascii="Arial" w:cs="Arial" w:eastAsia="Arial" w:hAnsi="Arial"/>
                <w:sz w:val="15"/>
                <w:szCs w:val="15"/>
                <w:color w:val="auto"/>
              </w:rPr>
              <w:t>Adjusted net income</w:t>
            </w: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-2093595</wp:posOffset>
            </wp:positionV>
            <wp:extent cx="7747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-2093595</wp:posOffset>
            </wp:positionV>
            <wp:extent cx="6858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-2093595</wp:posOffset>
            </wp:positionV>
            <wp:extent cx="6858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-662305</wp:posOffset>
            </wp:positionV>
            <wp:extent cx="7747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-662305</wp:posOffset>
            </wp:positionV>
            <wp:extent cx="6858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-662305</wp:posOffset>
            </wp:positionV>
            <wp:extent cx="6858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-336550</wp:posOffset>
            </wp:positionV>
            <wp:extent cx="7747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-336550</wp:posOffset>
            </wp:positionV>
            <wp:extent cx="6858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-336550</wp:posOffset>
            </wp:positionV>
            <wp:extent cx="6858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-173355</wp:posOffset>
            </wp:positionV>
            <wp:extent cx="7747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-173355</wp:posOffset>
            </wp:positionV>
            <wp:extent cx="6858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-173355</wp:posOffset>
            </wp:positionV>
            <wp:extent cx="6858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Three Months Ended April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Six Months Ended April 30,</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20" w:type="dxa"/>
            <w:vAlign w:val="bottom"/>
          </w:tcPr>
          <w:p>
            <w:pPr>
              <w:spacing w:after="0"/>
              <w:rPr>
                <w:sz w:val="20"/>
                <w:szCs w:val="20"/>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2026</w:t>
            </w:r>
          </w:p>
        </w:tc>
        <w:tc>
          <w:tcPr>
            <w:tcW w:w="5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2025</w:t>
            </w:r>
          </w:p>
        </w:tc>
        <w:tc>
          <w:tcPr>
            <w:tcW w:w="5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2026</w:t>
            </w:r>
          </w:p>
        </w:tc>
        <w:tc>
          <w:tcPr>
            <w:tcW w:w="4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2025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tc>
        <w:tc>
          <w:tcPr>
            <w:tcW w:w="118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116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top w:val="single" w:sz="8" w:color="auto"/>
              <w:bottom w:val="single" w:sz="8" w:color="DCE2EF"/>
            </w:tcBorders>
            <w:shd w:val="clear" w:color="auto" w:fill="DCE2EF"/>
          </w:tcPr>
          <w:p>
            <w:pPr>
              <w:spacing w:after="0"/>
              <w:rPr>
                <w:sz w:val="20"/>
                <w:szCs w:val="20"/>
                <w:color w:val="auto"/>
              </w:rPr>
            </w:pPr>
          </w:p>
        </w:tc>
        <w:tc>
          <w:tcPr>
            <w:tcW w:w="480" w:type="dxa"/>
            <w:vAlign w:val="bottom"/>
            <w:tcBorders>
              <w:top w:val="single" w:sz="8" w:color="auto"/>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top w:val="single" w:sz="8" w:color="auto"/>
              <w:bottom w:val="single" w:sz="8" w:color="DCE2EF"/>
            </w:tcBorders>
            <w:shd w:val="clear" w:color="auto" w:fill="DCE2EF"/>
          </w:tcPr>
          <w:p>
            <w:pPr>
              <w:spacing w:after="0"/>
              <w:rPr>
                <w:sz w:val="20"/>
                <w:szCs w:val="20"/>
                <w:color w:val="auto"/>
              </w:rPr>
            </w:pPr>
          </w:p>
        </w:tc>
        <w:tc>
          <w:tcPr>
            <w:tcW w:w="460" w:type="dxa"/>
            <w:vAlign w:val="bottom"/>
            <w:tcBorders>
              <w:top w:val="single" w:sz="8" w:color="auto"/>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43.1</w:t>
            </w: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81.8</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57"/>
        </w:trPr>
        <w:tc>
          <w:tcPr>
            <w:tcW w:w="4720" w:type="dxa"/>
            <w:vAlign w:val="bottom"/>
            <w:shd w:val="clear" w:color="auto" w:fill="DCE2EF"/>
          </w:tcPr>
          <w:p>
            <w:pPr>
              <w:ind w:left="120"/>
              <w:spacing w:after="0"/>
              <w:rPr>
                <w:sz w:val="20"/>
                <w:szCs w:val="20"/>
                <w:color w:val="auto"/>
              </w:rPr>
            </w:pPr>
            <w:r>
              <w:rPr>
                <w:rFonts w:ascii="Arial" w:cs="Arial" w:eastAsia="Arial" w:hAnsi="Arial"/>
                <w:sz w:val="15"/>
                <w:szCs w:val="15"/>
                <w:color w:val="auto"/>
              </w:rPr>
              <w:t>Items impacting comparability</w:t>
            </w:r>
          </w:p>
        </w:tc>
        <w:tc>
          <w:tcPr>
            <w:tcW w:w="118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16.6</w:t>
            </w:r>
          </w:p>
        </w:tc>
        <w:tc>
          <w:tcPr>
            <w:tcW w:w="12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253"/>
        </w:trPr>
        <w:tc>
          <w:tcPr>
            <w:tcW w:w="4720" w:type="dxa"/>
            <w:vAlign w:val="bottom"/>
          </w:tcPr>
          <w:p>
            <w:pPr>
              <w:ind w:left="120"/>
              <w:spacing w:after="0"/>
              <w:rPr>
                <w:sz w:val="20"/>
                <w:szCs w:val="20"/>
                <w:color w:val="auto"/>
              </w:rPr>
            </w:pPr>
            <w:r>
              <w:rPr>
                <w:rFonts w:ascii="Arial" w:cs="Arial" w:eastAsia="Arial" w:hAnsi="Arial"/>
                <w:sz w:val="15"/>
                <w:szCs w:val="15"/>
                <w:color w:val="auto"/>
              </w:rPr>
              <w:t>Income taxes provision</w:t>
            </w:r>
          </w:p>
        </w:tc>
        <w:tc>
          <w:tcPr>
            <w:tcW w:w="1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16.6</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60"/>
        </w:trPr>
        <w:tc>
          <w:tcPr>
            <w:tcW w:w="4720" w:type="dxa"/>
            <w:vAlign w:val="bottom"/>
            <w:shd w:val="clear" w:color="auto" w:fill="DCE2EF"/>
          </w:tcPr>
          <w:p>
            <w:pPr>
              <w:ind w:left="120"/>
              <w:spacing w:after="0"/>
              <w:rPr>
                <w:sz w:val="20"/>
                <w:szCs w:val="20"/>
                <w:color w:val="auto"/>
              </w:rPr>
            </w:pPr>
            <w:r>
              <w:rPr>
                <w:rFonts w:ascii="Arial" w:cs="Arial" w:eastAsia="Arial" w:hAnsi="Arial"/>
                <w:sz w:val="15"/>
                <w:szCs w:val="15"/>
                <w:color w:val="auto"/>
              </w:rPr>
              <w:t>Interest expense</w:t>
            </w:r>
          </w:p>
        </w:tc>
        <w:tc>
          <w:tcPr>
            <w:tcW w:w="118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28.1</w:t>
            </w:r>
          </w:p>
        </w:tc>
        <w:tc>
          <w:tcPr>
            <w:tcW w:w="12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23.9</w:t>
            </w:r>
          </w:p>
        </w:tc>
        <w:tc>
          <w:tcPr>
            <w:tcW w:w="12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52.1</w:t>
            </w:r>
          </w:p>
        </w:tc>
        <w:tc>
          <w:tcPr>
            <w:tcW w:w="10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253"/>
        </w:trPr>
        <w:tc>
          <w:tcPr>
            <w:tcW w:w="4720" w:type="dxa"/>
            <w:vAlign w:val="bottom"/>
          </w:tcPr>
          <w:p>
            <w:pPr>
              <w:ind w:left="120"/>
              <w:spacing w:after="0"/>
              <w:rPr>
                <w:sz w:val="20"/>
                <w:szCs w:val="20"/>
                <w:color w:val="auto"/>
              </w:rPr>
            </w:pPr>
            <w:r>
              <w:rPr>
                <w:rFonts w:ascii="Arial" w:cs="Arial" w:eastAsia="Arial" w:hAnsi="Arial"/>
                <w:sz w:val="15"/>
                <w:szCs w:val="15"/>
                <w:color w:val="auto"/>
              </w:rPr>
              <w:t>Depreciation and amortization</w:t>
            </w:r>
          </w:p>
        </w:tc>
        <w:tc>
          <w:tcPr>
            <w:tcW w:w="1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12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253"/>
        </w:trPr>
        <w:tc>
          <w:tcPr>
            <w:tcW w:w="4720" w:type="dxa"/>
            <w:vAlign w:val="bottom"/>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180" w:type="dxa"/>
            <w:vAlign w:val="bottom"/>
            <w:shd w:val="clear" w:color="auto" w:fill="DCE2EF"/>
          </w:tcPr>
          <w:p>
            <w:pPr>
              <w:jc w:val="right"/>
              <w:ind w:right="64"/>
              <w:spacing w:after="0"/>
              <w:rPr>
                <w:sz w:val="20"/>
                <w:szCs w:val="20"/>
                <w:color w:val="auto"/>
              </w:rPr>
            </w:pPr>
            <w:r>
              <w:rPr>
                <w:rFonts w:ascii="Arial" w:cs="Arial" w:eastAsia="Arial" w:hAnsi="Arial"/>
                <w:sz w:val="15"/>
                <w:szCs w:val="15"/>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131.7</w:t>
            </w:r>
          </w:p>
        </w:tc>
        <w:tc>
          <w:tcPr>
            <w:tcW w:w="128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125.9</w:t>
            </w:r>
          </w:p>
        </w:tc>
        <w:tc>
          <w:tcPr>
            <w:tcW w:w="1060" w:type="dxa"/>
            <w:vAlign w:val="bottom"/>
            <w:gridSpan w:val="2"/>
            <w:shd w:val="clear" w:color="auto" w:fill="DCE2EF"/>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249.5</w:t>
            </w:r>
          </w:p>
        </w:tc>
        <w:tc>
          <w:tcPr>
            <w:tcW w:w="1060" w:type="dxa"/>
            <w:vAlign w:val="bottom"/>
            <w:gridSpan w:val="2"/>
            <w:shd w:val="clear" w:color="auto" w:fill="DCE2EF"/>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246.6</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47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1.9 %</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2.0 %</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81"/>
        </w:trPr>
        <w:tc>
          <w:tcPr>
            <w:tcW w:w="47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-1344295</wp:posOffset>
            </wp:positionV>
            <wp:extent cx="6858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-1344295</wp:posOffset>
            </wp:positionV>
            <wp:extent cx="6858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-1344295</wp:posOffset>
            </wp:positionV>
            <wp:extent cx="6858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-358140</wp:posOffset>
            </wp:positionV>
            <wp:extent cx="6858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-358140</wp:posOffset>
            </wp:positionV>
            <wp:extent cx="6858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-358140</wp:posOffset>
            </wp:positionV>
            <wp:extent cx="6858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5"/>
                <w:szCs w:val="15"/>
                <w:b w:val="1"/>
                <w:bCs w:val="1"/>
                <w:color w:val="auto"/>
              </w:rPr>
              <w:t>Three Months Ended April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Six Months Ended April 30,</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1240" w:type="dxa"/>
            <w:vAlign w:val="bottom"/>
          </w:tcPr>
          <w:p>
            <w:pPr>
              <w:jc w:val="right"/>
              <w:ind w:right="144"/>
              <w:spacing w:after="0"/>
              <w:rPr>
                <w:sz w:val="20"/>
                <w:szCs w:val="20"/>
                <w:color w:val="auto"/>
              </w:rPr>
            </w:pPr>
            <w:r>
              <w:rPr>
                <w:rFonts w:ascii="Arial" w:cs="Arial" w:eastAsia="Arial" w:hAnsi="Arial"/>
                <w:sz w:val="15"/>
                <w:szCs w:val="15"/>
                <w:b w:val="1"/>
                <w:bCs w:val="1"/>
                <w:color w:val="auto"/>
              </w:rPr>
              <w:t>2026</w:t>
            </w:r>
          </w:p>
        </w:tc>
        <w:tc>
          <w:tcPr>
            <w:tcW w:w="440" w:type="dxa"/>
            <w:vAlign w:val="bottom"/>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0"/>
                <w:szCs w:val="20"/>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2026</w:t>
            </w:r>
          </w:p>
        </w:tc>
        <w:tc>
          <w:tcPr>
            <w:tcW w:w="4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6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per Diluted Share to Adjusted</w:t>
            </w:r>
          </w:p>
        </w:tc>
        <w:tc>
          <w:tcPr>
            <w:tcW w:w="1240" w:type="dxa"/>
            <w:vAlign w:val="bottom"/>
            <w:tcBorders>
              <w:top w:val="single" w:sz="8" w:color="auto"/>
            </w:tcBorders>
            <w:shd w:val="clear" w:color="auto" w:fill="DCE2EF"/>
          </w:tcPr>
          <w:p>
            <w:pPr>
              <w:spacing w:after="0"/>
              <w:rPr>
                <w:sz w:val="15"/>
                <w:szCs w:val="15"/>
                <w:color w:val="auto"/>
              </w:rPr>
            </w:pPr>
          </w:p>
        </w:tc>
        <w:tc>
          <w:tcPr>
            <w:tcW w:w="440" w:type="dxa"/>
            <w:vAlign w:val="bottom"/>
            <w:tcBorders>
              <w:top w:val="single" w:sz="8" w:color="auto"/>
            </w:tcBorders>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20" w:type="dxa"/>
            <w:vAlign w:val="bottom"/>
            <w:tcBorders>
              <w:top w:val="single" w:sz="8" w:color="auto"/>
            </w:tcBorders>
            <w:shd w:val="clear" w:color="auto" w:fill="DCE2EF"/>
          </w:tcPr>
          <w:p>
            <w:pPr>
              <w:spacing w:after="0"/>
              <w:rPr>
                <w:sz w:val="15"/>
                <w:szCs w:val="15"/>
                <w:color w:val="auto"/>
              </w:rPr>
            </w:pPr>
          </w:p>
        </w:tc>
        <w:tc>
          <w:tcPr>
            <w:tcW w:w="440" w:type="dxa"/>
            <w:vAlign w:val="bottom"/>
            <w:tcBorders>
              <w:top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20" w:type="dxa"/>
            <w:vAlign w:val="bottom"/>
            <w:tcBorders>
              <w:top w:val="single" w:sz="8" w:color="auto"/>
            </w:tcBorders>
            <w:shd w:val="clear" w:color="auto" w:fill="DCE2EF"/>
          </w:tcPr>
          <w:p>
            <w:pPr>
              <w:spacing w:after="0"/>
              <w:rPr>
                <w:sz w:val="15"/>
                <w:szCs w:val="15"/>
                <w:color w:val="auto"/>
              </w:rPr>
            </w:pPr>
          </w:p>
        </w:tc>
        <w:tc>
          <w:tcPr>
            <w:tcW w:w="420" w:type="dxa"/>
            <w:vAlign w:val="bottom"/>
            <w:tcBorders>
              <w:top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60" w:type="dxa"/>
            <w:vAlign w:val="bottom"/>
            <w:tcBorders>
              <w:top w:val="single" w:sz="8" w:color="auto"/>
            </w:tcBorders>
            <w:shd w:val="clear" w:color="auto" w:fill="DCE2EF"/>
          </w:tcPr>
          <w:p>
            <w:pPr>
              <w:spacing w:after="0"/>
              <w:rPr>
                <w:sz w:val="15"/>
                <w:szCs w:val="15"/>
                <w:color w:val="auto"/>
              </w:rPr>
            </w:pPr>
          </w:p>
        </w:tc>
        <w:tc>
          <w:tcPr>
            <w:tcW w:w="420" w:type="dxa"/>
            <w:vAlign w:val="bottom"/>
            <w:tcBorders>
              <w:top w:val="single" w:sz="8" w:color="auto"/>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66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Net Income per Diluted Share</w:t>
            </w:r>
          </w:p>
        </w:tc>
        <w:tc>
          <w:tcPr>
            <w:tcW w:w="124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2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60" w:type="dxa"/>
            <w:vAlign w:val="bottom"/>
          </w:tcPr>
          <w:p>
            <w:pPr>
              <w:ind w:left="60"/>
              <w:spacing w:after="0"/>
              <w:rPr>
                <w:sz w:val="20"/>
                <w:szCs w:val="20"/>
                <w:color w:val="auto"/>
              </w:rPr>
            </w:pPr>
            <w:r>
              <w:rPr>
                <w:rFonts w:ascii="Arial" w:cs="Arial" w:eastAsia="Arial" w:hAnsi="Arial"/>
                <w:sz w:val="15"/>
                <w:szCs w:val="15"/>
                <w:color w:val="auto"/>
              </w:rPr>
              <w:t>Net income per diluted share</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0.73</w:t>
            </w:r>
          </w:p>
        </w:tc>
        <w:tc>
          <w:tcPr>
            <w:tcW w:w="13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0.67</w:t>
            </w:r>
          </w:p>
        </w:tc>
        <w:tc>
          <w:tcPr>
            <w:tcW w:w="1120" w:type="dxa"/>
            <w:vAlign w:val="bottom"/>
            <w:gridSpan w:val="2"/>
          </w:tcPr>
          <w:p>
            <w:pPr>
              <w:jc w:val="right"/>
              <w:ind w:right="4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1.37</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24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0.17</w:t>
            </w:r>
          </w:p>
        </w:tc>
        <w:tc>
          <w:tcPr>
            <w:tcW w:w="12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auto"/>
            </w:tcBorders>
            <w:shd w:val="clear" w:color="auto" w:fill="DCE2EF"/>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0.19</w:t>
            </w:r>
          </w:p>
        </w:tc>
        <w:tc>
          <w:tcPr>
            <w:tcW w:w="100" w:type="dxa"/>
            <w:vAlign w:val="bottom"/>
            <w:tcBorders>
              <w:bottom w:val="single" w:sz="8" w:color="DCE2EF"/>
            </w:tcBorders>
            <w:shd w:val="clear" w:color="auto" w:fill="DCE2EF"/>
          </w:tcPr>
          <w:p>
            <w:pPr>
              <w:spacing w:after="0"/>
              <w:rPr>
                <w:sz w:val="22"/>
                <w:szCs w:val="22"/>
                <w:color w:val="auto"/>
              </w:rPr>
            </w:pPr>
          </w:p>
        </w:tc>
        <w:tc>
          <w:tcPr>
            <w:tcW w:w="102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DCE2EF"/>
            </w:tcBorders>
            <w:shd w:val="clear" w:color="auto" w:fill="DCE2EF"/>
          </w:tcPr>
          <w:p>
            <w:pPr>
              <w:spacing w:after="0"/>
              <w:rPr>
                <w:sz w:val="22"/>
                <w:szCs w:val="22"/>
                <w:color w:val="auto"/>
              </w:rPr>
            </w:pPr>
          </w:p>
        </w:tc>
        <w:tc>
          <w:tcPr>
            <w:tcW w:w="106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0.37</w:t>
            </w:r>
          </w:p>
        </w:tc>
        <w:tc>
          <w:tcPr>
            <w:tcW w:w="0" w:type="dxa"/>
            <w:vAlign w:val="bottom"/>
          </w:tcPr>
          <w:p>
            <w:pPr>
              <w:spacing w:after="0"/>
              <w:rPr>
                <w:sz w:val="1"/>
                <w:szCs w:val="1"/>
                <w:color w:val="auto"/>
              </w:rPr>
            </w:pPr>
          </w:p>
        </w:tc>
      </w:tr>
      <w:tr>
        <w:trPr>
          <w:trHeight w:val="233"/>
        </w:trPr>
        <w:tc>
          <w:tcPr>
            <w:tcW w:w="4660" w:type="dxa"/>
            <w:vAlign w:val="bottom"/>
          </w:tcPr>
          <w:p>
            <w:pPr>
              <w:ind w:left="60"/>
              <w:spacing w:after="0"/>
              <w:rPr>
                <w:sz w:val="20"/>
                <w:szCs w:val="20"/>
                <w:color w:val="auto"/>
              </w:rPr>
            </w:pPr>
            <w:r>
              <w:rPr>
                <w:rFonts w:ascii="Arial" w:cs="Arial" w:eastAsia="Arial" w:hAnsi="Arial"/>
                <w:sz w:val="15"/>
                <w:szCs w:val="15"/>
                <w:color w:val="auto"/>
              </w:rPr>
              <w:t>Adjusted net income per diluted share</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0.90</w:t>
            </w:r>
          </w:p>
        </w:tc>
        <w:tc>
          <w:tcPr>
            <w:tcW w:w="13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0.86</w:t>
            </w:r>
          </w:p>
        </w:tc>
        <w:tc>
          <w:tcPr>
            <w:tcW w:w="112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1.72</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60" w:type="dxa"/>
            <w:vAlign w:val="bottom"/>
            <w:shd w:val="clear" w:color="auto" w:fill="DCE2EF"/>
          </w:tcPr>
          <w:p>
            <w:pPr>
              <w:ind w:left="60"/>
              <w:spacing w:after="0"/>
              <w:rPr>
                <w:sz w:val="20"/>
                <w:szCs w:val="20"/>
                <w:color w:val="auto"/>
              </w:rPr>
            </w:pPr>
            <w:r>
              <w:rPr>
                <w:rFonts w:ascii="Arial" w:cs="Arial" w:eastAsia="Arial" w:hAnsi="Arial"/>
                <w:sz w:val="15"/>
                <w:szCs w:val="15"/>
                <w:color w:val="auto"/>
              </w:rPr>
              <w:t>Diluted shares</w:t>
            </w:r>
          </w:p>
        </w:tc>
        <w:tc>
          <w:tcPr>
            <w:tcW w:w="1240" w:type="dxa"/>
            <w:vAlign w:val="bottom"/>
            <w:shd w:val="clear" w:color="auto" w:fill="DCE2EF"/>
          </w:tcPr>
          <w:p>
            <w:pPr>
              <w:spacing w:after="0"/>
              <w:rPr>
                <w:sz w:val="16"/>
                <w:szCs w:val="16"/>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59.1</w:t>
            </w:r>
          </w:p>
        </w:tc>
        <w:tc>
          <w:tcPr>
            <w:tcW w:w="120" w:type="dxa"/>
            <w:vAlign w:val="bottom"/>
            <w:shd w:val="clear" w:color="auto" w:fill="DCE2EF"/>
          </w:tcPr>
          <w:p>
            <w:pPr>
              <w:spacing w:after="0"/>
              <w:rPr>
                <w:sz w:val="16"/>
                <w:szCs w:val="16"/>
                <w:color w:val="auto"/>
              </w:rPr>
            </w:pPr>
          </w:p>
        </w:tc>
        <w:tc>
          <w:tcPr>
            <w:tcW w:w="1220" w:type="dxa"/>
            <w:vAlign w:val="bottom"/>
            <w:shd w:val="clear" w:color="auto" w:fill="DCE2EF"/>
          </w:tcPr>
          <w:p>
            <w:pPr>
              <w:spacing w:after="0"/>
              <w:rPr>
                <w:sz w:val="16"/>
                <w:szCs w:val="16"/>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56"/>
        </w:trPr>
        <w:tc>
          <w:tcPr>
            <w:tcW w:w="4660" w:type="dxa"/>
            <w:vAlign w:val="bottom"/>
            <w:shd w:val="clear" w:color="auto" w:fill="DCE2EF"/>
          </w:tcPr>
          <w:p>
            <w:pPr>
              <w:spacing w:after="0"/>
              <w:rPr>
                <w:sz w:val="4"/>
                <w:szCs w:val="4"/>
                <w:color w:val="auto"/>
              </w:rPr>
            </w:pPr>
          </w:p>
        </w:tc>
        <w:tc>
          <w:tcPr>
            <w:tcW w:w="1240" w:type="dxa"/>
            <w:vAlign w:val="bottom"/>
            <w:shd w:val="clear" w:color="auto" w:fill="DCE2EF"/>
          </w:tcPr>
          <w:p>
            <w:pPr>
              <w:spacing w:after="0"/>
              <w:rPr>
                <w:sz w:val="4"/>
                <w:szCs w:val="4"/>
                <w:color w:val="auto"/>
              </w:rPr>
            </w:pPr>
          </w:p>
        </w:tc>
        <w:tc>
          <w:tcPr>
            <w:tcW w:w="440" w:type="dxa"/>
            <w:vAlign w:val="bottom"/>
            <w:vMerge w:val="continue"/>
            <w:shd w:val="clear" w:color="auto" w:fill="DCE2EF"/>
          </w:tcPr>
          <w:p>
            <w:pPr>
              <w:spacing w:after="0"/>
              <w:rPr>
                <w:sz w:val="4"/>
                <w:szCs w:val="4"/>
                <w:color w:val="auto"/>
              </w:rPr>
            </w:pPr>
          </w:p>
        </w:tc>
        <w:tc>
          <w:tcPr>
            <w:tcW w:w="120" w:type="dxa"/>
            <w:vAlign w:val="bottom"/>
            <w:shd w:val="clear" w:color="auto" w:fill="DCE2EF"/>
          </w:tcPr>
          <w:p>
            <w:pPr>
              <w:spacing w:after="0"/>
              <w:rPr>
                <w:sz w:val="4"/>
                <w:szCs w:val="4"/>
                <w:color w:val="auto"/>
              </w:rPr>
            </w:pPr>
          </w:p>
        </w:tc>
        <w:tc>
          <w:tcPr>
            <w:tcW w:w="1220" w:type="dxa"/>
            <w:vAlign w:val="bottom"/>
            <w:shd w:val="clear" w:color="auto" w:fill="DCE2EF"/>
          </w:tcPr>
          <w:p>
            <w:pPr>
              <w:spacing w:after="0"/>
              <w:rPr>
                <w:sz w:val="4"/>
                <w:szCs w:val="4"/>
                <w:color w:val="auto"/>
              </w:rPr>
            </w:pPr>
          </w:p>
        </w:tc>
        <w:tc>
          <w:tcPr>
            <w:tcW w:w="440" w:type="dxa"/>
            <w:vAlign w:val="bottom"/>
            <w:vMerge w:val="continue"/>
            <w:shd w:val="clear" w:color="auto" w:fill="DCE2EF"/>
          </w:tcPr>
          <w:p>
            <w:pPr>
              <w:spacing w:after="0"/>
              <w:rPr>
                <w:sz w:val="4"/>
                <w:szCs w:val="4"/>
                <w:color w:val="auto"/>
              </w:rPr>
            </w:pPr>
          </w:p>
        </w:tc>
        <w:tc>
          <w:tcPr>
            <w:tcW w:w="100" w:type="dxa"/>
            <w:vAlign w:val="bottom"/>
            <w:shd w:val="clear" w:color="auto" w:fill="DCE2EF"/>
          </w:tcPr>
          <w:p>
            <w:pPr>
              <w:spacing w:after="0"/>
              <w:rPr>
                <w:sz w:val="4"/>
                <w:szCs w:val="4"/>
                <w:color w:val="auto"/>
              </w:rPr>
            </w:pPr>
          </w:p>
        </w:tc>
        <w:tc>
          <w:tcPr>
            <w:tcW w:w="102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100" w:type="dxa"/>
            <w:vAlign w:val="bottom"/>
            <w:shd w:val="clear" w:color="auto" w:fill="DCE2EF"/>
          </w:tcPr>
          <w:p>
            <w:pPr>
              <w:spacing w:after="0"/>
              <w:rPr>
                <w:sz w:val="4"/>
                <w:szCs w:val="4"/>
                <w:color w:val="auto"/>
              </w:rPr>
            </w:pPr>
          </w:p>
        </w:tc>
        <w:tc>
          <w:tcPr>
            <w:tcW w:w="106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-953770</wp:posOffset>
            </wp:positionV>
            <wp:extent cx="7683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-953770</wp:posOffset>
            </wp:positionV>
            <wp:extent cx="6858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-953770</wp:posOffset>
            </wp:positionV>
            <wp:extent cx="6858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-361950</wp:posOffset>
            </wp:positionV>
            <wp:extent cx="7683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-361950</wp:posOffset>
            </wp:positionV>
            <wp:extent cx="6858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-361950</wp:posOffset>
            </wp:positionV>
            <wp:extent cx="6858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8"/>
        </w:trPr>
        <w:tc>
          <w:tcPr>
            <w:tcW w:w="4580" w:type="dxa"/>
            <w:vAlign w:val="bottom"/>
          </w:tcPr>
          <w:p>
            <w:pPr>
              <w:spacing w:after="0"/>
              <w:rPr>
                <w:sz w:val="18"/>
                <w:szCs w:val="18"/>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5"/>
                <w:szCs w:val="15"/>
                <w:b w:val="1"/>
                <w:bCs w:val="1"/>
                <w:color w:val="auto"/>
              </w:rPr>
              <w:t>Three Months Ended April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5"/>
          </w:tcPr>
          <w:p>
            <w:pPr>
              <w:jc w:val="right"/>
              <w:ind w:right="324"/>
              <w:spacing w:after="0"/>
              <w:rPr>
                <w:sz w:val="20"/>
                <w:szCs w:val="20"/>
                <w:color w:val="auto"/>
              </w:rPr>
            </w:pPr>
            <w:r>
              <w:rPr>
                <w:rFonts w:ascii="Arial" w:cs="Arial" w:eastAsia="Arial" w:hAnsi="Arial"/>
                <w:sz w:val="15"/>
                <w:szCs w:val="15"/>
                <w:b w:val="1"/>
                <w:bCs w:val="1"/>
                <w:color w:val="auto"/>
              </w:rPr>
              <w:t>Six Months Ended April 30,</w:t>
            </w:r>
          </w:p>
        </w:tc>
      </w:tr>
      <w:tr>
        <w:trPr>
          <w:trHeight w:val="244"/>
        </w:trPr>
        <w:tc>
          <w:tcPr>
            <w:tcW w:w="4580" w:type="dxa"/>
            <w:vAlign w:val="bottom"/>
          </w:tcPr>
          <w:p>
            <w:pPr>
              <w:spacing w:after="0"/>
              <w:rPr>
                <w:sz w:val="21"/>
                <w:szCs w:val="21"/>
                <w:color w:val="auto"/>
              </w:rPr>
            </w:pP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w w:val="95"/>
              </w:rPr>
              <w:t>2026</w:t>
            </w: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w w:val="95"/>
              </w:rPr>
              <w:t>2025</w:t>
            </w:r>
          </w:p>
        </w:tc>
        <w:tc>
          <w:tcPr>
            <w:tcW w:w="500" w:type="dxa"/>
            <w:vAlign w:val="bottom"/>
            <w:tcBorders>
              <w:bottom w:val="single" w:sz="8" w:color="auto"/>
            </w:tcBorders>
          </w:tcPr>
          <w:p>
            <w:pPr>
              <w:spacing w:after="0"/>
              <w:rPr>
                <w:sz w:val="21"/>
                <w:szCs w:val="21"/>
                <w:color w:val="auto"/>
              </w:rPr>
            </w:pPr>
          </w:p>
        </w:tc>
      </w:tr>
      <w:tr>
        <w:trPr>
          <w:trHeight w:val="182"/>
        </w:trPr>
        <w:tc>
          <w:tcPr>
            <w:tcW w:w="5580" w:type="dxa"/>
            <w:vAlign w:val="bottom"/>
            <w:gridSpan w:val="2"/>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(Used in) Operating</w:t>
            </w:r>
          </w:p>
        </w:tc>
        <w:tc>
          <w:tcPr>
            <w:tcW w:w="160" w:type="dxa"/>
            <w:vAlign w:val="bottom"/>
            <w:shd w:val="clear" w:color="auto" w:fill="DCE2EF"/>
          </w:tcPr>
          <w:p>
            <w:pPr>
              <w:spacing w:after="0"/>
              <w:rPr>
                <w:sz w:val="15"/>
                <w:szCs w:val="15"/>
                <w:color w:val="auto"/>
              </w:rPr>
            </w:pPr>
          </w:p>
        </w:tc>
        <w:tc>
          <w:tcPr>
            <w:tcW w:w="5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180" w:type="dxa"/>
            <w:vAlign w:val="bottom"/>
            <w:shd w:val="clear" w:color="auto" w:fill="DCE2EF"/>
          </w:tcPr>
          <w:p>
            <w:pPr>
              <w:spacing w:after="0"/>
              <w:rPr>
                <w:sz w:val="15"/>
                <w:szCs w:val="15"/>
                <w:color w:val="auto"/>
              </w:rPr>
            </w:pPr>
          </w:p>
        </w:tc>
        <w:tc>
          <w:tcPr>
            <w:tcW w:w="5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80" w:type="dxa"/>
            <w:vAlign w:val="bottom"/>
            <w:shd w:val="clear" w:color="auto" w:fill="DCE2EF"/>
          </w:tcPr>
          <w:p>
            <w:pPr>
              <w:spacing w:after="0"/>
              <w:rPr>
                <w:sz w:val="15"/>
                <w:szCs w:val="15"/>
                <w:color w:val="auto"/>
              </w:rPr>
            </w:pPr>
          </w:p>
        </w:tc>
        <w:tc>
          <w:tcPr>
            <w:tcW w:w="4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c>
          <w:tcPr>
            <w:tcW w:w="500" w:type="dxa"/>
            <w:vAlign w:val="bottom"/>
            <w:shd w:val="clear" w:color="auto" w:fill="DCE2EF"/>
          </w:tcPr>
          <w:p>
            <w:pPr>
              <w:spacing w:after="0"/>
              <w:rPr>
                <w:sz w:val="15"/>
                <w:szCs w:val="15"/>
                <w:color w:val="auto"/>
              </w:rPr>
            </w:pPr>
          </w:p>
        </w:tc>
      </w:tr>
      <w:tr>
        <w:trPr>
          <w:trHeight w:val="222"/>
        </w:trPr>
        <w:tc>
          <w:tcPr>
            <w:tcW w:w="5580" w:type="dxa"/>
            <w:vAlign w:val="bottom"/>
            <w:gridSpan w:val="2"/>
            <w:shd w:val="clear" w:color="auto" w:fill="DCE2EF"/>
          </w:tcPr>
          <w:p>
            <w:pPr>
              <w:ind w:left="60"/>
              <w:spacing w:after="0"/>
              <w:rPr>
                <w:sz w:val="20"/>
                <w:szCs w:val="20"/>
                <w:color w:val="auto"/>
              </w:rPr>
            </w:pPr>
            <w:r>
              <w:rPr>
                <w:rFonts w:ascii="Arial" w:cs="Arial" w:eastAsia="Arial" w:hAnsi="Arial"/>
                <w:sz w:val="15"/>
                <w:szCs w:val="15"/>
                <w:b w:val="1"/>
                <w:bCs w:val="1"/>
                <w:color w:val="auto"/>
              </w:rPr>
              <w:t>Activities to Free Cash Flow</w:t>
            </w:r>
          </w:p>
        </w:tc>
        <w:tc>
          <w:tcPr>
            <w:tcW w:w="16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r>
      <w:tr>
        <w:trPr>
          <w:trHeight w:val="253"/>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Net cash provided by (used in) operating activities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66.2</w:t>
            </w:r>
          </w:p>
        </w:tc>
        <w:tc>
          <w:tcPr>
            <w:tcW w:w="128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32.3</w:t>
            </w:r>
          </w:p>
        </w:tc>
        <w:tc>
          <w:tcPr>
            <w:tcW w:w="98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128.2</w:t>
            </w:r>
          </w:p>
        </w:tc>
        <w:tc>
          <w:tcPr>
            <w:tcW w:w="96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(73.9)</w:t>
            </w:r>
          </w:p>
        </w:tc>
      </w:tr>
      <w:tr>
        <w:trPr>
          <w:trHeight w:val="257"/>
        </w:trPr>
        <w:tc>
          <w:tcPr>
            <w:tcW w:w="458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Additions to property, plant and equipment</w:t>
            </w:r>
          </w:p>
        </w:tc>
        <w:tc>
          <w:tcPr>
            <w:tcW w:w="1000" w:type="dxa"/>
            <w:vAlign w:val="bottom"/>
            <w:tcBorders>
              <w:bottom w:val="single" w:sz="8" w:color="auto"/>
            </w:tcBorders>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Borders>
              <w:bottom w:val="single" w:sz="8" w:color="DCE2EF"/>
            </w:tcBorders>
            <w:shd w:val="clear" w:color="auto" w:fill="DCE2EF"/>
          </w:tcPr>
          <w:p>
            <w:pPr>
              <w:spacing w:after="0"/>
              <w:rPr>
                <w:sz w:val="22"/>
                <w:szCs w:val="22"/>
                <w:color w:val="auto"/>
              </w:rPr>
            </w:pPr>
          </w:p>
        </w:tc>
        <w:tc>
          <w:tcPr>
            <w:tcW w:w="118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(57.0)</w:t>
            </w:r>
          </w:p>
        </w:tc>
        <w:tc>
          <w:tcPr>
            <w:tcW w:w="12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(33.8)</w:t>
            </w:r>
          </w:p>
        </w:tc>
      </w:tr>
      <w:tr>
        <w:trPr>
          <w:trHeight w:val="233"/>
        </w:trPr>
        <w:tc>
          <w:tcPr>
            <w:tcW w:w="5580" w:type="dxa"/>
            <w:vAlign w:val="bottom"/>
            <w:gridSpan w:val="2"/>
          </w:tcPr>
          <w:p>
            <w:pPr>
              <w:ind w:left="60"/>
              <w:spacing w:after="0"/>
              <w:rPr>
                <w:sz w:val="20"/>
                <w:szCs w:val="20"/>
                <w:color w:val="auto"/>
              </w:rPr>
            </w:pPr>
            <w:r>
              <w:rPr>
                <w:rFonts w:ascii="Arial" w:cs="Arial" w:eastAsia="Arial" w:hAnsi="Arial"/>
                <w:sz w:val="15"/>
                <w:szCs w:val="15"/>
                <w:color w:val="auto"/>
              </w:rPr>
              <w:t>Free cash flow</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22.4</w:t>
            </w:r>
          </w:p>
        </w:tc>
        <w:tc>
          <w:tcPr>
            <w:tcW w:w="128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15.2</w:t>
            </w:r>
          </w:p>
        </w:tc>
        <w:tc>
          <w:tcPr>
            <w:tcW w:w="9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71.2</w:t>
            </w:r>
          </w:p>
        </w:tc>
        <w:tc>
          <w:tcPr>
            <w:tcW w:w="96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6"/>
              </w:rPr>
              <w:t>(107.8)</w:t>
            </w:r>
          </w:p>
        </w:tc>
      </w:tr>
      <w:tr>
        <w:trPr>
          <w:trHeight w:val="27"/>
        </w:trPr>
        <w:tc>
          <w:tcPr>
            <w:tcW w:w="458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-790575</wp:posOffset>
            </wp:positionV>
            <wp:extent cx="6858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-790575</wp:posOffset>
            </wp:positionV>
            <wp:extent cx="6858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-790575</wp:posOffset>
            </wp:positionV>
            <wp:extent cx="6858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-199390</wp:posOffset>
            </wp:positionV>
            <wp:extent cx="6858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-199390</wp:posOffset>
            </wp:positionV>
            <wp:extent cx="6858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-199390</wp:posOffset>
            </wp:positionV>
            <wp:extent cx="6858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80"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The Company adjusts income to exclude the impact of certain items that are unusual, non-recurring, or otherwise do not reflect management's views of the underlying operational results and trends of the Company.</w:t>
      </w:r>
    </w:p>
    <w:p>
      <w:pPr>
        <w:spacing w:after="0" w:line="93" w:lineRule="exact"/>
        <w:rPr>
          <w:rFonts w:ascii="Arial" w:cs="Arial" w:eastAsia="Arial" w:hAnsi="Arial"/>
          <w:sz w:val="13"/>
          <w:szCs w:val="13"/>
          <w:color w:val="auto"/>
          <w:vertAlign w:val="superscript"/>
        </w:rPr>
      </w:pPr>
    </w:p>
    <w:p>
      <w:pPr>
        <w:jc w:val="both"/>
        <w:ind w:firstLine="8"/>
        <w:spacing w:after="0" w:line="274" w:lineRule="auto"/>
        <w:tabs>
          <w:tab w:leader="none" w:pos="117"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After communications with the staff of the Securities and Exchange Commission, we have revised the definition of our non-GAAP financial measures, including adjusted net income, adjusted earnings per share, and adjusted EBITDA, to no longer exclude the positive or negative impact of “prior year self-insurance adjustments”. Prior year self-insurance adjustments reflect the net changes to our self-insurance reserves for our general liability, workers’ compensation, automobile, and health insurance programs, related to claims from incidents that occurred in previous years. This definitional change has been applied to second quarter 2026 and first six months of 2026 results and retroactively to all presented periods to ensure comparability.</w:t>
      </w:r>
    </w:p>
    <w:p>
      <w:pPr>
        <w:spacing w:after="0" w:line="214"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Represents costs associated with restructuring program to further streamline our operations and improve the efficiency of our support functions.</w:t>
      </w:r>
    </w:p>
    <w:p>
      <w:pPr>
        <w:spacing w:after="0" w:line="93"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Represents acquisition and integration related costs associated with recent acquisitions.</w:t>
      </w:r>
    </w:p>
    <w:p>
      <w:pPr>
        <w:spacing w:after="0" w:line="93" w:lineRule="exact"/>
        <w:rPr>
          <w:rFonts w:ascii="Arial" w:cs="Arial" w:eastAsia="Arial" w:hAnsi="Arial"/>
          <w:sz w:val="13"/>
          <w:szCs w:val="13"/>
          <w:color w:val="auto"/>
          <w:vertAlign w:val="superscript"/>
        </w:rPr>
      </w:pPr>
    </w:p>
    <w:p>
      <w:pPr>
        <w:jc w:val="both"/>
        <w:ind w:firstLine="8"/>
        <w:spacing w:after="0" w:line="439" w:lineRule="auto"/>
        <w:tabs>
          <w:tab w:leader="none" w:pos="117"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Represents discrete transformational costs that primarily consist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29" w:lineRule="exact"/>
        <w:rPr>
          <w:rFonts w:ascii="Arial" w:cs="Arial" w:eastAsia="Arial" w:hAnsi="Arial"/>
          <w:sz w:val="13"/>
          <w:szCs w:val="13"/>
          <w:color w:val="auto"/>
          <w:vertAlign w:val="superscript"/>
        </w:rPr>
      </w:pPr>
    </w:p>
    <w:p>
      <w:pPr>
        <w:ind w:left="100" w:hanging="92"/>
        <w:spacing w:after="0"/>
        <w:tabs>
          <w:tab w:leader="none" w:pos="10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Three and six months ended April 30, 2025 include a parking tax audit settlement related to prior years.</w:t>
      </w:r>
    </w:p>
    <w:p>
      <w:pPr>
        <w:spacing w:after="0" w:line="93" w:lineRule="exact"/>
        <w:rPr>
          <w:rFonts w:ascii="Arial" w:cs="Arial" w:eastAsia="Arial" w:hAnsi="Arial"/>
          <w:sz w:val="13"/>
          <w:szCs w:val="13"/>
          <w:color w:val="auto"/>
          <w:vertAlign w:val="superscript"/>
        </w:rPr>
      </w:pPr>
    </w:p>
    <w:p>
      <w:pPr>
        <w:ind w:right="20" w:firstLine="8"/>
        <w:spacing w:after="0" w:line="286" w:lineRule="auto"/>
        <w:tabs>
          <w:tab w:leader="none" w:pos="117"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27.72% and 28.11% for FY2026 and FY2025, respectively. We calculate tax from the underlying whole-dollar amounts, as a result, certain amounts may not recalculate based on reported numbers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844"/>
    </w:lvl>
  </w:abstractNum>
  <w:abstractNum w:abstractNumId="3">
    <w:nsid w:val="238E1F29"/>
    <w:multiLevelType w:val="hybridMultilevel"/>
    <w:lvl w:ilvl="0">
      <w:lvlJc w:val="left"/>
      <w:lvlText w:val="(%1)"/>
      <w:numFmt w:val="decimal"/>
      <w:start w:val="21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2026-06-05T06:08:43Z</dcterms:created>
  <dcterms:modified xsi:type="dcterms:W3CDTF">2026-06-05T06:08:43Z</dcterms:modified>
</cp:coreProperties>
</file>