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April 30, 2019</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91"/>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17"/>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301"/>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2760" w:type="dxa"/>
            <w:vAlign w:val="bottom"/>
          </w:tcPr>
          <w:p>
            <w:pPr>
              <w:spacing w:after="0"/>
              <w:rPr>
                <w:sz w:val="20"/>
                <w:szCs w:val="20"/>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392"/>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9"/>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432"/>
        </w:trPr>
        <w:tc>
          <w:tcPr>
            <w:tcW w:w="2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80" w:type="dxa"/>
            <w:vAlign w:val="bottom"/>
            <w:gridSpan w:val="2"/>
          </w:tcPr>
          <w:p>
            <w:pPr>
              <w:jc w:val="center"/>
              <w:ind w:right="4170"/>
              <w:spacing w:after="0"/>
              <w:rPr>
                <w:sz w:val="20"/>
                <w:szCs w:val="20"/>
                <w:color w:val="auto"/>
              </w:rPr>
            </w:pPr>
            <w:r>
              <w:rPr>
                <w:rFonts w:ascii="Arial" w:cs="Arial" w:eastAsia="Arial" w:hAnsi="Arial"/>
                <w:sz w:val="18"/>
                <w:szCs w:val="18"/>
                <w:b w:val="1"/>
                <w:bCs w:val="1"/>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-2194560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170" w:right="279" w:bottom="144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p>
      <w:pPr>
        <w:ind w:left="60"/>
        <w:spacing w:after="0" w:line="207" w:lineRule="exact"/>
        <w:tabs>
          <w:tab w:leader="none" w:pos="2300" w:val="left"/>
          <w:tab w:leader="none" w:pos="3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4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spacing w:after="0" w:line="207" w:lineRule="exact"/>
        <w:tabs>
          <w:tab w:leader="none" w:pos="9140" w:val="left"/>
          <w:tab w:leader="none" w:pos="9580" w:val="left"/>
          <w:tab w:leader="none" w:pos="97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tcPr>
          <w:p>
            <w:pPr>
              <w:spacing w:after="0"/>
              <w:rPr>
                <w:sz w:val="18"/>
                <w:szCs w:val="18"/>
                <w:color w:val="auto"/>
              </w:rPr>
            </w:pPr>
          </w:p>
        </w:tc>
        <w:tc>
          <w:tcPr>
            <w:tcW w:w="8100" w:type="dxa"/>
            <w:vAlign w:val="bottom"/>
            <w:gridSpan w:val="5"/>
          </w:tcPr>
          <w:p>
            <w:pPr>
              <w:ind w:left="1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99"/>
        </w:trPr>
        <w:tc>
          <w:tcPr>
            <w:tcW w:w="33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Title of each class</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10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rPr>
              <w:t>Common Stock, $0.01 par value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ABM</w:t>
            </w:r>
          </w:p>
        </w:tc>
        <w:tc>
          <w:tcPr>
            <w:tcW w:w="468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June 4, 2019: 66,357,643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2">
              <w:r>
                <w:rPr>
                  <w:rFonts w:ascii="Arial" w:cs="Arial" w:eastAsia="Arial" w:hAnsi="Arial"/>
                  <w:sz w:val="15"/>
                  <w:szCs w:val="15"/>
                  <w:color w:val="0000EE"/>
                  <w:w w:val="95"/>
                </w:rPr>
                <w:t>29</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4">
              <w:r>
                <w:rPr>
                  <w:rFonts w:ascii="Arial" w:cs="Arial" w:eastAsia="Arial" w:hAnsi="Arial"/>
                  <w:sz w:val="15"/>
                  <w:szCs w:val="15"/>
                  <w:color w:val="0000EE"/>
                  <w:w w:val="95"/>
                </w:rPr>
                <w:t>51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5">
              <w:r>
                <w:rPr>
                  <w:rFonts w:ascii="Arial" w:cs="Arial" w:eastAsia="Arial" w:hAnsi="Arial"/>
                  <w:sz w:val="15"/>
                  <w:szCs w:val="15"/>
                  <w:color w:val="0000EE"/>
                  <w:w w:val="95"/>
                </w:rPr>
                <w:t>52</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45"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full extent of growth opportunities or potential synergies anticipated from the acquisition of GCA Services Group (“GCA”).</w:t>
      </w:r>
    </w:p>
    <w:p>
      <w:pPr>
        <w:spacing w:after="0" w:line="34"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2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 together with process and technology initiatives following the acquisition of GCA, may not</w:t>
      </w:r>
      <w:r>
        <w:rPr>
          <w:rFonts w:ascii="Arial" w:cs="Arial" w:eastAsia="Arial" w:hAnsi="Arial"/>
          <w:sz w:val="18"/>
          <w:szCs w:val="18"/>
          <w:b w:val="1"/>
          <w:bCs w:val="1"/>
          <w:color w:val="0070C0"/>
        </w:rPr>
        <w:t xml:space="preserve"> </w:t>
      </w:r>
      <w:r>
        <w:rPr>
          <w:rFonts w:ascii="Arial" w:cs="Arial" w:eastAsia="Arial" w:hAnsi="Arial"/>
          <w:sz w:val="18"/>
          <w:szCs w:val="18"/>
          <w:color w:val="000000"/>
        </w:rPr>
        <w:t>have the desired effects on our financial condition and results of operations.</w:t>
      </w:r>
    </w:p>
    <w:p>
      <w:pPr>
        <w:spacing w:after="0" w:line="2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pressures and on our ability to preserve long-term client relationships.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attract and retain qualified personnel and senior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have an effect on our results of operations and financial condition.</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material charges against our earnings.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energy prices, government regulations, and changing consumer preferences, could reduce the demand for facility services and, as a result, reduce our earnings and adversely affect our financial condition.</w:t>
      </w:r>
    </w:p>
    <w:p>
      <w:pPr>
        <w:spacing w:after="0" w:line="3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materially affected by changes to fiscal and tax policies. Negative or unexpected tax consequences could adversely affect our results of operations.</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breaches of, or disruptions to, our information technology systems or those of our third-party providers or clients, or other compromises of our data that could adversely affect our business.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39"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and terrorist attacks could disrupt our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2018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280" w:type="dxa"/>
            <w:vAlign w:val="bottom"/>
          </w:tcPr>
          <w:p>
            <w:pPr>
              <w:spacing w:after="0"/>
              <w:rPr>
                <w:sz w:val="14"/>
                <w:szCs w:val="14"/>
                <w:color w:val="auto"/>
              </w:rPr>
            </w:pPr>
          </w:p>
        </w:tc>
        <w:tc>
          <w:tcPr>
            <w:tcW w:w="17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April 30, 2019</w:t>
            </w:r>
          </w:p>
        </w:tc>
        <w:tc>
          <w:tcPr>
            <w:tcW w:w="240" w:type="dxa"/>
            <w:vAlign w:val="bottom"/>
          </w:tcPr>
          <w:p>
            <w:pPr>
              <w:spacing w:after="0"/>
              <w:rPr>
                <w:sz w:val="14"/>
                <w:szCs w:val="14"/>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742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auto"/>
            </w:tcBorders>
            <w:shd w:val="clear" w:color="auto" w:fill="DCE2EF"/>
          </w:tcPr>
          <w:p>
            <w:pPr>
              <w:spacing w:after="0"/>
              <w:rPr>
                <w:sz w:val="23"/>
                <w:szCs w:val="23"/>
                <w:color w:val="auto"/>
              </w:rPr>
            </w:pPr>
          </w:p>
        </w:tc>
        <w:tc>
          <w:tcPr>
            <w:tcW w:w="166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240" w:type="dxa"/>
            <w:vAlign w:val="bottom"/>
            <w:tcBorders>
              <w:top w:val="single" w:sz="8" w:color="auto"/>
            </w:tcBorders>
            <w:shd w:val="clear" w:color="auto" w:fill="DCE2EF"/>
          </w:tcPr>
          <w:p>
            <w:pPr>
              <w:spacing w:after="0"/>
              <w:rPr>
                <w:sz w:val="23"/>
                <w:szCs w:val="23"/>
                <w:color w:val="auto"/>
              </w:rPr>
            </w:pPr>
          </w:p>
        </w:tc>
        <w:tc>
          <w:tcPr>
            <w:tcW w:w="170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53.7</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receivable, net of allowances of $20.4</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520"/>
              <w:spacing w:after="0"/>
              <w:rPr>
                <w:sz w:val="20"/>
                <w:szCs w:val="20"/>
                <w:color w:val="auto"/>
              </w:rPr>
            </w:pPr>
            <w:r>
              <w:rPr>
                <w:rFonts w:ascii="Arial" w:cs="Arial" w:eastAsia="Arial" w:hAnsi="Arial"/>
                <w:sz w:val="15"/>
                <w:szCs w:val="15"/>
                <w:color w:val="auto"/>
              </w:rPr>
              <w:t>and $19.2 at April 30, 2019 and October 31, 2018, respectively</w:t>
            </w:r>
          </w:p>
        </w:tc>
        <w:tc>
          <w:tcPr>
            <w:tcW w:w="280" w:type="dxa"/>
            <w:vAlign w:val="bottom"/>
          </w:tcPr>
          <w:p>
            <w:pPr>
              <w:spacing w:after="0"/>
              <w:rPr>
                <w:sz w:val="16"/>
                <w:szCs w:val="16"/>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1,048.0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1,014.1</w:t>
            </w:r>
          </w:p>
        </w:tc>
        <w:tc>
          <w:tcPr>
            <w:tcW w:w="0" w:type="dxa"/>
            <w:vAlign w:val="bottom"/>
          </w:tcPr>
          <w:p>
            <w:pPr>
              <w:spacing w:after="0"/>
              <w:rPr>
                <w:sz w:val="1"/>
                <w:szCs w:val="1"/>
                <w:color w:val="auto"/>
              </w:rPr>
            </w:pPr>
          </w:p>
        </w:tc>
      </w:tr>
      <w:tr>
        <w:trPr>
          <w:trHeight w:val="220"/>
        </w:trPr>
        <w:tc>
          <w:tcPr>
            <w:tcW w:w="20" w:type="dxa"/>
            <w:vAlign w:val="bottom"/>
            <w:shd w:val="clear" w:color="auto" w:fill="DCE2EF"/>
          </w:tcPr>
          <w:p>
            <w:pPr>
              <w:spacing w:after="0"/>
              <w:rPr>
                <w:sz w:val="19"/>
                <w:szCs w:val="19"/>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Costs incurred in excess of amounts billed</w:t>
            </w:r>
          </w:p>
        </w:tc>
        <w:tc>
          <w:tcPr>
            <w:tcW w:w="280" w:type="dxa"/>
            <w:vAlign w:val="bottom"/>
            <w:shd w:val="clear" w:color="auto" w:fill="DCE2EF"/>
          </w:tcPr>
          <w:p>
            <w:pPr>
              <w:spacing w:after="0"/>
              <w:rPr>
                <w:sz w:val="19"/>
                <w:szCs w:val="19"/>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53.8</w:t>
            </w:r>
          </w:p>
        </w:tc>
        <w:tc>
          <w:tcPr>
            <w:tcW w:w="10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Prepaid expenses</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74.5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Other current assets</w:t>
            </w:r>
          </w:p>
        </w:tc>
        <w:tc>
          <w:tcPr>
            <w:tcW w:w="280" w:type="dxa"/>
            <w:vAlign w:val="bottom"/>
            <w:tcBorders>
              <w:bottom w:val="single" w:sz="8" w:color="auto"/>
            </w:tcBorders>
            <w:shd w:val="clear" w:color="auto" w:fill="DCE2EF"/>
          </w:tcPr>
          <w:p>
            <w:pPr>
              <w:spacing w:after="0"/>
              <w:rPr>
                <w:sz w:val="23"/>
                <w:szCs w:val="23"/>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50.9</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680"/>
              <w:spacing w:after="0"/>
              <w:rPr>
                <w:sz w:val="20"/>
                <w:szCs w:val="20"/>
                <w:color w:val="auto"/>
              </w:rPr>
            </w:pPr>
            <w:r>
              <w:rPr>
                <w:rFonts w:ascii="Arial" w:cs="Arial" w:eastAsia="Arial" w:hAnsi="Arial"/>
                <w:sz w:val="15"/>
                <w:szCs w:val="15"/>
                <w:color w:val="auto"/>
              </w:rPr>
              <w:t>Total current assets</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1,280.9</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1,171.0</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investments</w:t>
            </w:r>
          </w:p>
        </w:tc>
        <w:tc>
          <w:tcPr>
            <w:tcW w:w="280" w:type="dxa"/>
            <w:vAlign w:val="bottom"/>
            <w:shd w:val="clear" w:color="auto" w:fill="DCE2EF"/>
          </w:tcPr>
          <w:p>
            <w:pPr>
              <w:spacing w:after="0"/>
              <w:rPr>
                <w:sz w:val="22"/>
                <w:szCs w:val="22"/>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8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Property, plant and equipment, net of accumulated depreciation of $176.6</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160"/>
              <w:spacing w:after="0"/>
              <w:rPr>
                <w:sz w:val="20"/>
                <w:szCs w:val="20"/>
                <w:color w:val="auto"/>
              </w:rPr>
            </w:pPr>
            <w:r>
              <w:rPr>
                <w:rFonts w:ascii="Arial" w:cs="Arial" w:eastAsia="Arial" w:hAnsi="Arial"/>
                <w:sz w:val="15"/>
                <w:szCs w:val="15"/>
                <w:color w:val="auto"/>
              </w:rPr>
              <w:t>and $153.9 at April 30, 2019 and October 31, 2018, respectively</w:t>
            </w:r>
          </w:p>
        </w:tc>
        <w:tc>
          <w:tcPr>
            <w:tcW w:w="280" w:type="dxa"/>
            <w:vAlign w:val="bottom"/>
          </w:tcPr>
          <w:p>
            <w:pPr>
              <w:spacing w:after="0"/>
              <w:rPr>
                <w:sz w:val="16"/>
                <w:szCs w:val="16"/>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143.6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19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intangible assets, net of accumulated amortization of $280.6</w:t>
            </w:r>
          </w:p>
        </w:tc>
        <w:tc>
          <w:tcPr>
            <w:tcW w:w="280" w:type="dxa"/>
            <w:vAlign w:val="bottom"/>
            <w:shd w:val="clear" w:color="auto" w:fill="DCE2EF"/>
          </w:tcPr>
          <w:p>
            <w:pPr>
              <w:spacing w:after="0"/>
              <w:rPr>
                <w:sz w:val="16"/>
                <w:szCs w:val="16"/>
                <w:color w:val="auto"/>
              </w:rPr>
            </w:pPr>
          </w:p>
        </w:tc>
        <w:tc>
          <w:tcPr>
            <w:tcW w:w="16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160"/>
              <w:spacing w:after="0"/>
              <w:rPr>
                <w:sz w:val="20"/>
                <w:szCs w:val="20"/>
                <w:color w:val="auto"/>
              </w:rPr>
            </w:pPr>
            <w:r>
              <w:rPr>
                <w:rFonts w:ascii="Arial" w:cs="Arial" w:eastAsia="Arial" w:hAnsi="Arial"/>
                <w:sz w:val="15"/>
                <w:szCs w:val="15"/>
                <w:color w:val="auto"/>
              </w:rPr>
              <w:t>and $250.4 at April 30, 2019 and October 31, 2018, respectively</w:t>
            </w:r>
          </w:p>
        </w:tc>
        <w:tc>
          <w:tcPr>
            <w:tcW w:w="280" w:type="dxa"/>
            <w:vAlign w:val="bottom"/>
            <w:shd w:val="clear" w:color="auto" w:fill="DCE2EF"/>
          </w:tcPr>
          <w:p>
            <w:pPr>
              <w:spacing w:after="0"/>
              <w:rPr>
                <w:sz w:val="16"/>
                <w:szCs w:val="16"/>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325.8</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355.7</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1,836.0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1,834.8</w:t>
            </w:r>
          </w:p>
        </w:tc>
        <w:tc>
          <w:tcPr>
            <w:tcW w:w="0" w:type="dxa"/>
            <w:vAlign w:val="bottom"/>
          </w:tcPr>
          <w:p>
            <w:pPr>
              <w:spacing w:after="0"/>
              <w:rPr>
                <w:sz w:val="1"/>
                <w:szCs w:val="1"/>
                <w:color w:val="auto"/>
              </w:rPr>
            </w:pPr>
          </w:p>
        </w:tc>
      </w:tr>
      <w:tr>
        <w:trPr>
          <w:trHeight w:val="27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shd w:val="clear" w:color="auto" w:fill="DCE2EF"/>
          </w:tcPr>
          <w:p>
            <w:pPr>
              <w:spacing w:after="0"/>
              <w:rPr>
                <w:sz w:val="23"/>
                <w:szCs w:val="23"/>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129.1</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109.6</w:t>
            </w:r>
          </w:p>
        </w:tc>
        <w:tc>
          <w:tcPr>
            <w:tcW w:w="0" w:type="dxa"/>
            <w:vAlign w:val="bottom"/>
          </w:tcPr>
          <w:p>
            <w:pPr>
              <w:spacing w:after="0"/>
              <w:rPr>
                <w:sz w:val="1"/>
                <w:szCs w:val="1"/>
                <w:color w:val="auto"/>
              </w:rPr>
            </w:pPr>
          </w:p>
        </w:tc>
      </w:tr>
      <w:tr>
        <w:trPr>
          <w:trHeight w:val="281"/>
        </w:trPr>
        <w:tc>
          <w:tcPr>
            <w:tcW w:w="74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3,729.9</w:t>
            </w:r>
          </w:p>
        </w:tc>
        <w:tc>
          <w:tcPr>
            <w:tcW w:w="100" w:type="dxa"/>
            <w:vAlign w:val="bottom"/>
            <w:tcBorders>
              <w:bottom w:val="single" w:sz="8" w:color="DCE2EF"/>
            </w:tcBorders>
          </w:tcPr>
          <w:p>
            <w:pPr>
              <w:spacing w:after="0"/>
              <w:rPr>
                <w:sz w:val="24"/>
                <w:szCs w:val="24"/>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3,627.5</w:t>
            </w:r>
          </w:p>
        </w:tc>
        <w:tc>
          <w:tcPr>
            <w:tcW w:w="0" w:type="dxa"/>
            <w:vAlign w:val="bottom"/>
          </w:tcPr>
          <w:p>
            <w:pPr>
              <w:spacing w:after="0"/>
              <w:rPr>
                <w:sz w:val="1"/>
                <w:szCs w:val="1"/>
                <w:color w:val="auto"/>
              </w:rPr>
            </w:pPr>
          </w:p>
        </w:tc>
      </w:tr>
      <w:tr>
        <w:trPr>
          <w:trHeight w:val="251"/>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shd w:val="clear" w:color="auto" w:fill="DCE2EF"/>
          </w:tcPr>
          <w:p>
            <w:pPr>
              <w:spacing w:after="0"/>
              <w:rPr>
                <w:sz w:val="21"/>
                <w:szCs w:val="21"/>
                <w:color w:val="auto"/>
              </w:rPr>
            </w:pPr>
          </w:p>
        </w:tc>
        <w:tc>
          <w:tcPr>
            <w:tcW w:w="166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70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Current portion of long-term debt, net</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47.1</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payable</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232.7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221.9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Accrued compensation</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156.2</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172.1</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Accrued taxes—other than income</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74.4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Insurance claims</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158.5</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149.5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Income taxes payable</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Other accrued liabilities</w:t>
            </w:r>
          </w:p>
        </w:tc>
        <w:tc>
          <w:tcPr>
            <w:tcW w:w="280" w:type="dxa"/>
            <w:vAlign w:val="bottom"/>
            <w:tcBorders>
              <w:bottom w:val="single" w:sz="8" w:color="auto"/>
            </w:tcBorders>
            <w:shd w:val="clear" w:color="auto" w:fill="DCE2EF"/>
          </w:tcPr>
          <w:p>
            <w:pPr>
              <w:spacing w:after="0"/>
              <w:rPr>
                <w:sz w:val="23"/>
                <w:szCs w:val="23"/>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175.0</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152.7</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680"/>
              <w:spacing w:after="0"/>
              <w:rPr>
                <w:sz w:val="20"/>
                <w:szCs w:val="20"/>
                <w:color w:val="auto"/>
              </w:rPr>
            </w:pPr>
            <w:r>
              <w:rPr>
                <w:rFonts w:ascii="Arial" w:cs="Arial" w:eastAsia="Arial" w:hAnsi="Arial"/>
                <w:sz w:val="15"/>
                <w:szCs w:val="15"/>
                <w:color w:val="auto"/>
              </w:rPr>
              <w:t>Total current liabilities</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851.1</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792.5</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Long-term debt, net</w:t>
            </w:r>
          </w:p>
        </w:tc>
        <w:tc>
          <w:tcPr>
            <w:tcW w:w="280" w:type="dxa"/>
            <w:vAlign w:val="bottom"/>
            <w:shd w:val="clear" w:color="auto" w:fill="DCE2EF"/>
          </w:tcPr>
          <w:p>
            <w:pPr>
              <w:spacing w:after="0"/>
              <w:rPr>
                <w:sz w:val="22"/>
                <w:szCs w:val="22"/>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905.5</w:t>
            </w: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902.0</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32.6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37.8</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insurance claims</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370.3</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360.8</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70.9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62.9</w:t>
            </w:r>
          </w:p>
        </w:tc>
        <w:tc>
          <w:tcPr>
            <w:tcW w:w="0" w:type="dxa"/>
            <w:vAlign w:val="bottom"/>
          </w:tcPr>
          <w:p>
            <w:pPr>
              <w:spacing w:after="0"/>
              <w:rPr>
                <w:sz w:val="1"/>
                <w:szCs w:val="1"/>
                <w:color w:val="auto"/>
              </w:rPr>
            </w:pPr>
          </w:p>
        </w:tc>
      </w:tr>
      <w:tr>
        <w:trPr>
          <w:trHeight w:val="27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Noncurrent income taxes payable</w:t>
            </w:r>
          </w:p>
        </w:tc>
        <w:tc>
          <w:tcPr>
            <w:tcW w:w="280" w:type="dxa"/>
            <w:vAlign w:val="bottom"/>
            <w:tcBorders>
              <w:bottom w:val="single" w:sz="8" w:color="auto"/>
            </w:tcBorders>
            <w:shd w:val="clear" w:color="auto" w:fill="DCE2EF"/>
          </w:tcPr>
          <w:p>
            <w:pPr>
              <w:spacing w:after="0"/>
              <w:rPr>
                <w:sz w:val="23"/>
                <w:szCs w:val="23"/>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18.0</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2,248.5</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2,172.9</w:t>
            </w:r>
          </w:p>
        </w:tc>
        <w:tc>
          <w:tcPr>
            <w:tcW w:w="0" w:type="dxa"/>
            <w:vAlign w:val="bottom"/>
          </w:tcPr>
          <w:p>
            <w:pPr>
              <w:spacing w:after="0"/>
              <w:rPr>
                <w:sz w:val="1"/>
                <w:szCs w:val="1"/>
                <w:color w:val="auto"/>
              </w:rPr>
            </w:pPr>
          </w:p>
        </w:tc>
      </w:tr>
      <w:tr>
        <w:trPr>
          <w:trHeight w:val="25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Commitments and contingencies</w:t>
            </w:r>
          </w:p>
        </w:tc>
        <w:tc>
          <w:tcPr>
            <w:tcW w:w="280" w:type="dxa"/>
            <w:vAlign w:val="bottom"/>
            <w:shd w:val="clear" w:color="auto" w:fill="DCE2EF"/>
          </w:tcPr>
          <w:p>
            <w:pPr>
              <w:spacing w:after="0"/>
              <w:rPr>
                <w:sz w:val="22"/>
                <w:szCs w:val="22"/>
                <w:color w:val="auto"/>
              </w:rPr>
            </w:pPr>
          </w:p>
        </w:tc>
        <w:tc>
          <w:tcPr>
            <w:tcW w:w="16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170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80" w:type="dxa"/>
            <w:vAlign w:val="bottom"/>
            <w:shd w:val="clear" w:color="auto" w:fill="DCE2EF"/>
          </w:tcPr>
          <w:p>
            <w:pPr>
              <w:spacing w:after="0"/>
              <w:rPr>
                <w:sz w:val="23"/>
                <w:szCs w:val="23"/>
                <w:color w:val="auto"/>
              </w:rPr>
            </w:pPr>
          </w:p>
        </w:tc>
        <w:tc>
          <w:tcPr>
            <w:tcW w:w="1760" w:type="dxa"/>
            <w:vAlign w:val="bottom"/>
            <w:gridSpan w:val="2"/>
            <w:shd w:val="clear" w:color="auto" w:fill="DCE2E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Common stock, $0.01 par value; 100,000,000 shares authorized;</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0" w:type="dxa"/>
            <w:vAlign w:val="bottom"/>
            <w:gridSpan w:val="2"/>
          </w:tcPr>
          <w:p>
            <w:pPr>
              <w:ind w:left="520"/>
              <w:spacing w:after="0" w:line="162" w:lineRule="exact"/>
              <w:rPr>
                <w:sz w:val="20"/>
                <w:szCs w:val="20"/>
                <w:color w:val="auto"/>
              </w:rPr>
            </w:pPr>
            <w:r>
              <w:rPr>
                <w:rFonts w:ascii="Arial" w:cs="Arial" w:eastAsia="Arial" w:hAnsi="Arial"/>
                <w:sz w:val="15"/>
                <w:szCs w:val="15"/>
                <w:color w:val="auto"/>
              </w:rPr>
              <w:t>66,330,804 and 66,004,361 shares issued and outstanding at</w:t>
            </w: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520"/>
              <w:spacing w:after="0"/>
              <w:rPr>
                <w:sz w:val="20"/>
                <w:szCs w:val="20"/>
                <w:color w:val="auto"/>
              </w:rPr>
            </w:pPr>
            <w:r>
              <w:rPr>
                <w:rFonts w:ascii="Arial" w:cs="Arial" w:eastAsia="Arial" w:hAnsi="Arial"/>
                <w:sz w:val="15"/>
                <w:szCs w:val="15"/>
                <w:color w:val="auto"/>
              </w:rPr>
              <w:t>April 30, 2019 and October 31, 2018, respectively</w:t>
            </w:r>
          </w:p>
        </w:tc>
        <w:tc>
          <w:tcPr>
            <w:tcW w:w="280" w:type="dxa"/>
            <w:vAlign w:val="bottom"/>
          </w:tcPr>
          <w:p>
            <w:pPr>
              <w:spacing w:after="0"/>
              <w:rPr>
                <w:sz w:val="16"/>
                <w:szCs w:val="16"/>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700.6</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691.8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Accumulated other comprehensive loss, net of taxes</w:t>
            </w: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70"/>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Retained earnings</w:t>
            </w:r>
          </w:p>
        </w:tc>
        <w:tc>
          <w:tcPr>
            <w:tcW w:w="280" w:type="dxa"/>
            <w:vAlign w:val="bottom"/>
            <w:tcBorders>
              <w:bottom w:val="single" w:sz="8" w:color="auto"/>
            </w:tcBorders>
            <w:shd w:val="clear" w:color="auto" w:fill="DCE2EF"/>
          </w:tcPr>
          <w:p>
            <w:pPr>
              <w:spacing w:after="0"/>
              <w:rPr>
                <w:sz w:val="23"/>
                <w:szCs w:val="23"/>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795.9</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771.2</w:t>
            </w:r>
          </w:p>
        </w:tc>
        <w:tc>
          <w:tcPr>
            <w:tcW w:w="0" w:type="dxa"/>
            <w:vAlign w:val="bottom"/>
          </w:tcPr>
          <w:p>
            <w:pPr>
              <w:spacing w:after="0"/>
              <w:rPr>
                <w:sz w:val="1"/>
                <w:szCs w:val="1"/>
                <w:color w:val="auto"/>
              </w:rPr>
            </w:pPr>
          </w:p>
        </w:tc>
      </w:tr>
      <w:tr>
        <w:trPr>
          <w:trHeight w:val="250"/>
        </w:trPr>
        <w:tc>
          <w:tcPr>
            <w:tcW w:w="20" w:type="dxa"/>
            <w:vAlign w:val="bottom"/>
            <w:tcBorders>
              <w:bottom w:val="single" w:sz="8" w:color="DCE2EF"/>
            </w:tcBorders>
          </w:tcPr>
          <w:p>
            <w:pPr>
              <w:spacing w:after="0"/>
              <w:rPr>
                <w:sz w:val="21"/>
                <w:szCs w:val="21"/>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1,481.4</w:t>
            </w:r>
          </w:p>
        </w:tc>
        <w:tc>
          <w:tcPr>
            <w:tcW w:w="100" w:type="dxa"/>
            <w:vAlign w:val="bottom"/>
            <w:tcBorders>
              <w:bottom w:val="single" w:sz="8" w:color="DCE2E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1,454.6</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3,729.9</w:t>
            </w: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151"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4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rPr>
              <w:t>Six Months Ended April 30,</w:t>
            </w:r>
          </w:p>
        </w:tc>
      </w:tr>
      <w:tr>
        <w:trPr>
          <w:trHeight w:val="227"/>
        </w:trPr>
        <w:tc>
          <w:tcPr>
            <w:tcW w:w="51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286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1,594.7</w:t>
            </w: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1,580.8</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3,202.6</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3,169.2</w:t>
            </w: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1,414.2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1,405.8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2,860.2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2,835.1</w:t>
            </w: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108.4</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221.1</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216.8</w:t>
            </w: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Restructuring and related expenses</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19.6</w:t>
            </w: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32.9</w:t>
            </w:r>
          </w:p>
        </w:tc>
      </w:tr>
      <w:tr>
        <w:trPr>
          <w:trHeight w:val="246"/>
        </w:trPr>
        <w:tc>
          <w:tcPr>
            <w:tcW w:w="5140" w:type="dxa"/>
            <w:vAlign w:val="bottom"/>
            <w:gridSpan w:val="3"/>
          </w:tcPr>
          <w:p>
            <w:pPr>
              <w:ind w:left="2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64.8</w:t>
            </w: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unconsolidated affiliates</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1.6</w:t>
            </w:r>
          </w:p>
        </w:tc>
      </w:tr>
      <w:tr>
        <w:trPr>
          <w:trHeight w:val="266"/>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r>
      <w:tr>
        <w:trPr>
          <w:trHeight w:val="25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38.2</w:t>
            </w:r>
          </w:p>
        </w:tc>
      </w:tr>
      <w:tr>
        <w:trPr>
          <w:trHeight w:val="266"/>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15.1</w:t>
            </w:r>
          </w:p>
        </w:tc>
      </w:tr>
      <w:tr>
        <w:trPr>
          <w:trHeight w:val="25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53.3</w:t>
            </w:r>
          </w:p>
        </w:tc>
      </w:tr>
      <w:tr>
        <w:trPr>
          <w:trHeight w:val="266"/>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(Loss) income from discontinued operations, net of taxes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r>
      <w:tr>
        <w:trPr>
          <w:trHeight w:val="25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DCE2EF"/>
          </w:tcPr>
          <w:p>
            <w:pPr>
              <w:spacing w:after="0"/>
              <w:rPr>
                <w:sz w:val="22"/>
                <w:szCs w:val="22"/>
                <w:color w:val="auto"/>
              </w:rPr>
            </w:pPr>
          </w:p>
        </w:tc>
        <w:tc>
          <w:tcPr>
            <w:tcW w:w="12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DCE2EF"/>
          </w:tcPr>
          <w:p>
            <w:pPr>
              <w:spacing w:after="0"/>
              <w:rPr>
                <w:sz w:val="22"/>
                <w:szCs w:val="22"/>
                <w:color w:val="auto"/>
              </w:rPr>
            </w:pPr>
          </w:p>
        </w:tc>
        <w:tc>
          <w:tcPr>
            <w:tcW w:w="32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54.4</w:t>
            </w:r>
          </w:p>
        </w:tc>
      </w:tr>
      <w:tr>
        <w:trPr>
          <w:trHeight w:val="260"/>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Interest rate swaps</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23.2</w:t>
            </w: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5.0</w:t>
            </w: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(6.3)</w:t>
            </w:r>
          </w:p>
        </w:tc>
      </w:tr>
      <w:tr>
        <w:trPr>
          <w:trHeight w:val="277"/>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DCE2EF"/>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DCE2EF"/>
            </w:tcBorders>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DCE2EF"/>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76.3</w:t>
            </w:r>
          </w:p>
        </w:tc>
      </w:tr>
      <w:tr>
        <w:trPr>
          <w:trHeight w:val="251"/>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 per common share — Basic</w:t>
            </w:r>
          </w:p>
        </w:tc>
        <w:tc>
          <w:tcPr>
            <w:tcW w:w="260" w:type="dxa"/>
            <w:vAlign w:val="bottom"/>
            <w:shd w:val="clear" w:color="auto" w:fill="DCE2EF"/>
          </w:tcPr>
          <w:p>
            <w:pPr>
              <w:spacing w:after="0"/>
              <w:rPr>
                <w:sz w:val="21"/>
                <w:szCs w:val="21"/>
                <w:color w:val="auto"/>
              </w:rPr>
            </w:pPr>
          </w:p>
        </w:tc>
        <w:tc>
          <w:tcPr>
            <w:tcW w:w="124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16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3"/>
                <w:szCs w:val="23"/>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0.81</w:t>
            </w:r>
          </w:p>
        </w:tc>
      </w:tr>
      <w:tr>
        <w:trPr>
          <w:trHeight w:val="270"/>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from discontinued operations</w:t>
            </w:r>
          </w:p>
        </w:tc>
        <w:tc>
          <w:tcPr>
            <w:tcW w:w="2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2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0.02</w:t>
            </w:r>
          </w:p>
        </w:tc>
      </w:tr>
      <w:tr>
        <w:trPr>
          <w:trHeight w:val="281"/>
        </w:trPr>
        <w:tc>
          <w:tcPr>
            <w:tcW w:w="20" w:type="dxa"/>
            <w:vAlign w:val="bottom"/>
            <w:tcBorders>
              <w:bottom w:val="single" w:sz="8" w:color="DCE2EF"/>
            </w:tcBorders>
          </w:tcPr>
          <w:p>
            <w:pPr>
              <w:spacing w:after="0"/>
              <w:rPr>
                <w:sz w:val="24"/>
                <w:szCs w:val="24"/>
                <w:color w:val="auto"/>
              </w:rPr>
            </w:pPr>
          </w:p>
        </w:tc>
        <w:tc>
          <w:tcPr>
            <w:tcW w:w="512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DCE2E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0.83</w:t>
            </w:r>
          </w:p>
        </w:tc>
      </w:tr>
      <w:tr>
        <w:trPr>
          <w:trHeight w:val="251"/>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Net income per common share — Diluted</w:t>
            </w:r>
          </w:p>
        </w:tc>
        <w:tc>
          <w:tcPr>
            <w:tcW w:w="260" w:type="dxa"/>
            <w:vAlign w:val="bottom"/>
            <w:shd w:val="clear" w:color="auto" w:fill="DCE2EF"/>
          </w:tcPr>
          <w:p>
            <w:pPr>
              <w:spacing w:after="0"/>
              <w:rPr>
                <w:sz w:val="21"/>
                <w:szCs w:val="21"/>
                <w:color w:val="auto"/>
              </w:rPr>
            </w:pPr>
          </w:p>
        </w:tc>
        <w:tc>
          <w:tcPr>
            <w:tcW w:w="1240" w:type="dxa"/>
            <w:vAlign w:val="bottom"/>
            <w:shd w:val="clear" w:color="auto" w:fill="DCE2EF"/>
          </w:tcPr>
          <w:p>
            <w:pPr>
              <w:spacing w:after="0"/>
              <w:rPr>
                <w:sz w:val="21"/>
                <w:szCs w:val="21"/>
                <w:color w:val="auto"/>
              </w:rPr>
            </w:pP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spacing w:after="0"/>
              <w:rPr>
                <w:sz w:val="21"/>
                <w:szCs w:val="21"/>
                <w:color w:val="auto"/>
              </w:rPr>
            </w:pPr>
          </w:p>
        </w:tc>
        <w:tc>
          <w:tcPr>
            <w:tcW w:w="116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spacing w:after="0"/>
              <w:rPr>
                <w:sz w:val="21"/>
                <w:szCs w:val="21"/>
                <w:color w:val="auto"/>
              </w:rPr>
            </w:pPr>
          </w:p>
        </w:tc>
        <w:tc>
          <w:tcPr>
            <w:tcW w:w="1140" w:type="dxa"/>
            <w:vAlign w:val="bottom"/>
            <w:shd w:val="clear" w:color="auto" w:fill="DCE2E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3"/>
                <w:szCs w:val="23"/>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3"/>
                <w:szCs w:val="23"/>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0.80</w:t>
            </w:r>
          </w:p>
        </w:tc>
      </w:tr>
      <w:tr>
        <w:trPr>
          <w:trHeight w:val="270"/>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from discontinued operations</w:t>
            </w:r>
          </w:p>
        </w:tc>
        <w:tc>
          <w:tcPr>
            <w:tcW w:w="260" w:type="dxa"/>
            <w:vAlign w:val="bottom"/>
            <w:shd w:val="clear" w:color="auto" w:fill="DCE2EF"/>
          </w:tcPr>
          <w:p>
            <w:pPr>
              <w:spacing w:after="0"/>
              <w:rPr>
                <w:sz w:val="23"/>
                <w:szCs w:val="23"/>
                <w:color w:val="auto"/>
              </w:rPr>
            </w:pPr>
          </w:p>
        </w:tc>
        <w:tc>
          <w:tcPr>
            <w:tcW w:w="136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2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0.02</w:t>
            </w:r>
          </w:p>
        </w:tc>
      </w:tr>
      <w:tr>
        <w:trPr>
          <w:trHeight w:val="281"/>
        </w:trPr>
        <w:tc>
          <w:tcPr>
            <w:tcW w:w="20" w:type="dxa"/>
            <w:vAlign w:val="bottom"/>
            <w:tcBorders>
              <w:bottom w:val="single" w:sz="8" w:color="DCE2EF"/>
            </w:tcBorders>
          </w:tcPr>
          <w:p>
            <w:pPr>
              <w:spacing w:after="0"/>
              <w:rPr>
                <w:sz w:val="24"/>
                <w:szCs w:val="24"/>
                <w:color w:val="auto"/>
              </w:rPr>
            </w:pPr>
          </w:p>
        </w:tc>
        <w:tc>
          <w:tcPr>
            <w:tcW w:w="512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DCE2E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0.82</w:t>
            </w:r>
          </w:p>
        </w:tc>
      </w:tr>
      <w:tr>
        <w:trPr>
          <w:trHeight w:val="141"/>
        </w:trPr>
        <w:tc>
          <w:tcPr>
            <w:tcW w:w="5140" w:type="dxa"/>
            <w:vAlign w:val="bottom"/>
            <w:gridSpan w:val="3"/>
            <w:shd w:val="clear" w:color="auto" w:fill="DCE2EF"/>
          </w:tcPr>
          <w:p>
            <w:pPr>
              <w:ind w:left="20"/>
              <w:spacing w:after="0" w:line="142" w:lineRule="exact"/>
              <w:rPr>
                <w:sz w:val="20"/>
                <w:szCs w:val="20"/>
                <w:color w:val="auto"/>
              </w:rPr>
            </w:pPr>
            <w:r>
              <w:rPr>
                <w:rFonts w:ascii="Arial" w:cs="Arial" w:eastAsia="Arial" w:hAnsi="Arial"/>
                <w:sz w:val="16"/>
                <w:szCs w:val="16"/>
                <w:b w:val="1"/>
                <w:bCs w:val="1"/>
                <w:color w:val="auto"/>
              </w:rPr>
              <w:t>Weighted-average common and common equivalent shares</w:t>
            </w:r>
          </w:p>
        </w:tc>
        <w:tc>
          <w:tcPr>
            <w:tcW w:w="260" w:type="dxa"/>
            <w:vAlign w:val="bottom"/>
            <w:shd w:val="clear" w:color="auto" w:fill="DCE2EF"/>
          </w:tcPr>
          <w:p>
            <w:pPr>
              <w:spacing w:after="0"/>
              <w:rPr>
                <w:sz w:val="12"/>
                <w:szCs w:val="12"/>
                <w:color w:val="auto"/>
              </w:rPr>
            </w:pPr>
          </w:p>
        </w:tc>
        <w:tc>
          <w:tcPr>
            <w:tcW w:w="1240" w:type="dxa"/>
            <w:vAlign w:val="bottom"/>
            <w:shd w:val="clear" w:color="auto" w:fill="DCE2EF"/>
          </w:tcPr>
          <w:p>
            <w:pPr>
              <w:spacing w:after="0"/>
              <w:rPr>
                <w:sz w:val="12"/>
                <w:szCs w:val="12"/>
                <w:color w:val="auto"/>
              </w:rPr>
            </w:pPr>
          </w:p>
        </w:tc>
        <w:tc>
          <w:tcPr>
            <w:tcW w:w="120" w:type="dxa"/>
            <w:vAlign w:val="bottom"/>
            <w:shd w:val="clear" w:color="auto" w:fill="DCE2EF"/>
          </w:tcPr>
          <w:p>
            <w:pPr>
              <w:spacing w:after="0"/>
              <w:rPr>
                <w:sz w:val="12"/>
                <w:szCs w:val="12"/>
                <w:color w:val="auto"/>
              </w:rPr>
            </w:pPr>
          </w:p>
        </w:tc>
        <w:tc>
          <w:tcPr>
            <w:tcW w:w="340" w:type="dxa"/>
            <w:vAlign w:val="bottom"/>
            <w:shd w:val="clear" w:color="auto" w:fill="DCE2EF"/>
          </w:tcPr>
          <w:p>
            <w:pPr>
              <w:spacing w:after="0"/>
              <w:rPr>
                <w:sz w:val="12"/>
                <w:szCs w:val="12"/>
                <w:color w:val="auto"/>
              </w:rPr>
            </w:pPr>
          </w:p>
        </w:tc>
        <w:tc>
          <w:tcPr>
            <w:tcW w:w="114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20" w:type="dxa"/>
            <w:vAlign w:val="bottom"/>
            <w:shd w:val="clear" w:color="auto" w:fill="DCE2EF"/>
          </w:tcPr>
          <w:p>
            <w:pPr>
              <w:spacing w:after="0"/>
              <w:rPr>
                <w:sz w:val="12"/>
                <w:szCs w:val="12"/>
                <w:color w:val="auto"/>
              </w:rPr>
            </w:pPr>
          </w:p>
        </w:tc>
        <w:tc>
          <w:tcPr>
            <w:tcW w:w="1160" w:type="dxa"/>
            <w:vAlign w:val="bottom"/>
            <w:shd w:val="clear" w:color="auto" w:fill="DCE2EF"/>
          </w:tcPr>
          <w:p>
            <w:pPr>
              <w:spacing w:after="0"/>
              <w:rPr>
                <w:sz w:val="12"/>
                <w:szCs w:val="12"/>
                <w:color w:val="auto"/>
              </w:rPr>
            </w:pPr>
          </w:p>
        </w:tc>
        <w:tc>
          <w:tcPr>
            <w:tcW w:w="100" w:type="dxa"/>
            <w:vAlign w:val="bottom"/>
            <w:shd w:val="clear" w:color="auto" w:fill="DCE2EF"/>
          </w:tcPr>
          <w:p>
            <w:pPr>
              <w:spacing w:after="0"/>
              <w:rPr>
                <w:sz w:val="12"/>
                <w:szCs w:val="12"/>
                <w:color w:val="auto"/>
              </w:rPr>
            </w:pPr>
          </w:p>
        </w:tc>
        <w:tc>
          <w:tcPr>
            <w:tcW w:w="340" w:type="dxa"/>
            <w:vAlign w:val="bottom"/>
            <w:shd w:val="clear" w:color="auto" w:fill="DCE2EF"/>
          </w:tcPr>
          <w:p>
            <w:pPr>
              <w:spacing w:after="0"/>
              <w:rPr>
                <w:sz w:val="12"/>
                <w:szCs w:val="12"/>
                <w:color w:val="auto"/>
              </w:rPr>
            </w:pPr>
          </w:p>
        </w:tc>
        <w:tc>
          <w:tcPr>
            <w:tcW w:w="1140" w:type="dxa"/>
            <w:vAlign w:val="bottom"/>
            <w:shd w:val="clear" w:color="auto" w:fill="DCE2EF"/>
          </w:tcPr>
          <w:p>
            <w:pPr>
              <w:spacing w:after="0"/>
              <w:rPr>
                <w:sz w:val="12"/>
                <w:szCs w:val="12"/>
                <w:color w:val="auto"/>
              </w:rPr>
            </w:pPr>
          </w:p>
        </w:tc>
      </w:tr>
      <w:tr>
        <w:trPr>
          <w:trHeight w:val="217"/>
        </w:trPr>
        <w:tc>
          <w:tcPr>
            <w:tcW w:w="20" w:type="dxa"/>
            <w:vAlign w:val="bottom"/>
            <w:shd w:val="clear" w:color="auto" w:fill="DCE2EF"/>
          </w:tcPr>
          <w:p>
            <w:pPr>
              <w:spacing w:after="0"/>
              <w:rPr>
                <w:sz w:val="18"/>
                <w:szCs w:val="18"/>
                <w:color w:val="auto"/>
              </w:rPr>
            </w:pPr>
          </w:p>
        </w:tc>
        <w:tc>
          <w:tcPr>
            <w:tcW w:w="5120" w:type="dxa"/>
            <w:vAlign w:val="bottom"/>
            <w:gridSpan w:val="2"/>
            <w:shd w:val="clear" w:color="auto" w:fill="DCE2EF"/>
          </w:tcPr>
          <w:p>
            <w:pPr>
              <w:ind w:left="160"/>
              <w:spacing w:after="0"/>
              <w:rPr>
                <w:sz w:val="20"/>
                <w:szCs w:val="20"/>
                <w:color w:val="auto"/>
              </w:rPr>
            </w:pPr>
            <w:r>
              <w:rPr>
                <w:rFonts w:ascii="Arial" w:cs="Arial" w:eastAsia="Arial" w:hAnsi="Arial"/>
                <w:sz w:val="16"/>
                <w:szCs w:val="16"/>
                <w:b w:val="1"/>
                <w:bCs w:val="1"/>
                <w:color w:val="auto"/>
              </w:rPr>
              <w:t>outstanding</w:t>
            </w:r>
          </w:p>
        </w:tc>
        <w:tc>
          <w:tcPr>
            <w:tcW w:w="260" w:type="dxa"/>
            <w:vAlign w:val="bottom"/>
            <w:shd w:val="clear" w:color="auto" w:fill="DCE2EF"/>
          </w:tcPr>
          <w:p>
            <w:pPr>
              <w:spacing w:after="0"/>
              <w:rPr>
                <w:sz w:val="18"/>
                <w:szCs w:val="18"/>
                <w:color w:val="auto"/>
              </w:rPr>
            </w:pPr>
          </w:p>
        </w:tc>
        <w:tc>
          <w:tcPr>
            <w:tcW w:w="1240" w:type="dxa"/>
            <w:vAlign w:val="bottom"/>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4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spacing w:after="0"/>
              <w:rPr>
                <w:sz w:val="18"/>
                <w:szCs w:val="18"/>
                <w:color w:val="auto"/>
              </w:rPr>
            </w:pP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40" w:type="dxa"/>
            <w:vAlign w:val="bottom"/>
            <w:shd w:val="clear" w:color="auto" w:fill="DCE2EF"/>
          </w:tcPr>
          <w:p>
            <w:pPr>
              <w:spacing w:after="0"/>
              <w:rPr>
                <w:sz w:val="18"/>
                <w:szCs w:val="18"/>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66.0</w:t>
            </w: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66.3</w:t>
            </w: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468"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STOCKHOLDERS’ EQUITY</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Three Months Ended April 30,</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Six Months Ended April 30,</w:t>
            </w:r>
          </w:p>
        </w:tc>
        <w:tc>
          <w:tcPr>
            <w:tcW w:w="66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3"/>
                <w:szCs w:val="13"/>
                <w:i w:val="1"/>
                <w:iCs w:val="1"/>
                <w:color w:val="auto"/>
              </w:rPr>
              <w:t>(in millions, except per share amounts)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Amount</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1960" w:type="dxa"/>
            <w:vAlign w:val="bottom"/>
            <w:tcBorders>
              <w:top w:val="single" w:sz="8" w:color="auto"/>
              <w:bottom w:val="single" w:sz="8" w:color="DCE2EF"/>
            </w:tcBorders>
          </w:tcPr>
          <w:p>
            <w:pPr>
              <w:spacing w:after="0" w:line="20" w:lineRule="exact"/>
              <w:rPr>
                <w:sz w:val="1"/>
                <w:szCs w:val="1"/>
                <w:color w:val="auto"/>
              </w:rPr>
            </w:pPr>
          </w:p>
        </w:tc>
        <w:tc>
          <w:tcPr>
            <w:tcW w:w="224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spacing w:after="0"/>
              <w:rPr>
                <w:sz w:val="20"/>
                <w:szCs w:val="20"/>
                <w:color w:val="auto"/>
              </w:rPr>
            </w:pPr>
            <w:r>
              <w:rPr>
                <w:rFonts w:ascii="Arial" w:cs="Arial" w:eastAsia="Arial" w:hAnsi="Arial"/>
                <w:sz w:val="14"/>
                <w:szCs w:val="14"/>
                <w:b w:val="1"/>
                <w:bCs w:val="1"/>
                <w:color w:val="auto"/>
              </w:rPr>
              <w:t>Common Stock</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tcPr>
          <w:p>
            <w:pPr>
              <w:jc w:val="right"/>
              <w:spacing w:after="0"/>
              <w:rPr>
                <w:sz w:val="20"/>
                <w:szCs w:val="20"/>
                <w:color w:val="auto"/>
              </w:rPr>
            </w:pPr>
            <w:r>
              <w:rPr>
                <w:rFonts w:ascii="Arial" w:cs="Arial" w:eastAsia="Arial" w:hAnsi="Arial"/>
                <w:sz w:val="14"/>
                <w:szCs w:val="14"/>
                <w:color w:val="auto"/>
              </w:rPr>
              <w:t>66.2</w:t>
            </w: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65.7</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66.0</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00"/>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under employee stock purchase and share-</w:t>
            </w: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r>
      <w:tr>
        <w:trPr>
          <w:trHeight w:val="178"/>
        </w:trPr>
        <w:tc>
          <w:tcPr>
            <w:tcW w:w="20" w:type="dxa"/>
            <w:vAlign w:val="bottom"/>
            <w:shd w:val="clear" w:color="auto" w:fill="DCE2EF"/>
          </w:tcPr>
          <w:p>
            <w:pPr>
              <w:spacing w:after="0"/>
              <w:rPr>
                <w:sz w:val="15"/>
                <w:szCs w:val="15"/>
                <w:color w:val="auto"/>
              </w:rPr>
            </w:pPr>
          </w:p>
        </w:tc>
        <w:tc>
          <w:tcPr>
            <w:tcW w:w="420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based compensation plans</w:t>
            </w:r>
          </w:p>
        </w:tc>
        <w:tc>
          <w:tcPr>
            <w:tcW w:w="7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700" w:type="dxa"/>
            <w:vAlign w:val="bottom"/>
            <w:tcBorders>
              <w:bottom w:val="single" w:sz="8" w:color="auto"/>
            </w:tcBorders>
            <w:shd w:val="clear" w:color="auto" w:fill="DCE2E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5"/>
                <w:szCs w:val="15"/>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100" w:type="dxa"/>
            <w:vAlign w:val="bottom"/>
            <w:tcBorders>
              <w:bottom w:val="single" w:sz="8" w:color="auto"/>
            </w:tcBorders>
            <w:shd w:val="clear" w:color="auto" w:fill="DCE2EF"/>
          </w:tcPr>
          <w:p>
            <w:pPr>
              <w:spacing w:after="0"/>
              <w:rPr>
                <w:sz w:val="15"/>
                <w:szCs w:val="15"/>
                <w:color w:val="auto"/>
              </w:rPr>
            </w:pPr>
          </w:p>
        </w:tc>
        <w:tc>
          <w:tcPr>
            <w:tcW w:w="68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DCE2EF"/>
          </w:tcPr>
          <w:p>
            <w:pPr>
              <w:spacing w:after="0"/>
              <w:rPr>
                <w:sz w:val="15"/>
                <w:szCs w:val="15"/>
                <w:color w:val="auto"/>
              </w:rPr>
            </w:pPr>
          </w:p>
        </w:tc>
        <w:tc>
          <w:tcPr>
            <w:tcW w:w="6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6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5"/>
                <w:szCs w:val="15"/>
                <w:color w:val="auto"/>
              </w:rPr>
            </w:pPr>
          </w:p>
        </w:tc>
        <w:tc>
          <w:tcPr>
            <w:tcW w:w="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auto"/>
            </w:tcBorders>
            <w:shd w:val="clear" w:color="auto" w:fill="DCE2EF"/>
          </w:tcPr>
          <w:p>
            <w:pPr>
              <w:spacing w:after="0"/>
              <w:rPr>
                <w:sz w:val="15"/>
                <w:szCs w:val="15"/>
                <w:color w:val="auto"/>
              </w:rPr>
            </w:pPr>
          </w:p>
        </w:tc>
        <w:tc>
          <w:tcPr>
            <w:tcW w:w="100" w:type="dxa"/>
            <w:vAlign w:val="bottom"/>
            <w:shd w:val="clear" w:color="auto" w:fill="DCE2EF"/>
          </w:tcPr>
          <w:p>
            <w:pPr>
              <w:spacing w:after="0"/>
              <w:rPr>
                <w:sz w:val="15"/>
                <w:szCs w:val="15"/>
                <w:color w:val="auto"/>
              </w:rPr>
            </w:pPr>
          </w:p>
        </w:tc>
        <w:tc>
          <w:tcPr>
            <w:tcW w:w="120" w:type="dxa"/>
            <w:vAlign w:val="bottom"/>
            <w:tcBorders>
              <w:bottom w:val="single" w:sz="8" w:color="auto"/>
            </w:tcBorders>
            <w:shd w:val="clear" w:color="auto" w:fill="DCE2EF"/>
          </w:tcPr>
          <w:p>
            <w:pPr>
              <w:spacing w:after="0"/>
              <w:rPr>
                <w:sz w:val="15"/>
                <w:szCs w:val="15"/>
                <w:color w:val="auto"/>
              </w:rPr>
            </w:pPr>
          </w:p>
        </w:tc>
        <w:tc>
          <w:tcPr>
            <w:tcW w:w="66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0"/>
        </w:trPr>
        <w:tc>
          <w:tcPr>
            <w:tcW w:w="20" w:type="dxa"/>
            <w:vAlign w:val="bottom"/>
            <w:tcBorders>
              <w:top w:val="single" w:sz="8" w:color="DCE2EF"/>
            </w:tcBorders>
            <w:shd w:val="clear" w:color="auto" w:fill="DCE2EF"/>
          </w:tcPr>
          <w:p>
            <w:pPr>
              <w:spacing w:after="0"/>
              <w:rPr>
                <w:sz w:val="23"/>
                <w:szCs w:val="23"/>
                <w:color w:val="auto"/>
              </w:rPr>
            </w:pPr>
          </w:p>
        </w:tc>
        <w:tc>
          <w:tcPr>
            <w:tcW w:w="4200" w:type="dxa"/>
            <w:vAlign w:val="bottom"/>
            <w:tcBorders>
              <w:top w:val="single" w:sz="8" w:color="DCE2EF"/>
            </w:tcBorders>
            <w:gridSpan w:val="2"/>
            <w:shd w:val="clear" w:color="auto" w:fill="DCE2EF"/>
          </w:tcPr>
          <w:p>
            <w:pPr>
              <w:spacing w:after="0"/>
              <w:rPr>
                <w:sz w:val="20"/>
                <w:szCs w:val="20"/>
                <w:color w:val="auto"/>
              </w:rPr>
            </w:pPr>
            <w:r>
              <w:rPr>
                <w:rFonts w:ascii="Arial" w:cs="Arial" w:eastAsia="Arial" w:hAnsi="Arial"/>
                <w:sz w:val="14"/>
                <w:szCs w:val="14"/>
                <w:b w:val="1"/>
                <w:bCs w:val="1"/>
                <w:color w:val="auto"/>
              </w:rPr>
              <w:t>Additional Paid-in Capital</w:t>
            </w:r>
          </w:p>
        </w:tc>
        <w:tc>
          <w:tcPr>
            <w:tcW w:w="70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70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100" w:type="dxa"/>
            <w:vAlign w:val="bottom"/>
            <w:tcBorders>
              <w:top w:val="single" w:sz="8" w:color="auto"/>
            </w:tcBorders>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68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66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DCE2EF"/>
            </w:tcBorders>
            <w:shd w:val="clear" w:color="auto" w:fill="DCE2EF"/>
          </w:tcPr>
          <w:p>
            <w:pPr>
              <w:spacing w:after="0"/>
              <w:rPr>
                <w:sz w:val="23"/>
                <w:szCs w:val="23"/>
                <w:color w:val="auto"/>
              </w:rPr>
            </w:pPr>
          </w:p>
        </w:tc>
        <w:tc>
          <w:tcPr>
            <w:tcW w:w="660" w:type="dxa"/>
            <w:vAlign w:val="bottom"/>
            <w:tcBorders>
              <w:top w:val="single" w:sz="8" w:color="auto"/>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120" w:type="dxa"/>
            <w:vAlign w:val="bottom"/>
            <w:tcBorders>
              <w:top w:val="single" w:sz="8" w:color="auto"/>
            </w:tcBorders>
            <w:shd w:val="clear" w:color="auto" w:fill="DCE2EF"/>
          </w:tcPr>
          <w:p>
            <w:pPr>
              <w:spacing w:after="0"/>
              <w:rPr>
                <w:sz w:val="23"/>
                <w:szCs w:val="23"/>
                <w:color w:val="auto"/>
              </w:rPr>
            </w:pPr>
          </w:p>
        </w:tc>
        <w:tc>
          <w:tcPr>
            <w:tcW w:w="660" w:type="dxa"/>
            <w:vAlign w:val="bottom"/>
            <w:tcBorders>
              <w:top w:val="single" w:sz="8" w:color="auto"/>
            </w:tcBorders>
            <w:shd w:val="clear" w:color="auto" w:fill="DCE2EF"/>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694.1</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677.1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675.2</w:t>
            </w:r>
          </w:p>
        </w:tc>
      </w:tr>
      <w:tr>
        <w:trPr>
          <w:trHeight w:val="200"/>
        </w:trPr>
        <w:tc>
          <w:tcPr>
            <w:tcW w:w="20" w:type="dxa"/>
            <w:vAlign w:val="bottom"/>
            <w:shd w:val="clear" w:color="auto" w:fill="DCE2EF"/>
          </w:tcPr>
          <w:p>
            <w:pPr>
              <w:spacing w:after="0"/>
              <w:rPr>
                <w:sz w:val="17"/>
                <w:szCs w:val="17"/>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Stock issued (taxes withheld) under employee stock</w:t>
            </w: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7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68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10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660" w:type="dxa"/>
            <w:vAlign w:val="bottom"/>
            <w:shd w:val="clear" w:color="auto" w:fill="DCE2EF"/>
          </w:tcPr>
          <w:p>
            <w:pPr>
              <w:spacing w:after="0"/>
              <w:rPr>
                <w:sz w:val="17"/>
                <w:szCs w:val="17"/>
                <w:color w:val="auto"/>
              </w:rPr>
            </w:pPr>
          </w:p>
        </w:tc>
      </w:tr>
      <w:tr>
        <w:trPr>
          <w:trHeight w:val="184"/>
        </w:trPr>
        <w:tc>
          <w:tcPr>
            <w:tcW w:w="20" w:type="dxa"/>
            <w:vAlign w:val="bottom"/>
            <w:shd w:val="clear" w:color="auto" w:fill="DCE2EF"/>
          </w:tcPr>
          <w:p>
            <w:pPr>
              <w:spacing w:after="0"/>
              <w:rPr>
                <w:sz w:val="16"/>
                <w:szCs w:val="16"/>
                <w:color w:val="auto"/>
              </w:rPr>
            </w:pPr>
          </w:p>
        </w:tc>
        <w:tc>
          <w:tcPr>
            <w:tcW w:w="4200" w:type="dxa"/>
            <w:vAlign w:val="bottom"/>
            <w:gridSpan w:val="2"/>
            <w:shd w:val="clear" w:color="auto" w:fill="DCE2EF"/>
          </w:tcPr>
          <w:p>
            <w:pPr>
              <w:ind w:left="300"/>
              <w:spacing w:after="0"/>
              <w:rPr>
                <w:sz w:val="20"/>
                <w:szCs w:val="20"/>
                <w:color w:val="auto"/>
              </w:rPr>
            </w:pPr>
            <w:r>
              <w:rPr>
                <w:rFonts w:ascii="Arial" w:cs="Arial" w:eastAsia="Arial" w:hAnsi="Arial"/>
                <w:sz w:val="14"/>
                <w:szCs w:val="14"/>
                <w:color w:val="auto"/>
              </w:rPr>
              <w:t>purchase and share-based compensation plans, net</w:t>
            </w:r>
          </w:p>
        </w:tc>
        <w:tc>
          <w:tcPr>
            <w:tcW w:w="7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700" w:type="dxa"/>
            <w:vAlign w:val="bottom"/>
            <w:shd w:val="clear" w:color="auto" w:fill="DCE2E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DCE2EF"/>
          </w:tcPr>
          <w:p>
            <w:pPr>
              <w:spacing w:after="0"/>
              <w:rPr>
                <w:sz w:val="16"/>
                <w:szCs w:val="16"/>
                <w:color w:val="auto"/>
              </w:rPr>
            </w:pPr>
          </w:p>
        </w:tc>
        <w:tc>
          <w:tcPr>
            <w:tcW w:w="68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120" w:type="dxa"/>
            <w:vAlign w:val="bottom"/>
            <w:shd w:val="clear" w:color="auto" w:fill="DCE2EF"/>
          </w:tcPr>
          <w:p>
            <w:pPr>
              <w:spacing w:after="0"/>
              <w:rPr>
                <w:sz w:val="16"/>
                <w:szCs w:val="16"/>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20" w:type="dxa"/>
            <w:vAlign w:val="bottom"/>
            <w:tcBorders>
              <w:bottom w:val="single" w:sz="8" w:color="DCE2EF"/>
            </w:tcBorders>
          </w:tcPr>
          <w:p>
            <w:pPr>
              <w:spacing w:after="0"/>
              <w:rPr>
                <w:sz w:val="22"/>
                <w:szCs w:val="22"/>
                <w:color w:val="auto"/>
              </w:rPr>
            </w:pPr>
          </w:p>
        </w:tc>
        <w:tc>
          <w:tcPr>
            <w:tcW w:w="4200" w:type="dxa"/>
            <w:vAlign w:val="bottom"/>
            <w:tcBorders>
              <w:bottom w:val="single" w:sz="8" w:color="DCE2EF"/>
            </w:tcBorders>
            <w:gridSpan w:val="2"/>
          </w:tcPr>
          <w:p>
            <w:pPr>
              <w:ind w:left="140"/>
              <w:spacing w:after="0"/>
              <w:rPr>
                <w:sz w:val="20"/>
                <w:szCs w:val="20"/>
                <w:color w:val="auto"/>
              </w:rPr>
            </w:pPr>
            <w:r>
              <w:rPr>
                <w:rFonts w:ascii="Arial" w:cs="Arial" w:eastAsia="Arial" w:hAnsi="Arial"/>
                <w:sz w:val="14"/>
                <w:szCs w:val="14"/>
                <w:color w:val="auto"/>
              </w:rPr>
              <w:t>Share-based compensation expense</w:t>
            </w:r>
          </w:p>
        </w:tc>
        <w:tc>
          <w:tcPr>
            <w:tcW w:w="70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DCE2EF"/>
            </w:tcBorders>
          </w:tcPr>
          <w:p>
            <w:pPr>
              <w:spacing w:after="0"/>
              <w:rPr>
                <w:sz w:val="22"/>
                <w:szCs w:val="22"/>
                <w:color w:val="auto"/>
              </w:rPr>
            </w:pPr>
          </w:p>
        </w:tc>
        <w:tc>
          <w:tcPr>
            <w:tcW w:w="66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56"/>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700" w:type="dxa"/>
            <w:vAlign w:val="bottom"/>
            <w:tcBorders>
              <w:bottom w:val="single" w:sz="8" w:color="auto"/>
            </w:tcBorders>
            <w:shd w:val="clear" w:color="auto" w:fill="DCE2EF"/>
          </w:tcPr>
          <w:p>
            <w:pPr>
              <w:jc w:val="right"/>
              <w:ind w:right="68"/>
              <w:spacing w:after="0"/>
              <w:rPr>
                <w:sz w:val="20"/>
                <w:szCs w:val="20"/>
                <w:color w:val="auto"/>
              </w:rPr>
            </w:pPr>
            <w:r>
              <w:rPr>
                <w:rFonts w:ascii="Arial" w:cs="Arial" w:eastAsia="Arial" w:hAnsi="Arial"/>
                <w:sz w:val="14"/>
                <w:szCs w:val="14"/>
                <w:color w:val="auto"/>
              </w:rPr>
              <w:t>700.6</w:t>
            </w: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tcBorders>
              <w:bottom w:val="single" w:sz="8" w:color="auto"/>
            </w:tcBorders>
            <w:shd w:val="clear" w:color="auto" w:fill="DCE2EF"/>
          </w:tcPr>
          <w:p>
            <w:pPr>
              <w:spacing w:after="0"/>
              <w:rPr>
                <w:sz w:val="22"/>
                <w:szCs w:val="22"/>
                <w:color w:val="auto"/>
              </w:rPr>
            </w:pPr>
          </w:p>
        </w:tc>
        <w:tc>
          <w:tcPr>
            <w:tcW w:w="68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683.1</w:t>
            </w: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700.6</w:t>
            </w: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683.1</w:t>
            </w:r>
          </w:p>
        </w:tc>
      </w:tr>
      <w:tr>
        <w:trPr>
          <w:trHeight w:val="156"/>
        </w:trPr>
        <w:tc>
          <w:tcPr>
            <w:tcW w:w="20" w:type="dxa"/>
            <w:vAlign w:val="bottom"/>
          </w:tcPr>
          <w:p>
            <w:pPr>
              <w:spacing w:after="0"/>
              <w:rPr>
                <w:sz w:val="13"/>
                <w:szCs w:val="13"/>
                <w:color w:val="auto"/>
              </w:rPr>
            </w:pPr>
          </w:p>
        </w:tc>
        <w:tc>
          <w:tcPr>
            <w:tcW w:w="42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Accumulated Other Comprehensive (Loss) Income, Net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200" w:type="dxa"/>
            <w:vAlign w:val="bottom"/>
            <w:gridSpan w:val="2"/>
          </w:tcPr>
          <w:p>
            <w:pPr>
              <w:ind w:left="160"/>
              <w:spacing w:after="0"/>
              <w:rPr>
                <w:sz w:val="20"/>
                <w:szCs w:val="20"/>
                <w:color w:val="auto"/>
              </w:rPr>
            </w:pPr>
            <w:r>
              <w:rPr>
                <w:rFonts w:ascii="Arial" w:cs="Arial" w:eastAsia="Arial" w:hAnsi="Arial"/>
                <w:sz w:val="14"/>
                <w:szCs w:val="14"/>
                <w:b w:val="1"/>
                <w:bCs w:val="1"/>
                <w:color w:val="auto"/>
              </w:rPr>
              <w:t>Taxes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(20.3)</w:t>
            </w:r>
          </w:p>
        </w:tc>
      </w:tr>
      <w:tr>
        <w:trPr>
          <w:trHeight w:val="264"/>
        </w:trPr>
        <w:tc>
          <w:tcPr>
            <w:tcW w:w="20" w:type="dxa"/>
            <w:vAlign w:val="bottom"/>
            <w:tcBorders>
              <w:bottom w:val="single" w:sz="8" w:color="DCE2EF"/>
            </w:tcBorders>
          </w:tcPr>
          <w:p>
            <w:pPr>
              <w:spacing w:after="0"/>
              <w:rPr>
                <w:sz w:val="22"/>
                <w:szCs w:val="22"/>
                <w:color w:val="auto"/>
              </w:rPr>
            </w:pPr>
          </w:p>
        </w:tc>
        <w:tc>
          <w:tcPr>
            <w:tcW w:w="4200" w:type="dxa"/>
            <w:vAlign w:val="bottom"/>
            <w:tcBorders>
              <w:bottom w:val="single" w:sz="8" w:color="DCE2EF"/>
            </w:tcBorders>
            <w:gridSpan w:val="2"/>
          </w:tcPr>
          <w:p>
            <w:pPr>
              <w:ind w:left="140"/>
              <w:spacing w:after="0"/>
              <w:rPr>
                <w:sz w:val="20"/>
                <w:szCs w:val="20"/>
                <w:color w:val="auto"/>
              </w:rPr>
            </w:pPr>
            <w:r>
              <w:rPr>
                <w:rFonts w:ascii="Arial" w:cs="Arial" w:eastAsia="Arial" w:hAnsi="Arial"/>
                <w:sz w:val="14"/>
                <w:szCs w:val="14"/>
                <w:color w:val="auto"/>
              </w:rPr>
              <w:t>Other comprehensive (loss) income</w:t>
            </w:r>
          </w:p>
        </w:tc>
        <w:tc>
          <w:tcPr>
            <w:tcW w:w="70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DCE2EF"/>
            </w:tcBorders>
          </w:tcPr>
          <w:p>
            <w:pPr>
              <w:spacing w:after="0"/>
              <w:rPr>
                <w:sz w:val="22"/>
                <w:szCs w:val="22"/>
                <w:color w:val="auto"/>
              </w:rPr>
            </w:pPr>
          </w:p>
        </w:tc>
        <w:tc>
          <w:tcPr>
            <w:tcW w:w="68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DCE2EF"/>
            </w:tcBorders>
          </w:tcPr>
          <w:p>
            <w:pPr>
              <w:spacing w:after="0"/>
              <w:rPr>
                <w:sz w:val="22"/>
                <w:szCs w:val="22"/>
                <w:color w:val="auto"/>
              </w:rPr>
            </w:pPr>
          </w:p>
        </w:tc>
        <w:tc>
          <w:tcPr>
            <w:tcW w:w="660" w:type="dxa"/>
            <w:vAlign w:val="bottom"/>
            <w:tcBorders>
              <w:bottom w:val="single" w:sz="8" w:color="DCE2EF"/>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100" w:type="dxa"/>
            <w:vAlign w:val="bottom"/>
            <w:tcBorders>
              <w:bottom w:val="single" w:sz="8" w:color="DCE2E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w:t>
            </w:r>
          </w:p>
        </w:tc>
      </w:tr>
      <w:tr>
        <w:trPr>
          <w:trHeight w:val="256"/>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70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tcBorders>
              <w:bottom w:val="single" w:sz="8" w:color="auto"/>
            </w:tcBorders>
            <w:shd w:val="clear" w:color="auto" w:fill="DCE2EF"/>
          </w:tcPr>
          <w:p>
            <w:pPr>
              <w:spacing w:after="0"/>
              <w:rPr>
                <w:sz w:val="22"/>
                <w:szCs w:val="22"/>
                <w:color w:val="auto"/>
              </w:rPr>
            </w:pPr>
          </w:p>
        </w:tc>
        <w:tc>
          <w:tcPr>
            <w:tcW w:w="68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1.6</w:t>
            </w:r>
          </w:p>
        </w:tc>
      </w:tr>
      <w:tr>
        <w:trPr>
          <w:trHeight w:val="258"/>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beginning of period</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jc w:val="right"/>
              <w:ind w:right="68"/>
              <w:spacing w:after="0"/>
              <w:rPr>
                <w:sz w:val="20"/>
                <w:szCs w:val="20"/>
                <w:color w:val="auto"/>
              </w:rPr>
            </w:pPr>
            <w:r>
              <w:rPr>
                <w:rFonts w:ascii="Arial" w:cs="Arial" w:eastAsia="Arial" w:hAnsi="Arial"/>
                <w:sz w:val="14"/>
                <w:szCs w:val="14"/>
                <w:color w:val="auto"/>
              </w:rPr>
              <w:t>778.6</w:t>
            </w: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736.2</w:t>
            </w: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771.2</w:t>
            </w: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720.1</w:t>
            </w:r>
          </w:p>
        </w:tc>
      </w:tr>
      <w:tr>
        <w:trPr>
          <w:trHeight w:val="264"/>
        </w:trPr>
        <w:tc>
          <w:tcPr>
            <w:tcW w:w="2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54.4</w:t>
            </w: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Dividends</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4200" w:type="dxa"/>
            <w:vAlign w:val="bottom"/>
            <w:gridSpan w:val="2"/>
          </w:tcPr>
          <w:p>
            <w:pPr>
              <w:ind w:left="240"/>
              <w:spacing w:after="0"/>
              <w:rPr>
                <w:sz w:val="20"/>
                <w:szCs w:val="20"/>
                <w:color w:val="auto"/>
              </w:rPr>
            </w:pPr>
            <w:r>
              <w:rPr>
                <w:rFonts w:ascii="Arial" w:cs="Arial" w:eastAsia="Arial" w:hAnsi="Arial"/>
                <w:sz w:val="14"/>
                <w:szCs w:val="14"/>
                <w:color w:val="auto"/>
              </w:rPr>
              <w:t>Common stock ($0.180, $0.175, $0.360, and $0.350 per</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4200" w:type="dxa"/>
            <w:vAlign w:val="bottom"/>
            <w:gridSpan w:val="2"/>
          </w:tcPr>
          <w:p>
            <w:pPr>
              <w:ind w:left="400"/>
              <w:spacing w:after="0"/>
              <w:rPr>
                <w:sz w:val="20"/>
                <w:szCs w:val="20"/>
                <w:color w:val="auto"/>
              </w:rPr>
            </w:pPr>
            <w:r>
              <w:rPr>
                <w:rFonts w:ascii="Arial" w:cs="Arial" w:eastAsia="Arial" w:hAnsi="Arial"/>
                <w:sz w:val="14"/>
                <w:szCs w:val="14"/>
                <w:color w:val="auto"/>
              </w:rPr>
              <w:t>share)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76"/>
        </w:trPr>
        <w:tc>
          <w:tcPr>
            <w:tcW w:w="20" w:type="dxa"/>
            <w:vAlign w:val="bottom"/>
            <w:shd w:val="clear" w:color="auto" w:fill="DCE2EF"/>
          </w:tcPr>
          <w:p>
            <w:pPr>
              <w:spacing w:after="0"/>
              <w:rPr>
                <w:sz w:val="24"/>
                <w:szCs w:val="24"/>
                <w:color w:val="auto"/>
              </w:rPr>
            </w:pPr>
          </w:p>
        </w:tc>
        <w:tc>
          <w:tcPr>
            <w:tcW w:w="4200" w:type="dxa"/>
            <w:vAlign w:val="bottom"/>
            <w:gridSpan w:val="2"/>
            <w:shd w:val="clear" w:color="auto" w:fill="DCE2E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7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70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DCE2EF"/>
          </w:tcPr>
          <w:p>
            <w:pPr>
              <w:spacing w:after="0"/>
              <w:rPr>
                <w:sz w:val="24"/>
                <w:szCs w:val="24"/>
                <w:color w:val="auto"/>
              </w:rPr>
            </w:pPr>
          </w:p>
        </w:tc>
        <w:tc>
          <w:tcPr>
            <w:tcW w:w="68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6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(0.3)</w:t>
            </w:r>
          </w:p>
        </w:tc>
      </w:tr>
      <w:tr>
        <w:trPr>
          <w:trHeight w:val="194"/>
        </w:trPr>
        <w:tc>
          <w:tcPr>
            <w:tcW w:w="20" w:type="dxa"/>
            <w:vAlign w:val="bottom"/>
          </w:tcPr>
          <w:p>
            <w:pPr>
              <w:spacing w:after="0"/>
              <w:rPr>
                <w:sz w:val="16"/>
                <w:szCs w:val="16"/>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Cumulative effect adjustment for adoption of Accounting</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0" w:type="dxa"/>
            <w:vAlign w:val="bottom"/>
            <w:tcBorders>
              <w:bottom w:val="single" w:sz="8" w:color="DCE2EF"/>
            </w:tcBorders>
          </w:tcPr>
          <w:p>
            <w:pPr>
              <w:spacing w:after="0"/>
              <w:rPr>
                <w:sz w:val="15"/>
                <w:szCs w:val="15"/>
                <w:color w:val="auto"/>
              </w:rPr>
            </w:pPr>
          </w:p>
        </w:tc>
        <w:tc>
          <w:tcPr>
            <w:tcW w:w="4200" w:type="dxa"/>
            <w:vAlign w:val="bottom"/>
            <w:tcBorders>
              <w:bottom w:val="single" w:sz="8" w:color="DCE2EF"/>
            </w:tcBorders>
            <w:gridSpan w:val="2"/>
          </w:tcPr>
          <w:p>
            <w:pPr>
              <w:ind w:left="300"/>
              <w:spacing w:after="0"/>
              <w:rPr>
                <w:sz w:val="20"/>
                <w:szCs w:val="20"/>
                <w:color w:val="auto"/>
              </w:rPr>
            </w:pPr>
            <w:r>
              <w:rPr>
                <w:rFonts w:ascii="Arial" w:cs="Arial" w:eastAsia="Arial" w:hAnsi="Arial"/>
                <w:sz w:val="14"/>
                <w:szCs w:val="14"/>
                <w:color w:val="auto"/>
              </w:rPr>
              <w:t>Standards Update 2014-09</w:t>
            </w:r>
          </w:p>
        </w:tc>
        <w:tc>
          <w:tcPr>
            <w:tcW w:w="70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E2EF"/>
            </w:tcBorders>
          </w:tcPr>
          <w:p>
            <w:pPr>
              <w:spacing w:after="0"/>
              <w:rPr>
                <w:sz w:val="15"/>
                <w:szCs w:val="15"/>
                <w:color w:val="auto"/>
              </w:rPr>
            </w:pPr>
          </w:p>
        </w:tc>
        <w:tc>
          <w:tcPr>
            <w:tcW w:w="6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E2EF"/>
            </w:tcBorders>
          </w:tcPr>
          <w:p>
            <w:pPr>
              <w:spacing w:after="0"/>
              <w:rPr>
                <w:sz w:val="15"/>
                <w:szCs w:val="15"/>
                <w:color w:val="auto"/>
              </w:rPr>
            </w:pPr>
          </w:p>
        </w:tc>
        <w:tc>
          <w:tcPr>
            <w:tcW w:w="68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00" w:type="dxa"/>
            <w:vAlign w:val="bottom"/>
            <w:tcBorders>
              <w:bottom w:val="single" w:sz="8" w:color="DCE2E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DCE2EF"/>
            </w:tcBorders>
          </w:tcPr>
          <w:p>
            <w:pPr>
              <w:spacing w:after="0"/>
              <w:rPr>
                <w:sz w:val="15"/>
                <w:szCs w:val="15"/>
                <w:color w:val="auto"/>
              </w:rPr>
            </w:pPr>
          </w:p>
        </w:tc>
        <w:tc>
          <w:tcPr>
            <w:tcW w:w="660" w:type="dxa"/>
            <w:vAlign w:val="bottom"/>
            <w:tcBorders>
              <w:bottom w:val="single" w:sz="8" w:color="DCE2EF"/>
            </w:tcBorders>
          </w:tcPr>
          <w:p>
            <w:pPr>
              <w:spacing w:after="0"/>
              <w:rPr>
                <w:sz w:val="15"/>
                <w:szCs w:val="15"/>
                <w:color w:val="auto"/>
              </w:rPr>
            </w:pPr>
          </w:p>
        </w:tc>
        <w:tc>
          <w:tcPr>
            <w:tcW w:w="120" w:type="dxa"/>
            <w:vAlign w:val="bottom"/>
            <w:tcBorders>
              <w:bottom w:val="single" w:sz="8" w:color="DCE2EF"/>
            </w:tcBorders>
          </w:tcPr>
          <w:p>
            <w:pPr>
              <w:spacing w:after="0"/>
              <w:rPr>
                <w:sz w:val="15"/>
                <w:szCs w:val="15"/>
                <w:color w:val="auto"/>
              </w:rPr>
            </w:pPr>
          </w:p>
        </w:tc>
        <w:tc>
          <w:tcPr>
            <w:tcW w:w="100" w:type="dxa"/>
            <w:vAlign w:val="bottom"/>
            <w:tcBorders>
              <w:bottom w:val="single" w:sz="8" w:color="DCE2E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20" w:type="dxa"/>
            <w:vAlign w:val="bottom"/>
            <w:shd w:val="clear" w:color="auto" w:fill="DCE2EF"/>
          </w:tcPr>
          <w:p>
            <w:pPr>
              <w:spacing w:after="0"/>
              <w:rPr>
                <w:sz w:val="22"/>
                <w:szCs w:val="22"/>
                <w:color w:val="auto"/>
              </w:rPr>
            </w:pPr>
          </w:p>
        </w:tc>
        <w:tc>
          <w:tcPr>
            <w:tcW w:w="4200" w:type="dxa"/>
            <w:vAlign w:val="bottom"/>
            <w:gridSpan w:val="2"/>
            <w:shd w:val="clear" w:color="auto" w:fill="DCE2EF"/>
          </w:tcPr>
          <w:p>
            <w:pPr>
              <w:ind w:left="140"/>
              <w:spacing w:after="0"/>
              <w:rPr>
                <w:sz w:val="20"/>
                <w:szCs w:val="20"/>
                <w:color w:val="auto"/>
              </w:rPr>
            </w:pPr>
            <w:r>
              <w:rPr>
                <w:rFonts w:ascii="Arial" w:cs="Arial" w:eastAsia="Arial" w:hAnsi="Arial"/>
                <w:sz w:val="14"/>
                <w:szCs w:val="14"/>
                <w:color w:val="auto"/>
              </w:rPr>
              <w:t>Balance, end of period</w:t>
            </w:r>
          </w:p>
        </w:tc>
        <w:tc>
          <w:tcPr>
            <w:tcW w:w="7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700" w:type="dxa"/>
            <w:vAlign w:val="bottom"/>
            <w:tcBorders>
              <w:bottom w:val="single" w:sz="8" w:color="auto"/>
            </w:tcBorders>
            <w:shd w:val="clear" w:color="auto" w:fill="DCE2EF"/>
          </w:tcPr>
          <w:p>
            <w:pPr>
              <w:jc w:val="right"/>
              <w:ind w:right="68"/>
              <w:spacing w:after="0"/>
              <w:rPr>
                <w:sz w:val="20"/>
                <w:szCs w:val="20"/>
                <w:color w:val="auto"/>
              </w:rPr>
            </w:pPr>
            <w:r>
              <w:rPr>
                <w:rFonts w:ascii="Arial" w:cs="Arial" w:eastAsia="Arial" w:hAnsi="Arial"/>
                <w:sz w:val="14"/>
                <w:szCs w:val="14"/>
                <w:color w:val="auto"/>
              </w:rPr>
              <w:t>795.9</w:t>
            </w:r>
          </w:p>
        </w:tc>
        <w:tc>
          <w:tcPr>
            <w:tcW w:w="12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tcBorders>
              <w:bottom w:val="single" w:sz="8" w:color="auto"/>
            </w:tcBorders>
            <w:shd w:val="clear" w:color="auto" w:fill="DCE2EF"/>
          </w:tcPr>
          <w:p>
            <w:pPr>
              <w:spacing w:after="0"/>
              <w:rPr>
                <w:sz w:val="22"/>
                <w:szCs w:val="22"/>
                <w:color w:val="auto"/>
              </w:rPr>
            </w:pPr>
          </w:p>
        </w:tc>
        <w:tc>
          <w:tcPr>
            <w:tcW w:w="68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751.2</w:t>
            </w:r>
          </w:p>
        </w:tc>
        <w:tc>
          <w:tcPr>
            <w:tcW w:w="10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795.9</w:t>
            </w:r>
          </w:p>
        </w:tc>
        <w:tc>
          <w:tcPr>
            <w:tcW w:w="120" w:type="dxa"/>
            <w:vAlign w:val="bottom"/>
            <w:shd w:val="clear" w:color="auto" w:fill="DCE2EF"/>
          </w:tcPr>
          <w:p>
            <w:pPr>
              <w:spacing w:after="0"/>
              <w:rPr>
                <w:sz w:val="22"/>
                <w:szCs w:val="22"/>
                <w:color w:val="auto"/>
              </w:rPr>
            </w:pPr>
          </w:p>
        </w:tc>
        <w:tc>
          <w:tcPr>
            <w:tcW w:w="6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20" w:type="dxa"/>
            <w:vAlign w:val="bottom"/>
            <w:tcBorders>
              <w:bottom w:val="single" w:sz="8" w:color="auto"/>
            </w:tcBorders>
            <w:shd w:val="clear" w:color="auto" w:fill="DCE2EF"/>
          </w:tcPr>
          <w:p>
            <w:pPr>
              <w:spacing w:after="0"/>
              <w:rPr>
                <w:sz w:val="22"/>
                <w:szCs w:val="22"/>
                <w:color w:val="auto"/>
              </w:rPr>
            </w:pPr>
          </w:p>
        </w:tc>
        <w:tc>
          <w:tcPr>
            <w:tcW w:w="66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751.2</w:t>
            </w:r>
          </w:p>
        </w:tc>
      </w:tr>
      <w:tr>
        <w:trPr>
          <w:trHeight w:val="237"/>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Total Stockholders’ Equity</w:t>
            </w:r>
          </w:p>
        </w:tc>
        <w:tc>
          <w:tcPr>
            <w:tcW w:w="70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1,481.4</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1,436.6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1,481.4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1,436.6</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346"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0046AD"/>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CONSOLIDATED STATEMENTS OF CASH FLOWS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(UNAUDITED)</w:t>
      </w:r>
    </w:p>
    <w:p>
      <w:pPr>
        <w:spacing w:after="0" w:line="24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26035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6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54.4</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Loss (income) from discontinued operations, net of taxes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(1.1)</w:t>
            </w:r>
          </w:p>
        </w:tc>
      </w:tr>
      <w:tr>
        <w:trPr>
          <w:trHeight w:val="250"/>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53.3</w:t>
            </w:r>
          </w:p>
        </w:tc>
      </w:tr>
      <w:tr>
        <w:trPr>
          <w:trHeight w:val="182"/>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 continuing</w:t>
            </w:r>
          </w:p>
        </w:tc>
        <w:tc>
          <w:tcPr>
            <w:tcW w:w="34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202"/>
        </w:trPr>
        <w:tc>
          <w:tcPr>
            <w:tcW w:w="40" w:type="dxa"/>
            <w:vAlign w:val="bottom"/>
            <w:shd w:val="clear" w:color="auto" w:fill="DCE2EF"/>
          </w:tcPr>
          <w:p>
            <w:pPr>
              <w:spacing w:after="0"/>
              <w:rPr>
                <w:sz w:val="17"/>
                <w:szCs w:val="17"/>
                <w:color w:val="auto"/>
              </w:rPr>
            </w:pPr>
          </w:p>
        </w:tc>
        <w:tc>
          <w:tcPr>
            <w:tcW w:w="830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operations</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termination of interest rate swaps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25.9</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Share-based compensation expense</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8.3</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Provision for bad debt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Loss on sale of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Income from unconsolidated affiliates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Trade accounts receivable and costs incurred in excess of amounts billed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28.7</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Other noncurrent assets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(37.2)</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Insurance claims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40" w:type="dxa"/>
            <w:vAlign w:val="bottom"/>
            <w:tcBorders>
              <w:bottom w:val="single" w:sz="8" w:color="DCE2EF"/>
            </w:tcBorders>
          </w:tcPr>
          <w:p>
            <w:pPr>
              <w:spacing w:after="0"/>
              <w:rPr>
                <w:sz w:val="22"/>
                <w:szCs w:val="22"/>
                <w:color w:val="auto"/>
              </w:rPr>
            </w:pPr>
          </w:p>
        </w:tc>
        <w:tc>
          <w:tcPr>
            <w:tcW w:w="8300" w:type="dxa"/>
            <w:vAlign w:val="bottom"/>
            <w:tcBorders>
              <w:bottom w:val="single" w:sz="8" w:color="DCE2EF"/>
            </w:tcBorders>
            <w:gridSpan w:val="2"/>
          </w:tcPr>
          <w:p>
            <w:pPr>
              <w:ind w:left="3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5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Total adjustments</w:t>
            </w:r>
          </w:p>
        </w:tc>
        <w:tc>
          <w:tcPr>
            <w:tcW w:w="340" w:type="dxa"/>
            <w:vAlign w:val="bottom"/>
            <w:tcBorders>
              <w:bottom w:val="single" w:sz="8" w:color="auto"/>
            </w:tcBorders>
            <w:shd w:val="clear" w:color="auto" w:fill="DCE2EF"/>
          </w:tcPr>
          <w:p>
            <w:pPr>
              <w:spacing w:after="0"/>
              <w:rPr>
                <w:sz w:val="21"/>
                <w:szCs w:val="21"/>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78.8</w:t>
            </w:r>
          </w:p>
        </w:tc>
      </w:tr>
      <w:tr>
        <w:trPr>
          <w:trHeight w:val="250"/>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132.2</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Net cash (used in) provided by operating activities of discontinued operations</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1.1</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133.3</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20" w:type="dxa"/>
            <w:vAlign w:val="bottom"/>
            <w:shd w:val="clear" w:color="auto" w:fill="DCE2EF"/>
          </w:tcPr>
          <w:p>
            <w:pPr>
              <w:spacing w:after="0"/>
              <w:rPr>
                <w:sz w:val="23"/>
                <w:szCs w:val="23"/>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sale of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0.2</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Adjustments to purchase and sale of business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(0.6)</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DCE2E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20" w:type="dxa"/>
            <w:vAlign w:val="bottom"/>
            <w:shd w:val="clear" w:color="auto" w:fill="DCE2EF"/>
          </w:tcPr>
          <w:p>
            <w:pPr>
              <w:spacing w:after="0"/>
              <w:rPr>
                <w:sz w:val="23"/>
                <w:szCs w:val="23"/>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Taxes withheld from issuance of share-based compensation awards,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Dividends paid</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(23.0)</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Deferred financing costs paid</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Borrowings from credit facility</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665.8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468.5</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Repayment of borrowings from credit facility</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(653.8)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(541.0)</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Changes in book cash overdrafts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(1.7)</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0.8</w:t>
            </w:r>
          </w:p>
        </w:tc>
      </w:tr>
      <w:tr>
        <w:trPr>
          <w:trHeight w:val="244"/>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increase in cash and cash equivalents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62.8</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69.7</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364" w:right="239" w:bottom="75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759"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services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94615</wp:posOffset>
            </wp:positionV>
            <wp:extent cx="5814695"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year ended October 31, 2018 (“Annual Report”). Unless otherwise indicated, all references to years are to our fiscal year, which ends on October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Discontinued Operations</w:t>
      </w:r>
    </w:p>
    <w:p>
      <w:pPr>
        <w:spacing w:after="0" w:line="13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generally relate to litigation we retained and insurance reserves.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Prior Year Reclassifications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2018, we have modified the presentation of inter-segment revenues, which are recorded at cost with no associated intercompany profit or loss and are eliminated in consolidation. Our prior period segment data in Note 11, “Segment Information,” has been reclassified to conform with our fiscal 2019 presentation. These changes had no impact on our previously reported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operate certain parking facilities under managed location arrangements. Under these arrangements, we manage the parking facility for a management fee and pass through the revenue and expenses associated with the facility to the owner. See Note 3, “Revenue,” for further details regarding managed location arrangement considerations under the new revenue standards. These revenues and expenses are reported in equal amounts as costs reimbursed from our managed locations: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April 30,</w:t>
            </w:r>
          </w:p>
        </w:tc>
        <w:tc>
          <w:tcPr>
            <w:tcW w:w="320" w:type="dxa"/>
            <w:vAlign w:val="bottom"/>
          </w:tcPr>
          <w:p>
            <w:pPr>
              <w:spacing w:after="0"/>
              <w:rPr>
                <w:sz w:val="21"/>
                <w:szCs w:val="21"/>
                <w:color w:val="auto"/>
              </w:rPr>
            </w:pPr>
          </w:p>
        </w:tc>
        <w:tc>
          <w:tcPr>
            <w:tcW w:w="30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 April 30,</w:t>
            </w:r>
          </w:p>
        </w:tc>
      </w:tr>
      <w:tr>
        <w:trPr>
          <w:trHeight w:val="230"/>
        </w:trPr>
        <w:tc>
          <w:tcPr>
            <w:tcW w:w="4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9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28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126.5</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28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2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9.9</w:t>
            </w:r>
          </w:p>
        </w:tc>
      </w:tr>
      <w:tr>
        <w:trPr>
          <w:trHeight w:val="25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Recently Adopted Accounting Standards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significant accounting policies are described in Note 2, “Basis of Presentation and Significant Accounting Policies,” in our Annual Report. There have been no material changes to our significant accounting policies during the six months ended April 30, 2019, other than those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Revenue from Contracts with Customers</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(Topic 606) </w:t>
      </w:r>
      <w:r>
        <w:rPr>
          <w:rFonts w:ascii="Arial" w:cs="Arial" w:eastAsia="Arial" w:hAnsi="Arial"/>
          <w:sz w:val="18"/>
          <w:szCs w:val="18"/>
          <w:color w:val="auto"/>
        </w:rPr>
        <w:t>and subsequently issued several ASUs further updating Topic 606.</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May 2017, the FASB issued ASU 2017-10</w:t>
      </w:r>
      <w:r>
        <w:rPr>
          <w:rFonts w:ascii="Arial" w:cs="Arial" w:eastAsia="Arial" w:hAnsi="Arial"/>
          <w:sz w:val="18"/>
          <w:szCs w:val="18"/>
          <w:i w:val="1"/>
          <w:iCs w:val="1"/>
          <w:color w:val="auto"/>
        </w:rPr>
        <w:t>, Service Concession Arrangements (Topic 853): Determining the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of the Operation Services</w:t>
      </w:r>
      <w:r>
        <w:rPr>
          <w:rFonts w:ascii="Arial" w:cs="Arial" w:eastAsia="Arial" w:hAnsi="Arial"/>
          <w:sz w:val="18"/>
          <w:szCs w:val="18"/>
          <w:color w:val="auto"/>
        </w:rPr>
        <w:t>, to clarify how operating entities should determine the customer of operation services for transactions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this guidance, which U.S. GAAP did not address prior to this ASU. The amendment eliminates diversity in practice by clarifying that the grantor is the customer of the operation services in all cases for those arrangements. We determined that revenue we generate from service concession arrangements, primarily from certain parking arrangements, will be accounted for under this guidance. We adopted the amendments in this update in conjunction with the adoption of Topic 606, as discussed below.</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Collectively these ASUs introduce a new principles-based framework for revenue recognition and disclosure. The core principle of the standard is when an entity transfers goods or services to customers it will recognize revenue in an amount that reflects the consideration it expects to be entitled to for those goods or services. The standard also expands the required disclosures to include the disaggregation of revenue from contracts with customers into categories that depict how the nature, timing, and uncertainty of revenue and cash flows are affected by economic factors.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adopted Topic 606 and Topic 853 on November 1, 2018 using a modified retrospective approach with a cumulative-effect adjustment to retained earnings as of the beginning of 2019; prior period financial statements are not adjusted. We applied the standards to contracts that had not been completed at November 1, 2018 and did not apply them to contracts that were modified before the beginning of the earliest reporting period presented. See Note 3, “Revenue,” for further details.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0046AD"/>
        </w:rPr>
        <w:t>Other Recently Adopted Accounting Standards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2019, we adopted the following ASUs with no material impact on our consolidated financial statements:</w:t>
      </w:r>
    </w:p>
    <w:p>
      <w:pPr>
        <w:sectPr>
          <w:pgSz w:w="11900" w:h="16838" w:orient="portrait"/>
          <w:cols w:equalWidth="0" w:num="1">
            <w:col w:w="11420"/>
          </w:cols>
          <w:pgMar w:left="240" w:top="522" w:right="239" w:bottom="1440" w:gutter="0" w:footer="0" w:header="0"/>
        </w:sect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1740" w:type="dxa"/>
            <w:vAlign w:val="bottom"/>
            <w:gridSpan w:val="2"/>
          </w:tcPr>
          <w:p>
            <w:pPr>
              <w:ind w:left="600"/>
              <w:spacing w:after="0"/>
              <w:rPr>
                <w:sz w:val="20"/>
                <w:szCs w:val="20"/>
                <w:color w:val="auto"/>
              </w:rPr>
            </w:pPr>
            <w:r>
              <w:rPr>
                <w:rFonts w:ascii="Arial" w:cs="Arial" w:eastAsia="Arial" w:hAnsi="Arial"/>
                <w:sz w:val="18"/>
                <w:szCs w:val="18"/>
                <w:b w:val="1"/>
                <w:bCs w:val="1"/>
                <w:color w:val="auto"/>
              </w:rPr>
              <w:t>ASU</w:t>
            </w:r>
          </w:p>
        </w:tc>
        <w:tc>
          <w:tcPr>
            <w:tcW w:w="4780" w:type="dxa"/>
            <w:vAlign w:val="bottom"/>
          </w:tcPr>
          <w:p>
            <w:pPr>
              <w:ind w:left="2140"/>
              <w:spacing w:after="0"/>
              <w:rPr>
                <w:sz w:val="20"/>
                <w:szCs w:val="20"/>
                <w:color w:val="auto"/>
              </w:rPr>
            </w:pPr>
            <w:r>
              <w:rPr>
                <w:rFonts w:ascii="Arial" w:cs="Arial" w:eastAsia="Arial" w:hAnsi="Arial"/>
                <w:sz w:val="18"/>
                <w:szCs w:val="18"/>
                <w:b w:val="1"/>
                <w:bCs w:val="1"/>
                <w:color w:val="auto"/>
              </w:rPr>
              <w:t>Topic</w:t>
            </w:r>
          </w:p>
        </w:tc>
      </w:tr>
      <w:tr>
        <w:trPr>
          <w:trHeight w:val="243"/>
        </w:trPr>
        <w:tc>
          <w:tcPr>
            <w:tcW w:w="16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2016-01</w:t>
            </w:r>
          </w:p>
        </w:tc>
        <w:tc>
          <w:tcPr>
            <w:tcW w:w="140" w:type="dxa"/>
            <w:vAlign w:val="bottom"/>
          </w:tcPr>
          <w:p>
            <w:pPr>
              <w:spacing w:after="0"/>
              <w:rPr>
                <w:sz w:val="21"/>
                <w:szCs w:val="21"/>
                <w:color w:val="auto"/>
              </w:rPr>
            </w:pPr>
          </w:p>
        </w:tc>
        <w:tc>
          <w:tcPr>
            <w:tcW w:w="4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Financial Instruments</w:t>
            </w:r>
          </w:p>
        </w:tc>
      </w:tr>
      <w:tr>
        <w:trPr>
          <w:trHeight w:val="242"/>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2016-15</w:t>
            </w:r>
          </w:p>
        </w:tc>
        <w:tc>
          <w:tcPr>
            <w:tcW w:w="1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Statement of Cash Flows — Classification of Certain Cash</w:t>
            </w:r>
          </w:p>
        </w:tc>
      </w:tr>
      <w:tr>
        <w:trPr>
          <w:trHeight w:val="217"/>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Receipts and Cash Payments</w:t>
            </w:r>
          </w:p>
        </w:tc>
      </w:tr>
      <w:tr>
        <w:trPr>
          <w:trHeight w:val="242"/>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2016-16</w:t>
            </w:r>
          </w:p>
        </w:tc>
        <w:tc>
          <w:tcPr>
            <w:tcW w:w="1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Income Taxes — Intra-Entity Transfers of Assets Other</w:t>
            </w:r>
          </w:p>
        </w:tc>
      </w:tr>
      <w:tr>
        <w:trPr>
          <w:trHeight w:val="217"/>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Than Inventory</w:t>
            </w:r>
          </w:p>
        </w:tc>
      </w:tr>
      <w:tr>
        <w:trPr>
          <w:trHeight w:val="257"/>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2016-18</w:t>
            </w:r>
          </w:p>
        </w:tc>
        <w:tc>
          <w:tcPr>
            <w:tcW w:w="1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Statement of Cash Flows — Restricted Cash</w:t>
            </w:r>
          </w:p>
        </w:tc>
      </w:tr>
      <w:tr>
        <w:trPr>
          <w:trHeight w:val="270"/>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2017-07</w:t>
            </w:r>
          </w:p>
        </w:tc>
        <w:tc>
          <w:tcPr>
            <w:tcW w:w="1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Compensation — Retirement Benefits</w:t>
            </w:r>
          </w:p>
        </w:tc>
      </w:tr>
      <w:tr>
        <w:trPr>
          <w:trHeight w:val="270"/>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2017-09</w:t>
            </w:r>
          </w:p>
        </w:tc>
        <w:tc>
          <w:tcPr>
            <w:tcW w:w="1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Compensation — Stock Compensation</w:t>
            </w:r>
          </w:p>
        </w:tc>
      </w:tr>
      <w:tr>
        <w:trPr>
          <w:trHeight w:val="256"/>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2018-02</w:t>
            </w:r>
          </w:p>
        </w:tc>
        <w:tc>
          <w:tcPr>
            <w:tcW w:w="1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Income Statement — Reporting Comprehensive Income:</w:t>
            </w:r>
          </w:p>
        </w:tc>
      </w:tr>
      <w:tr>
        <w:trPr>
          <w:trHeight w:val="203"/>
        </w:trPr>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Reclassification of Certain Tax Effects from Accumulated</w:t>
            </w:r>
          </w:p>
        </w:tc>
      </w:tr>
      <w:tr>
        <w:trPr>
          <w:trHeight w:val="217"/>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r>
      <w:tr>
        <w:trPr>
          <w:trHeight w:val="459"/>
        </w:trPr>
        <w:tc>
          <w:tcPr>
            <w:tcW w:w="1600" w:type="dxa"/>
            <w:vAlign w:val="bottom"/>
          </w:tcPr>
          <w:p>
            <w:pPr>
              <w:jc w:val="right"/>
              <w:ind w:right="830"/>
              <w:spacing w:after="0"/>
              <w:rPr>
                <w:sz w:val="20"/>
                <w:szCs w:val="20"/>
                <w:color w:val="auto"/>
              </w:rPr>
            </w:pPr>
            <w:r>
              <w:rPr>
                <w:rFonts w:ascii="Arial" w:cs="Arial" w:eastAsia="Arial" w:hAnsi="Arial"/>
                <w:sz w:val="18"/>
                <w:szCs w:val="18"/>
                <w:color w:val="auto"/>
                <w:w w:val="99"/>
              </w:rPr>
              <w:t>2018-04</w:t>
            </w:r>
          </w:p>
        </w:tc>
        <w:tc>
          <w:tcPr>
            <w:tcW w:w="14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Investments — Debt Securities</w:t>
            </w: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28575</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Modified retrospective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Retrospective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Prospective</w:t>
      </w:r>
    </w:p>
    <w:p>
      <w:pPr>
        <w:spacing w:after="0" w:line="6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Early adopted; we elected not to reclassify any stranded tax effects of the Tax Cuts and Jobs Act (the “Tax Act”) due to the insignificance of the amount remaining in accumulated other comprehensive income (“AOCI”).</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Adopted in conjunction with ASU 2016-01</w:t>
      </w:r>
    </w:p>
    <w:p>
      <w:pPr>
        <w:spacing w:after="0" w:line="209" w:lineRule="exact"/>
        <w:rPr>
          <w:sz w:val="20"/>
          <w:szCs w:val="20"/>
          <w:color w:val="auto"/>
        </w:rPr>
      </w:pPr>
    </w:p>
    <w:p>
      <w:pPr>
        <w:sectPr>
          <w:pgSz w:w="11900" w:h="16838" w:orient="portrait"/>
          <w:cols w:equalWidth="0" w:num="2">
            <w:col w:w="6540" w:space="120"/>
            <w:col w:w="4760"/>
          </w:cols>
          <w:pgMar w:left="240" w:top="522" w:right="239" w:bottom="1440" w:gutter="0" w:footer="0" w:header="0"/>
          <w:type w:val="continuous"/>
        </w:sectPr>
      </w:pP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Additionally, in August 2018, the U.S. Securities and Exchange Commission (the “SEC”) published Release No. 33-10532,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Update and Simplification</w:t>
      </w:r>
      <w:r>
        <w:rPr>
          <w:rFonts w:ascii="Arial" w:cs="Arial" w:eastAsia="Arial" w:hAnsi="Arial"/>
          <w:sz w:val="18"/>
          <w:szCs w:val="18"/>
          <w:color w:val="auto"/>
        </w:rPr>
        <w:t>, which adopted amendments to certain disclosure requirements that have become redundant, duplicative,</w:t>
      </w:r>
      <w:r>
        <w:rPr>
          <w:rFonts w:ascii="Arial" w:cs="Arial" w:eastAsia="Arial" w:hAnsi="Arial"/>
          <w:sz w:val="18"/>
          <w:szCs w:val="18"/>
          <w:i w:val="1"/>
          <w:iCs w:val="1"/>
          <w:color w:val="auto"/>
        </w:rPr>
        <w:t xml:space="preserve"> </w:t>
      </w:r>
      <w:r>
        <w:rPr>
          <w:rFonts w:ascii="Arial" w:cs="Arial" w:eastAsia="Arial" w:hAnsi="Arial"/>
          <w:sz w:val="18"/>
          <w:szCs w:val="18"/>
          <w:color w:val="auto"/>
        </w:rPr>
        <w:t>overlapping, outdated, or superseded in light of other SEC disclosure requirements, U.S. GAAP, or changes in the information environment, effective for all filings of periods beginning after November 5, 2018. While most of the amendments in this release eliminate outdated or duplicative disclosure requirements, the final rule amends the interim financial statement requirements to include a reconciliation of changes in stockholders’ equity in the notes or as a separate statement for each period for which an income statement is required to be filed. We have provided this required information herein as a separate statement. The eliminated or amended disclosures did not have a material impact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Leases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replaces existing lease accounting guidance. The new standard is intended to provide enhanced transparency and comparability by requiring lessees to record right-of-use assets and corresponding lease liabilities on the balance sheet. The new guidance will require us to continue to classify leases as either operating or financing, with classification affecting the pattern of expense recognition in the statement of comprehensive income. The FASB issued several updates to ASU 2016-02, including: ASU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ASU 2018-11, </w:t>
      </w:r>
      <w:r>
        <w:rPr>
          <w:rFonts w:ascii="Arial" w:cs="Arial" w:eastAsia="Arial" w:hAnsi="Arial"/>
          <w:sz w:val="18"/>
          <w:szCs w:val="18"/>
          <w:i w:val="1"/>
          <w:iCs w:val="1"/>
          <w:color w:val="auto"/>
        </w:rPr>
        <w:t>Leases (Topic 842):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w:t>
      </w:r>
      <w:r>
        <w:rPr>
          <w:rFonts w:ascii="Arial" w:cs="Arial" w:eastAsia="Arial" w:hAnsi="Arial"/>
          <w:sz w:val="18"/>
          <w:szCs w:val="18"/>
          <w:color w:val="auto"/>
        </w:rPr>
        <w:t>, which provides an additional transition method to adopt Topic 842; and ASU 2019-01,</w:t>
      </w:r>
      <w:r>
        <w:rPr>
          <w:rFonts w:ascii="Arial" w:cs="Arial" w:eastAsia="Arial" w:hAnsi="Arial"/>
          <w:sz w:val="18"/>
          <w:szCs w:val="18"/>
          <w:i w:val="1"/>
          <w:iCs w:val="1"/>
          <w:color w:val="auto"/>
        </w:rPr>
        <w:t xml:space="preserve"> Leases (Topic 842): Codification Improvements</w:t>
      </w:r>
      <w:r>
        <w:rPr>
          <w:rFonts w:ascii="Arial" w:cs="Arial" w:eastAsia="Arial" w:hAnsi="Arial"/>
          <w:sz w:val="18"/>
          <w:szCs w:val="18"/>
          <w:color w:val="auto"/>
        </w:rPr>
        <w:t>, which addresses, among other issues, determination of the fair value of the underlying asset by lessors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or dealers and clarifies interim period transition disclosure requirements.</w:t>
      </w:r>
    </w:p>
    <w:p>
      <w:pPr>
        <w:spacing w:after="0" w:line="1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established an implementation team to comprehensively evaluate the impact of adopting this guidance, which includes: reviewing our lease portfolio; implementing new system tools to help us meet reporting requirements; and assessing the impact to business processes, internal control over financial reporting, and the related disclosure requirements. While our evaluation is ongoing, we believe the adoption of this standard will have a significant impact on our consolidated balance sheets due to the recognition of right-of-use assets and corresponding lease liabilities. Refer to Note 14, “Commitments and Contingencies,” in our 2018 Annual Report for information about our lease obligations. This standard will become effective for us on November 1, 2019. We plan to adopt using a modified retrospective transition approach for leases that exist in the period of adoption, and therefore we will not restate the prior comparative periods.</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 other recently issued standards are expected to have a significant impact on our fiscal 2020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2"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64FA2"/>
        </w:rPr>
        <w:t>Impact of Adopting Topic 606 and Topic 853 on the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1, 2018, we recorded a pre-tax increase of $9.1 million to our opening retained earnings as a result of adopting Topic</w:t>
      </w:r>
    </w:p>
    <w:p>
      <w:pPr>
        <w:spacing w:after="0" w:line="9" w:lineRule="exact"/>
        <w:rPr>
          <w:sz w:val="20"/>
          <w:szCs w:val="20"/>
          <w:color w:val="auto"/>
        </w:rPr>
      </w:pPr>
    </w:p>
    <w:p>
      <w:pPr>
        <w:jc w:val="both"/>
        <w:ind w:firstLine="8"/>
        <w:spacing w:after="0" w:line="252" w:lineRule="auto"/>
        <w:tabs>
          <w:tab w:leader="none" w:pos="4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changes primarily related to: (1) the capitalization of certain commission costs that were previously expensed as incurred; (2) the deferral of revenue, and the associated margin, on uninstalled materials associated with certain project type contracts that will now be recognized when installation is substantially complete; and (3) the deferral of initial franchise license fees that were previously recognized when the franchise license term began but will now be recognized over the term of the initial franchise arrangement. Changes to our consolidated balance sheets include the separate presentation of costs incurred in excess of amounts billed, which were previously included in trade accounts receivable, net. Additionally, in accordance with Topic 853, rent expense related to service concession arrangements, which was previously classified as an operating expense, is now classified as a reduction of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October</w:t>
            </w:r>
          </w:p>
        </w:tc>
        <w:tc>
          <w:tcPr>
            <w:tcW w:w="2060" w:type="dxa"/>
            <w:vAlign w:val="bottom"/>
            <w:gridSpan w:val="3"/>
          </w:tcPr>
          <w:p>
            <w:pPr>
              <w:ind w:left="120"/>
              <w:spacing w:after="0"/>
              <w:rPr>
                <w:sz w:val="20"/>
                <w:szCs w:val="20"/>
                <w:color w:val="auto"/>
              </w:rPr>
            </w:pPr>
            <w:r>
              <w:rPr>
                <w:rFonts w:ascii="Arial" w:cs="Arial" w:eastAsia="Arial" w:hAnsi="Arial"/>
                <w:sz w:val="18"/>
                <w:szCs w:val="18"/>
                <w:b w:val="1"/>
                <w:bCs w:val="1"/>
                <w:color w:val="auto"/>
              </w:rPr>
              <w:t>Adjustments Due to</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November</w:t>
            </w:r>
          </w:p>
        </w:tc>
      </w:tr>
      <w:tr>
        <w:trPr>
          <w:trHeight w:val="212"/>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8"/>
                <w:szCs w:val="18"/>
                <w:color w:val="auto"/>
              </w:rPr>
            </w:pP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31, 2018</w:t>
            </w:r>
          </w:p>
        </w:tc>
        <w:tc>
          <w:tcPr>
            <w:tcW w:w="100" w:type="dxa"/>
            <w:vAlign w:val="bottom"/>
          </w:tcPr>
          <w:p>
            <w:pPr>
              <w:spacing w:after="0"/>
              <w:rPr>
                <w:sz w:val="18"/>
                <w:szCs w:val="18"/>
                <w:color w:val="auto"/>
              </w:rPr>
            </w:pP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rPr>
              <w:t>Adoption of Topic 606</w:t>
            </w:r>
          </w:p>
        </w:tc>
        <w:tc>
          <w:tcPr>
            <w:tcW w:w="400" w:type="dxa"/>
            <w:vAlign w:val="bottom"/>
          </w:tcPr>
          <w:p>
            <w:pPr>
              <w:spacing w:after="0"/>
              <w:rPr>
                <w:sz w:val="18"/>
                <w:szCs w:val="18"/>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auto"/>
              </w:rPr>
              <w:t>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CE2EF"/>
          </w:tcPr>
          <w:p>
            <w:pPr>
              <w:spacing w:after="0"/>
              <w:rPr>
                <w:sz w:val="22"/>
                <w:szCs w:val="22"/>
                <w:color w:val="auto"/>
              </w:rPr>
            </w:pPr>
          </w:p>
        </w:tc>
        <w:tc>
          <w:tcPr>
            <w:tcW w:w="18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78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540" w:type="dxa"/>
            <w:vAlign w:val="bottom"/>
            <w:shd w:val="clear" w:color="auto" w:fill="DCE2EF"/>
          </w:tcPr>
          <w:p>
            <w:pPr>
              <w:spacing w:after="0"/>
              <w:rPr>
                <w:sz w:val="22"/>
                <w:szCs w:val="22"/>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Trade accounts receivable, net</w:t>
            </w:r>
          </w:p>
        </w:tc>
        <w:tc>
          <w:tcPr>
            <w:tcW w:w="14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974.0</w:t>
            </w: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Costs incurred in excess of amounts billed</w:t>
            </w:r>
          </w:p>
        </w:tc>
        <w:tc>
          <w:tcPr>
            <w:tcW w:w="140" w:type="dxa"/>
            <w:vAlign w:val="bottom"/>
          </w:tcPr>
          <w:p>
            <w:pPr>
              <w:spacing w:after="0"/>
              <w:rPr>
                <w:sz w:val="22"/>
                <w:szCs w:val="22"/>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40.6</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90"/>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62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158.9</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140" w:type="dxa"/>
            <w:vAlign w:val="bottom"/>
            <w:shd w:val="clear" w:color="auto" w:fill="DCE2EF"/>
          </w:tcPr>
          <w:p>
            <w:pPr>
              <w:spacing w:after="0"/>
              <w:rPr>
                <w:sz w:val="24"/>
                <w:szCs w:val="24"/>
                <w:color w:val="auto"/>
              </w:rPr>
            </w:pPr>
          </w:p>
        </w:tc>
        <w:tc>
          <w:tcPr>
            <w:tcW w:w="18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DCE2EF"/>
          </w:tcPr>
          <w:p>
            <w:pPr>
              <w:spacing w:after="0"/>
              <w:rPr>
                <w:sz w:val="24"/>
                <w:szCs w:val="24"/>
                <w:color w:val="auto"/>
              </w:rPr>
            </w:pPr>
          </w:p>
        </w:tc>
        <w:tc>
          <w:tcPr>
            <w:tcW w:w="78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5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40.3</w:t>
            </w:r>
          </w:p>
        </w:tc>
      </w:tr>
      <w:tr>
        <w:trPr>
          <w:trHeight w:val="257"/>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2"/>
                <w:szCs w:val="22"/>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777.6</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adopting Topic 606 on our unaudited consolidated balance sheet as of April 30, 2019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9"/>
              </w:rPr>
              <w:t>As of April 30, 2019</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Under Historical</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2"/>
        </w:trPr>
        <w:tc>
          <w:tcPr>
            <w:tcW w:w="5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Guidance</w:t>
            </w: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Effect of Adoption</w:t>
            </w:r>
          </w:p>
        </w:tc>
        <w:tc>
          <w:tcPr>
            <w:tcW w:w="28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6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DCE2EF"/>
          </w:tcPr>
          <w:p>
            <w:pPr>
              <w:spacing w:after="0"/>
              <w:rPr>
                <w:sz w:val="22"/>
                <w:szCs w:val="22"/>
                <w:color w:val="auto"/>
              </w:rPr>
            </w:pPr>
          </w:p>
        </w:tc>
        <w:tc>
          <w:tcPr>
            <w:tcW w:w="17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40" w:type="dxa"/>
            <w:vAlign w:val="bottom"/>
            <w:shd w:val="clear" w:color="auto" w:fill="DCE2EF"/>
          </w:tcPr>
          <w:p>
            <w:pPr>
              <w:spacing w:after="0"/>
              <w:rPr>
                <w:sz w:val="22"/>
                <w:szCs w:val="22"/>
                <w:color w:val="auto"/>
              </w:rPr>
            </w:pPr>
          </w:p>
        </w:tc>
        <w:tc>
          <w:tcPr>
            <w:tcW w:w="18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660" w:type="dxa"/>
            <w:vAlign w:val="bottom"/>
            <w:shd w:val="clear" w:color="auto" w:fill="DCE2EF"/>
          </w:tcPr>
          <w:p>
            <w:pPr>
              <w:spacing w:after="0"/>
              <w:rPr>
                <w:sz w:val="22"/>
                <w:szCs w:val="22"/>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5320" w:type="dxa"/>
            <w:vAlign w:val="bottom"/>
            <w:gridSpan w:val="2"/>
            <w:shd w:val="clear" w:color="auto" w:fill="DCE2EF"/>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DCE2EF"/>
          </w:tcPr>
          <w:p>
            <w:pPr>
              <w:spacing w:after="0"/>
              <w:rPr>
                <w:sz w:val="24"/>
                <w:szCs w:val="24"/>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50.9</w:t>
            </w: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129.1</w:t>
            </w:r>
          </w:p>
        </w:tc>
      </w:tr>
      <w:tr>
        <w:trPr>
          <w:trHeight w:val="290"/>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46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7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8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spacing w:after="0"/>
              <w:rPr>
                <w:sz w:val="24"/>
                <w:szCs w:val="24"/>
                <w:color w:val="auto"/>
              </w:rPr>
            </w:pPr>
          </w:p>
        </w:tc>
      </w:tr>
      <w:tr>
        <w:trPr>
          <w:trHeight w:val="263"/>
        </w:trPr>
        <w:tc>
          <w:tcPr>
            <w:tcW w:w="536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DCE2EF"/>
          </w:tcPr>
          <w:p>
            <w:pPr>
              <w:spacing w:after="0"/>
              <w:rPr>
                <w:sz w:val="24"/>
                <w:szCs w:val="24"/>
                <w:color w:val="auto"/>
              </w:rPr>
            </w:pPr>
          </w:p>
        </w:tc>
        <w:tc>
          <w:tcPr>
            <w:tcW w:w="17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80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32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7"/>
        </w:trPr>
        <w:tc>
          <w:tcPr>
            <w:tcW w:w="5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Deferred income tax liability, net</w:t>
            </w:r>
          </w:p>
        </w:tc>
        <w:tc>
          <w:tcPr>
            <w:tcW w:w="200" w:type="dxa"/>
            <w:vAlign w:val="bottom"/>
            <w:shd w:val="clear" w:color="auto" w:fill="DCE2EF"/>
          </w:tcPr>
          <w:p>
            <w:pPr>
              <w:spacing w:after="0"/>
              <w:rPr>
                <w:sz w:val="24"/>
                <w:szCs w:val="24"/>
                <w:color w:val="auto"/>
              </w:rPr>
            </w:pPr>
          </w:p>
        </w:tc>
        <w:tc>
          <w:tcPr>
            <w:tcW w:w="17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DCE2EF"/>
          </w:tcPr>
          <w:p>
            <w:pPr>
              <w:spacing w:after="0"/>
              <w:rPr>
                <w:sz w:val="24"/>
                <w:szCs w:val="24"/>
                <w:color w:val="auto"/>
              </w:rPr>
            </w:pPr>
          </w:p>
        </w:tc>
        <w:tc>
          <w:tcPr>
            <w:tcW w:w="140" w:type="dxa"/>
            <w:vAlign w:val="bottom"/>
            <w:shd w:val="clear" w:color="auto" w:fill="DCE2EF"/>
          </w:tcPr>
          <w:p>
            <w:pPr>
              <w:spacing w:after="0"/>
              <w:rPr>
                <w:sz w:val="24"/>
                <w:szCs w:val="24"/>
                <w:color w:val="auto"/>
              </w:rPr>
            </w:pPr>
          </w:p>
        </w:tc>
        <w:tc>
          <w:tcPr>
            <w:tcW w:w="18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6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32.6</w:t>
            </w:r>
          </w:p>
        </w:tc>
      </w:tr>
      <w:tr>
        <w:trPr>
          <w:trHeight w:val="257"/>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783.6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795.9</w:t>
            </w:r>
          </w:p>
        </w:tc>
      </w:tr>
      <w:tr>
        <w:trPr>
          <w:trHeight w:val="90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right"/>
              <w:ind w:right="14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13" w:name="page14"/>
    <w:bookmarkEnd w:id="13"/>
    <w:p>
      <w:pPr>
        <w:jc w:val="both"/>
        <w:ind w:right="20" w:firstLine="648"/>
        <w:spacing w:after="0" w:line="262" w:lineRule="auto"/>
        <w:rPr>
          <w:sz w:val="20"/>
          <w:szCs w:val="20"/>
          <w:color w:val="auto"/>
        </w:rPr>
      </w:pPr>
      <w:r>
        <w:rPr>
          <w:rFonts w:ascii="Arial" w:cs="Arial" w:eastAsia="Arial" w:hAnsi="Arial"/>
          <w:sz w:val="18"/>
          <w:szCs w:val="18"/>
          <w:color w:val="auto"/>
        </w:rPr>
        <w:t>The impacts of adopting Topic 606 and Topic 853 on our unaudited consolidated statements of comprehensive income for the three and six months ended April 30, 2019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w w:val="98"/>
              </w:rPr>
              <w:t>Three Months Ended April 30, 2019</w:t>
            </w:r>
          </w:p>
        </w:tc>
        <w:tc>
          <w:tcPr>
            <w:tcW w:w="140" w:type="dxa"/>
            <w:vAlign w:val="bottom"/>
          </w:tcPr>
          <w:p>
            <w:pPr>
              <w:spacing w:after="0"/>
              <w:rPr>
                <w:sz w:val="20"/>
                <w:szCs w:val="20"/>
                <w:color w:val="auto"/>
              </w:rPr>
            </w:pPr>
          </w:p>
        </w:tc>
        <w:tc>
          <w:tcPr>
            <w:tcW w:w="3480" w:type="dxa"/>
            <w:vAlign w:val="bottom"/>
            <w:gridSpan w:val="7"/>
          </w:tcPr>
          <w:p>
            <w:pPr>
              <w:jc w:val="center"/>
              <w:ind w:right="56"/>
              <w:spacing w:after="0"/>
              <w:rPr>
                <w:sz w:val="20"/>
                <w:szCs w:val="20"/>
                <w:color w:val="auto"/>
              </w:rPr>
            </w:pPr>
            <w:r>
              <w:rPr>
                <w:rFonts w:ascii="Arial" w:cs="Arial" w:eastAsia="Arial" w:hAnsi="Arial"/>
                <w:sz w:val="17"/>
                <w:szCs w:val="17"/>
                <w:b w:val="1"/>
                <w:bCs w:val="1"/>
                <w:color w:val="auto"/>
                <w:w w:val="98"/>
              </w:rPr>
              <w:t>Six Months Ended April 30, 2019</w:t>
            </w:r>
          </w:p>
        </w:tc>
      </w:tr>
      <w:tr>
        <w:trPr>
          <w:trHeight w:val="193"/>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line="194" w:lineRule="exact"/>
              <w:rPr>
                <w:sz w:val="20"/>
                <w:szCs w:val="20"/>
                <w:color w:val="auto"/>
              </w:rPr>
            </w:pPr>
            <w:r>
              <w:rPr>
                <w:rFonts w:ascii="Arial" w:cs="Arial" w:eastAsia="Arial" w:hAnsi="Arial"/>
                <w:sz w:val="17"/>
                <w:szCs w:val="17"/>
                <w:b w:val="1"/>
                <w:bCs w:val="1"/>
                <w:color w:val="auto"/>
                <w:w w:val="97"/>
              </w:rPr>
              <w:t>Under</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60"/>
              <w:spacing w:after="0" w:line="194" w:lineRule="exact"/>
              <w:rPr>
                <w:sz w:val="20"/>
                <w:szCs w:val="20"/>
                <w:color w:val="auto"/>
              </w:rPr>
            </w:pPr>
            <w:r>
              <w:rPr>
                <w:rFonts w:ascii="Arial" w:cs="Arial" w:eastAsia="Arial" w:hAnsi="Arial"/>
                <w:sz w:val="17"/>
                <w:szCs w:val="17"/>
                <w:b w:val="1"/>
                <w:bCs w:val="1"/>
                <w:color w:val="auto"/>
                <w:w w:val="97"/>
              </w:rPr>
              <w:t>Under</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98"/>
              </w:rPr>
              <w:t>Historical</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9"/>
              </w:rPr>
              <w:t>Effect of</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8"/>
              </w:rPr>
              <w:t>Historical</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line="189" w:lineRule="exact"/>
              <w:rPr>
                <w:sz w:val="20"/>
                <w:szCs w:val="20"/>
                <w:color w:val="auto"/>
              </w:rPr>
            </w:pPr>
            <w:r>
              <w:rPr>
                <w:rFonts w:ascii="Arial" w:cs="Arial" w:eastAsia="Arial" w:hAnsi="Arial"/>
                <w:sz w:val="17"/>
                <w:szCs w:val="17"/>
                <w:b w:val="1"/>
                <w:bCs w:val="1"/>
                <w:color w:val="auto"/>
                <w:w w:val="99"/>
              </w:rPr>
              <w:t>Effect of</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9"/>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8"/>
              </w:rPr>
              <w:t>Guidance</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Adoption</w:t>
            </w:r>
          </w:p>
        </w:tc>
        <w:tc>
          <w:tcPr>
            <w:tcW w:w="1240" w:type="dxa"/>
            <w:vAlign w:val="bottom"/>
            <w:gridSpan w:val="3"/>
          </w:tcPr>
          <w:p>
            <w:pPr>
              <w:ind w:left="60"/>
              <w:spacing w:after="0"/>
              <w:rPr>
                <w:sz w:val="20"/>
                <w:szCs w:val="20"/>
                <w:color w:val="auto"/>
              </w:rPr>
            </w:pPr>
            <w:r>
              <w:rPr>
                <w:rFonts w:ascii="Arial" w:cs="Arial" w:eastAsia="Arial" w:hAnsi="Arial"/>
                <w:sz w:val="17"/>
                <w:szCs w:val="17"/>
                <w:b w:val="1"/>
                <w:bCs w:val="1"/>
                <w:color w:val="auto"/>
              </w:rPr>
              <w:t>As Reported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Guidance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Adoption</w:t>
            </w:r>
          </w:p>
        </w:tc>
        <w:tc>
          <w:tcPr>
            <w:tcW w:w="1140" w:type="dxa"/>
            <w:vAlign w:val="bottom"/>
            <w:gridSpan w:val="2"/>
          </w:tcPr>
          <w:p>
            <w:pPr>
              <w:jc w:val="right"/>
              <w:spacing w:after="0"/>
              <w:rPr>
                <w:sz w:val="20"/>
                <w:szCs w:val="20"/>
                <w:color w:val="auto"/>
              </w:rPr>
            </w:pPr>
            <w:r>
              <w:rPr>
                <w:rFonts w:ascii="Arial" w:cs="Arial" w:eastAsia="Arial" w:hAnsi="Arial"/>
                <w:sz w:val="17"/>
                <w:szCs w:val="17"/>
                <w:b w:val="1"/>
                <w:bCs w:val="1"/>
                <w:color w:val="auto"/>
              </w:rPr>
              <w:t>As Reported</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17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Revenues</w:t>
            </w: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1,608.1</w:t>
            </w:r>
          </w:p>
        </w:tc>
        <w:tc>
          <w:tcPr>
            <w:tcW w:w="100" w:type="dxa"/>
            <w:vAlign w:val="bottom"/>
            <w:shd w:val="clear" w:color="auto" w:fill="DCE2EF"/>
          </w:tcPr>
          <w:p>
            <w:pPr>
              <w:spacing w:after="0"/>
              <w:rPr>
                <w:sz w:val="20"/>
                <w:szCs w:val="20"/>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DCE2EF"/>
          </w:tcPr>
          <w:p>
            <w:pPr>
              <w:spacing w:after="0"/>
              <w:rPr>
                <w:sz w:val="20"/>
                <w:szCs w:val="20"/>
                <w:color w:val="auto"/>
              </w:rPr>
            </w:pPr>
          </w:p>
        </w:tc>
        <w:tc>
          <w:tcPr>
            <w:tcW w:w="280" w:type="dxa"/>
            <w:vAlign w:val="bottom"/>
            <w:shd w:val="clear" w:color="auto" w:fill="DCE2E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1,594.7</w:t>
            </w:r>
          </w:p>
        </w:tc>
        <w:tc>
          <w:tcPr>
            <w:tcW w:w="12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3,226.0</w:t>
            </w:r>
          </w:p>
        </w:tc>
        <w:tc>
          <w:tcPr>
            <w:tcW w:w="120" w:type="dxa"/>
            <w:vAlign w:val="bottom"/>
            <w:shd w:val="clear" w:color="auto" w:fill="DCE2EF"/>
          </w:tcPr>
          <w:p>
            <w:pPr>
              <w:spacing w:after="0"/>
              <w:rPr>
                <w:sz w:val="20"/>
                <w:szCs w:val="20"/>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DCE2EF"/>
          </w:tcPr>
          <w:p>
            <w:pPr>
              <w:spacing w:after="0"/>
              <w:rPr>
                <w:sz w:val="20"/>
                <w:szCs w:val="20"/>
                <w:color w:val="auto"/>
              </w:rPr>
            </w:pPr>
          </w:p>
        </w:tc>
        <w:tc>
          <w:tcPr>
            <w:tcW w:w="300" w:type="dxa"/>
            <w:vAlign w:val="bottom"/>
            <w:shd w:val="clear" w:color="auto" w:fill="DCE2EF"/>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3,202.6</w:t>
            </w:r>
          </w:p>
        </w:tc>
      </w:tr>
      <w:tr>
        <w:trPr>
          <w:trHeight w:val="234"/>
        </w:trPr>
        <w:tc>
          <w:tcPr>
            <w:tcW w:w="4000" w:type="dxa"/>
            <w:vAlign w:val="bottom"/>
            <w:gridSpan w:val="3"/>
          </w:tcPr>
          <w:p>
            <w:pPr>
              <w:ind w:left="4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1,426.4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1,414.2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2,883.7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2,860.2</w:t>
            </w:r>
          </w:p>
        </w:tc>
      </w:tr>
      <w:tr>
        <w:trPr>
          <w:trHeight w:val="252"/>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shd w:val="clear" w:color="auto" w:fill="DCE2EF"/>
          </w:tcPr>
          <w:p>
            <w:pPr>
              <w:spacing w:after="0"/>
              <w:rPr>
                <w:sz w:val="21"/>
                <w:szCs w:val="21"/>
                <w:color w:val="auto"/>
              </w:rPr>
            </w:pP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112.0</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108.4</w:t>
            </w:r>
          </w:p>
        </w:tc>
        <w:tc>
          <w:tcPr>
            <w:tcW w:w="120" w:type="dxa"/>
            <w:vAlign w:val="bottom"/>
            <w:shd w:val="clear" w:color="auto" w:fill="DCE2EF"/>
          </w:tcPr>
          <w:p>
            <w:pPr>
              <w:spacing w:after="0"/>
              <w:rPr>
                <w:sz w:val="21"/>
                <w:szCs w:val="21"/>
                <w:color w:val="auto"/>
              </w:rPr>
            </w:pPr>
          </w:p>
        </w:tc>
        <w:tc>
          <w:tcPr>
            <w:tcW w:w="140" w:type="dxa"/>
            <w:vAlign w:val="bottom"/>
            <w:shd w:val="clear" w:color="auto" w:fill="DCE2EF"/>
          </w:tcPr>
          <w:p>
            <w:pPr>
              <w:spacing w:after="0"/>
              <w:rPr>
                <w:sz w:val="21"/>
                <w:szCs w:val="21"/>
                <w:color w:val="auto"/>
              </w:rPr>
            </w:pP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225.6</w:t>
            </w:r>
          </w:p>
        </w:tc>
        <w:tc>
          <w:tcPr>
            <w:tcW w:w="12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9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221.1</w:t>
            </w:r>
          </w:p>
        </w:tc>
      </w:tr>
      <w:tr>
        <w:trPr>
          <w:trHeight w:val="234"/>
        </w:trPr>
        <w:tc>
          <w:tcPr>
            <w:tcW w:w="4000" w:type="dxa"/>
            <w:vAlign w:val="bottom"/>
            <w:gridSpan w:val="3"/>
          </w:tcPr>
          <w:p>
            <w:pPr>
              <w:ind w:left="40"/>
              <w:spacing w:after="0"/>
              <w:rPr>
                <w:sz w:val="20"/>
                <w:szCs w:val="20"/>
                <w:color w:val="auto"/>
              </w:rPr>
            </w:pPr>
            <w:r>
              <w:rPr>
                <w:rFonts w:ascii="Arial" w:cs="Arial" w:eastAsia="Arial" w:hAnsi="Arial"/>
                <w:sz w:val="17"/>
                <w:szCs w:val="17"/>
                <w:color w:val="auto"/>
              </w:rPr>
              <w:t>Income tax provision</w:t>
            </w:r>
          </w:p>
        </w:tc>
        <w:tc>
          <w:tcPr>
            <w:tcW w:w="16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17.3</w:t>
            </w:r>
          </w:p>
        </w:tc>
      </w:tr>
      <w:tr>
        <w:trPr>
          <w:trHeight w:val="252"/>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DCE2EF"/>
          </w:tcPr>
          <w:p>
            <w:pPr>
              <w:spacing w:after="0"/>
              <w:rPr>
                <w:sz w:val="21"/>
                <w:szCs w:val="21"/>
                <w:color w:val="auto"/>
              </w:rPr>
            </w:pP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1.7</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29.7</w:t>
            </w:r>
          </w:p>
        </w:tc>
        <w:tc>
          <w:tcPr>
            <w:tcW w:w="120" w:type="dxa"/>
            <w:vAlign w:val="bottom"/>
            <w:shd w:val="clear" w:color="auto" w:fill="DCE2EF"/>
          </w:tcPr>
          <w:p>
            <w:pPr>
              <w:spacing w:after="0"/>
              <w:rPr>
                <w:sz w:val="21"/>
                <w:szCs w:val="21"/>
                <w:color w:val="auto"/>
              </w:rPr>
            </w:pPr>
          </w:p>
        </w:tc>
        <w:tc>
          <w:tcPr>
            <w:tcW w:w="140" w:type="dxa"/>
            <w:vAlign w:val="bottom"/>
            <w:shd w:val="clear" w:color="auto" w:fill="DCE2EF"/>
          </w:tcPr>
          <w:p>
            <w:pPr>
              <w:spacing w:after="0"/>
              <w:rPr>
                <w:sz w:val="21"/>
                <w:szCs w:val="21"/>
                <w:color w:val="auto"/>
              </w:rPr>
            </w:pP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39.2</w:t>
            </w:r>
          </w:p>
        </w:tc>
        <w:tc>
          <w:tcPr>
            <w:tcW w:w="12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98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3.4</w:t>
            </w: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42.7</w:t>
            </w:r>
          </w:p>
        </w:tc>
      </w:tr>
      <w:tr>
        <w:trPr>
          <w:trHeight w:val="243"/>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7"/>
                <w:szCs w:val="17"/>
                <w:color w:val="auto"/>
              </w:rPr>
              <w:t>Net income per common share — Basic</w:t>
            </w: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0.42</w:t>
            </w:r>
          </w:p>
        </w:tc>
        <w:tc>
          <w:tcPr>
            <w:tcW w:w="10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0.45</w:t>
            </w:r>
          </w:p>
        </w:tc>
        <w:tc>
          <w:tcPr>
            <w:tcW w:w="120" w:type="dxa"/>
            <w:vAlign w:val="bottom"/>
            <w:shd w:val="clear" w:color="auto" w:fill="DCE2EF"/>
          </w:tcPr>
          <w:p>
            <w:pPr>
              <w:spacing w:after="0"/>
              <w:rPr>
                <w:sz w:val="21"/>
                <w:szCs w:val="21"/>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16"/>
              <w:spacing w:after="0"/>
              <w:rPr>
                <w:sz w:val="20"/>
                <w:szCs w:val="20"/>
                <w:color w:val="auto"/>
              </w:rPr>
            </w:pPr>
            <w:r>
              <w:rPr>
                <w:rFonts w:ascii="Arial" w:cs="Arial" w:eastAsia="Arial" w:hAnsi="Arial"/>
                <w:sz w:val="17"/>
                <w:szCs w:val="17"/>
                <w:color w:val="auto"/>
              </w:rPr>
              <w:t>0.59</w:t>
            </w:r>
          </w:p>
        </w:tc>
        <w:tc>
          <w:tcPr>
            <w:tcW w:w="12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shd w:val="clear" w:color="auto" w:fill="DCE2EF"/>
          </w:tcPr>
          <w:p>
            <w:pPr>
              <w:jc w:val="right"/>
              <w:ind w:right="36"/>
              <w:spacing w:after="0"/>
              <w:rPr>
                <w:sz w:val="20"/>
                <w:szCs w:val="20"/>
                <w:color w:val="auto"/>
              </w:rPr>
            </w:pPr>
            <w:r>
              <w:rPr>
                <w:rFonts w:ascii="Arial" w:cs="Arial" w:eastAsia="Arial" w:hAnsi="Arial"/>
                <w:sz w:val="17"/>
                <w:szCs w:val="17"/>
                <w:color w:val="auto"/>
              </w:rPr>
              <w:t>0.64</w:t>
            </w:r>
          </w:p>
        </w:tc>
      </w:tr>
      <w:tr>
        <w:trPr>
          <w:trHeight w:val="226"/>
        </w:trPr>
        <w:tc>
          <w:tcPr>
            <w:tcW w:w="4000" w:type="dxa"/>
            <w:vAlign w:val="bottom"/>
            <w:gridSpan w:val="3"/>
          </w:tcPr>
          <w:p>
            <w:pPr>
              <w:ind w:left="40"/>
              <w:spacing w:after="0"/>
              <w:rPr>
                <w:sz w:val="20"/>
                <w:szCs w:val="20"/>
                <w:color w:val="auto"/>
              </w:rPr>
            </w:pPr>
            <w:r>
              <w:rPr>
                <w:rFonts w:ascii="Arial" w:cs="Arial" w:eastAsia="Arial" w:hAnsi="Arial"/>
                <w:sz w:val="17"/>
                <w:szCs w:val="17"/>
                <w:color w:val="auto"/>
              </w:rPr>
              <w:t>Net income per common share — Diluted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0.45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0.64</w:t>
            </w:r>
          </w:p>
        </w:tc>
      </w:tr>
    </w:tbl>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significant impacts on our consolidated statements of cash flows other than offsetting shifts in net cash provided by operating activities between net income and various changes in working capital line items.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Disaggregation of Revenue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generate revenues under several types of contracts, as further explained below. Generally, the type of contract is determined by the nature of the services provided by each of our major service lines throughout our reportable segments; therefore, we disaggregate revenue from contracts with customers into major service lines. We have determined that disaggregating revenue into these categories best depicts how the nature, amount, timing, and uncertainty of revenue and cash flows are affected by economic factors. Our reportable segments are Business &amp; Industry (“B&amp;I”), Aviation, Technology and Manufacturing (“T&amp;M”), Education, Technical Solutions, and Healthcare, as described in Note 11, “Segment Information.”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6"/>
                <w:szCs w:val="16"/>
                <w:b w:val="1"/>
                <w:bCs w:val="1"/>
                <w:color w:val="auto"/>
                <w:w w:val="98"/>
              </w:rPr>
              <w:t>Three Months Ended April 30, 2019</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Technical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7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020" w:type="dxa"/>
            <w:vAlign w:val="bottom"/>
            <w:gridSpan w:val="2"/>
          </w:tcPr>
          <w:p>
            <w:pPr>
              <w:ind w:left="180"/>
              <w:spacing w:after="0" w:line="177" w:lineRule="exact"/>
              <w:rPr>
                <w:sz w:val="20"/>
                <w:szCs w:val="20"/>
                <w:color w:val="auto"/>
              </w:rPr>
            </w:pPr>
            <w:r>
              <w:rPr>
                <w:rFonts w:ascii="Arial" w:cs="Arial" w:eastAsia="Arial" w:hAnsi="Arial"/>
                <w:sz w:val="16"/>
                <w:szCs w:val="16"/>
                <w:b w:val="1"/>
                <w:bCs w:val="1"/>
                <w:color w:val="auto"/>
              </w:rPr>
              <w:t>B&amp;I</w:t>
            </w:r>
          </w:p>
        </w:tc>
        <w:tc>
          <w:tcPr>
            <w:tcW w:w="200" w:type="dxa"/>
            <w:vAlign w:val="bottom"/>
          </w:tcPr>
          <w:p>
            <w:pPr>
              <w:spacing w:after="0"/>
              <w:rPr>
                <w:sz w:val="15"/>
                <w:szCs w:val="15"/>
                <w:color w:val="auto"/>
              </w:rPr>
            </w:pPr>
          </w:p>
        </w:tc>
        <w:tc>
          <w:tcPr>
            <w:tcW w:w="1060" w:type="dxa"/>
            <w:vAlign w:val="bottom"/>
            <w:gridSpan w:val="2"/>
          </w:tcPr>
          <w:p>
            <w:pPr>
              <w:ind w:left="60"/>
              <w:spacing w:after="0" w:line="177" w:lineRule="exact"/>
              <w:rPr>
                <w:sz w:val="20"/>
                <w:szCs w:val="20"/>
                <w:color w:val="auto"/>
              </w:rPr>
            </w:pPr>
            <w:r>
              <w:rPr>
                <w:rFonts w:ascii="Arial" w:cs="Arial" w:eastAsia="Arial" w:hAnsi="Arial"/>
                <w:sz w:val="16"/>
                <w:szCs w:val="16"/>
                <w:b w:val="1"/>
                <w:bCs w:val="1"/>
                <w:color w:val="auto"/>
              </w:rPr>
              <w:t>Aviation</w:t>
            </w:r>
          </w:p>
        </w:tc>
        <w:tc>
          <w:tcPr>
            <w:tcW w:w="260" w:type="dxa"/>
            <w:vAlign w:val="bottom"/>
          </w:tcPr>
          <w:p>
            <w:pPr>
              <w:spacing w:after="0"/>
              <w:rPr>
                <w:sz w:val="15"/>
                <w:szCs w:val="15"/>
                <w:color w:val="auto"/>
              </w:rPr>
            </w:pPr>
          </w:p>
        </w:tc>
        <w:tc>
          <w:tcPr>
            <w:tcW w:w="980" w:type="dxa"/>
            <w:vAlign w:val="bottom"/>
            <w:gridSpan w:val="2"/>
          </w:tcPr>
          <w:p>
            <w:pPr>
              <w:ind w:left="140"/>
              <w:spacing w:after="0" w:line="177" w:lineRule="exact"/>
              <w:rPr>
                <w:sz w:val="20"/>
                <w:szCs w:val="20"/>
                <w:color w:val="auto"/>
              </w:rPr>
            </w:pPr>
            <w:r>
              <w:rPr>
                <w:rFonts w:ascii="Arial" w:cs="Arial" w:eastAsia="Arial" w:hAnsi="Arial"/>
                <w:sz w:val="16"/>
                <w:szCs w:val="16"/>
                <w:b w:val="1"/>
                <w:bCs w:val="1"/>
                <w:color w:val="auto"/>
              </w:rPr>
              <w:t>T&amp;M</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w w:val="98"/>
              </w:rPr>
              <w:t>Education</w:t>
            </w:r>
          </w:p>
        </w:tc>
        <w:tc>
          <w:tcPr>
            <w:tcW w:w="160" w:type="dxa"/>
            <w:vAlign w:val="bottom"/>
          </w:tcPr>
          <w:p>
            <w:pPr>
              <w:spacing w:after="0"/>
              <w:rPr>
                <w:sz w:val="15"/>
                <w:szCs w:val="15"/>
                <w:color w:val="auto"/>
              </w:rPr>
            </w:pPr>
          </w:p>
        </w:tc>
        <w:tc>
          <w:tcPr>
            <w:tcW w:w="1080" w:type="dxa"/>
            <w:vAlign w:val="bottom"/>
            <w:gridSpan w:val="2"/>
          </w:tcPr>
          <w:p>
            <w:pPr>
              <w:ind w:left="40"/>
              <w:spacing w:after="0" w:line="177" w:lineRule="exact"/>
              <w:rPr>
                <w:sz w:val="20"/>
                <w:szCs w:val="20"/>
                <w:color w:val="auto"/>
              </w:rPr>
            </w:pPr>
            <w:r>
              <w:rPr>
                <w:rFonts w:ascii="Arial" w:cs="Arial" w:eastAsia="Arial" w:hAnsi="Arial"/>
                <w:sz w:val="16"/>
                <w:szCs w:val="16"/>
                <w:b w:val="1"/>
                <w:bCs w:val="1"/>
                <w:color w:val="auto"/>
              </w:rPr>
              <w:t>Solutions</w:t>
            </w:r>
          </w:p>
        </w:tc>
        <w:tc>
          <w:tcPr>
            <w:tcW w:w="140" w:type="dxa"/>
            <w:vAlign w:val="bottom"/>
          </w:tcPr>
          <w:p>
            <w:pPr>
              <w:spacing w:after="0"/>
              <w:rPr>
                <w:sz w:val="15"/>
                <w:szCs w:val="15"/>
                <w:color w:val="auto"/>
              </w:rPr>
            </w:pPr>
          </w:p>
        </w:tc>
        <w:tc>
          <w:tcPr>
            <w:tcW w:w="1100" w:type="dxa"/>
            <w:vAlign w:val="bottom"/>
            <w:gridSpan w:val="2"/>
          </w:tcPr>
          <w:p>
            <w:pPr>
              <w:ind w:left="20"/>
              <w:spacing w:after="0" w:line="177" w:lineRule="exact"/>
              <w:rPr>
                <w:sz w:val="20"/>
                <w:szCs w:val="20"/>
                <w:color w:val="auto"/>
              </w:rPr>
            </w:pPr>
            <w:r>
              <w:rPr>
                <w:rFonts w:ascii="Arial" w:cs="Arial" w:eastAsia="Arial" w:hAnsi="Arial"/>
                <w:sz w:val="16"/>
                <w:szCs w:val="16"/>
                <w:b w:val="1"/>
                <w:bCs w:val="1"/>
                <w:color w:val="auto"/>
              </w:rPr>
              <w:t>Healthcare</w:t>
            </w:r>
          </w:p>
        </w:tc>
        <w:tc>
          <w:tcPr>
            <w:tcW w:w="260" w:type="dxa"/>
            <w:vAlign w:val="bottom"/>
          </w:tcPr>
          <w:p>
            <w:pPr>
              <w:spacing w:after="0"/>
              <w:rPr>
                <w:sz w:val="15"/>
                <w:szCs w:val="15"/>
                <w:color w:val="auto"/>
              </w:rPr>
            </w:pPr>
          </w:p>
        </w:tc>
        <w:tc>
          <w:tcPr>
            <w:tcW w:w="880" w:type="dxa"/>
            <w:vAlign w:val="bottom"/>
          </w:tcPr>
          <w:p>
            <w:pPr>
              <w:jc w:val="right"/>
              <w:ind w:right="299"/>
              <w:spacing w:after="0" w:line="177"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206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7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Major Service Line</w:t>
            </w:r>
          </w:p>
        </w:tc>
        <w:tc>
          <w:tcPr>
            <w:tcW w:w="2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40" w:type="dxa"/>
            <w:vAlign w:val="bottom"/>
            <w:shd w:val="clear" w:color="auto" w:fill="DCE2EF"/>
          </w:tcPr>
          <w:p>
            <w:pPr>
              <w:spacing w:after="0"/>
              <w:rPr>
                <w:sz w:val="22"/>
                <w:szCs w:val="22"/>
                <w:color w:val="auto"/>
              </w:rPr>
            </w:pPr>
          </w:p>
        </w:tc>
        <w:tc>
          <w:tcPr>
            <w:tcW w:w="10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40" w:type="dxa"/>
            <w:vAlign w:val="bottom"/>
            <w:shd w:val="clear" w:color="auto" w:fill="DCE2EF"/>
          </w:tcPr>
          <w:p>
            <w:pPr>
              <w:spacing w:after="0"/>
              <w:rPr>
                <w:sz w:val="22"/>
                <w:szCs w:val="22"/>
                <w:color w:val="auto"/>
              </w:rPr>
            </w:pPr>
          </w:p>
        </w:tc>
        <w:tc>
          <w:tcPr>
            <w:tcW w:w="10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20" w:type="dxa"/>
            <w:vAlign w:val="bottom"/>
            <w:gridSpan w:val="2"/>
          </w:tcPr>
          <w:p>
            <w:pPr>
              <w:ind w:left="140"/>
              <w:spacing w:after="0"/>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542.8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72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8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20" w:type="dxa"/>
            <w:vAlign w:val="bottom"/>
            <w:gridSpan w:val="2"/>
          </w:tcPr>
          <w:p>
            <w:pPr>
              <w:ind w:left="140"/>
              <w:spacing w:after="0"/>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72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80" w:type="dxa"/>
            <w:vAlign w:val="bottom"/>
            <w:shd w:val="clear" w:color="auto" w:fill="DCE2EF"/>
          </w:tcPr>
          <w:p>
            <w:pPr>
              <w:spacing w:after="0"/>
              <w:rPr>
                <w:sz w:val="23"/>
                <w:szCs w:val="23"/>
                <w:color w:val="auto"/>
              </w:rPr>
            </w:pPr>
          </w:p>
        </w:tc>
        <w:tc>
          <w:tcPr>
            <w:tcW w:w="102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CE2EF"/>
          </w:tcPr>
          <w:p>
            <w:pPr>
              <w:spacing w:after="0"/>
              <w:rPr>
                <w:sz w:val="23"/>
                <w:szCs w:val="23"/>
                <w:color w:val="auto"/>
              </w:rPr>
            </w:pPr>
          </w:p>
        </w:tc>
        <w:tc>
          <w:tcPr>
            <w:tcW w:w="10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9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20" w:type="dxa"/>
            <w:vAlign w:val="bottom"/>
            <w:gridSpan w:val="2"/>
          </w:tcPr>
          <w:p>
            <w:pPr>
              <w:ind w:left="140"/>
              <w:spacing w:after="0"/>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234"/>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660" w:type="dxa"/>
            <w:vAlign w:val="bottom"/>
            <w:tcBorders>
              <w:top w:val="single" w:sz="8" w:color="DCE2EF"/>
              <w:bottom w:val="single" w:sz="8" w:color="DCE2EF"/>
            </w:tcBorders>
            <w:shd w:val="clear" w:color="auto" w:fill="DCE2EF"/>
          </w:tcPr>
          <w:p>
            <w:pPr>
              <w:spacing w:after="0"/>
              <w:rPr>
                <w:sz w:val="20"/>
                <w:szCs w:val="20"/>
                <w:color w:val="auto"/>
              </w:rPr>
            </w:pPr>
          </w:p>
        </w:tc>
        <w:tc>
          <w:tcPr>
            <w:tcW w:w="206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753.4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250.0</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224.3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205.6</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127.6</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66.3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DCE2EF"/>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1,627.3</w:t>
            </w: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ind w:left="40"/>
              <w:spacing w:after="0"/>
              <w:rPr>
                <w:sz w:val="20"/>
                <w:szCs w:val="20"/>
                <w:color w:val="auto"/>
              </w:rPr>
            </w:pPr>
            <w:r>
              <w:rPr>
                <w:rFonts w:ascii="Arial" w:cs="Arial" w:eastAsia="Arial" w:hAnsi="Arial"/>
                <w:sz w:val="16"/>
                <w:szCs w:val="16"/>
                <w:color w:val="auto"/>
              </w:rPr>
              <w:t>Elimination of inter-segment</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7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DCE2EF"/>
            </w:tcBorders>
          </w:tcPr>
          <w:p>
            <w:pPr>
              <w:spacing w:after="0"/>
              <w:rPr>
                <w:sz w:val="18"/>
                <w:szCs w:val="18"/>
                <w:color w:val="auto"/>
              </w:rPr>
            </w:pPr>
          </w:p>
        </w:tc>
        <w:tc>
          <w:tcPr>
            <w:tcW w:w="272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DCE2EF"/>
            </w:tcBorders>
          </w:tcPr>
          <w:p>
            <w:pPr>
              <w:spacing w:after="0"/>
              <w:rPr>
                <w:sz w:val="18"/>
                <w:szCs w:val="18"/>
                <w:color w:val="auto"/>
              </w:rPr>
            </w:pPr>
          </w:p>
        </w:tc>
        <w:tc>
          <w:tcPr>
            <w:tcW w:w="90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00" w:type="dxa"/>
            <w:vAlign w:val="bottom"/>
            <w:tcBorders>
              <w:bottom w:val="single" w:sz="8" w:color="DCE2EF"/>
            </w:tcBorders>
          </w:tcPr>
          <w:p>
            <w:pPr>
              <w:spacing w:after="0"/>
              <w:rPr>
                <w:sz w:val="18"/>
                <w:szCs w:val="18"/>
                <w:color w:val="auto"/>
              </w:rPr>
            </w:pPr>
          </w:p>
        </w:tc>
        <w:tc>
          <w:tcPr>
            <w:tcW w:w="94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DCE2EF"/>
            </w:tcBorders>
          </w:tcPr>
          <w:p>
            <w:pPr>
              <w:spacing w:after="0"/>
              <w:rPr>
                <w:sz w:val="18"/>
                <w:szCs w:val="18"/>
                <w:color w:val="auto"/>
              </w:rPr>
            </w:pPr>
          </w:p>
        </w:tc>
        <w:tc>
          <w:tcPr>
            <w:tcW w:w="88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DCE2EF"/>
            </w:tcBorders>
          </w:tcPr>
          <w:p>
            <w:pPr>
              <w:spacing w:after="0"/>
              <w:rPr>
                <w:sz w:val="18"/>
                <w:szCs w:val="18"/>
                <w:color w:val="auto"/>
              </w:rPr>
            </w:pPr>
          </w:p>
        </w:tc>
        <w:tc>
          <w:tcPr>
            <w:tcW w:w="100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DCE2EF"/>
            </w:tcBorders>
          </w:tcPr>
          <w:p>
            <w:pPr>
              <w:spacing w:after="0"/>
              <w:rPr>
                <w:sz w:val="18"/>
                <w:szCs w:val="18"/>
                <w:color w:val="auto"/>
              </w:rPr>
            </w:pPr>
          </w:p>
        </w:tc>
        <w:tc>
          <w:tcPr>
            <w:tcW w:w="98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DCE2EF"/>
            </w:tcBorders>
          </w:tcPr>
          <w:p>
            <w:pPr>
              <w:spacing w:after="0"/>
              <w:rPr>
                <w:sz w:val="18"/>
                <w:szCs w:val="18"/>
                <w:color w:val="auto"/>
              </w:rPr>
            </w:pPr>
          </w:p>
        </w:tc>
        <w:tc>
          <w:tcPr>
            <w:tcW w:w="100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40"/>
        </w:trPr>
        <w:tc>
          <w:tcPr>
            <w:tcW w:w="276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8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100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100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1,594.7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gridSpan w:val="8"/>
            <w:vMerge w:val="restart"/>
          </w:tcPr>
          <w:p>
            <w:pPr>
              <w:jc w:val="center"/>
              <w:ind w:right="420"/>
              <w:spacing w:after="0"/>
              <w:rPr>
                <w:sz w:val="20"/>
                <w:szCs w:val="20"/>
                <w:color w:val="auto"/>
              </w:rPr>
            </w:pPr>
            <w:r>
              <w:rPr>
                <w:rFonts w:ascii="Arial" w:cs="Arial" w:eastAsia="Arial" w:hAnsi="Arial"/>
                <w:sz w:val="16"/>
                <w:szCs w:val="16"/>
                <w:b w:val="1"/>
                <w:bCs w:val="1"/>
                <w:color w:val="auto"/>
                <w:w w:val="99"/>
              </w:rPr>
              <w:t>Six Months Ended April 30, 2019</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Technical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7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1020" w:type="dxa"/>
            <w:vAlign w:val="bottom"/>
            <w:gridSpan w:val="2"/>
          </w:tcPr>
          <w:p>
            <w:pPr>
              <w:ind w:left="180"/>
              <w:spacing w:after="0" w:line="177" w:lineRule="exact"/>
              <w:rPr>
                <w:sz w:val="20"/>
                <w:szCs w:val="20"/>
                <w:color w:val="auto"/>
              </w:rPr>
            </w:pPr>
            <w:r>
              <w:rPr>
                <w:rFonts w:ascii="Arial" w:cs="Arial" w:eastAsia="Arial" w:hAnsi="Arial"/>
                <w:sz w:val="16"/>
                <w:szCs w:val="16"/>
                <w:b w:val="1"/>
                <w:bCs w:val="1"/>
                <w:color w:val="auto"/>
              </w:rPr>
              <w:t>B&amp;I</w:t>
            </w:r>
          </w:p>
        </w:tc>
        <w:tc>
          <w:tcPr>
            <w:tcW w:w="200" w:type="dxa"/>
            <w:vAlign w:val="bottom"/>
          </w:tcPr>
          <w:p>
            <w:pPr>
              <w:spacing w:after="0"/>
              <w:rPr>
                <w:sz w:val="15"/>
                <w:szCs w:val="15"/>
                <w:color w:val="auto"/>
              </w:rPr>
            </w:pPr>
          </w:p>
        </w:tc>
        <w:tc>
          <w:tcPr>
            <w:tcW w:w="1060" w:type="dxa"/>
            <w:vAlign w:val="bottom"/>
            <w:gridSpan w:val="2"/>
          </w:tcPr>
          <w:p>
            <w:pPr>
              <w:ind w:left="60"/>
              <w:spacing w:after="0" w:line="177" w:lineRule="exact"/>
              <w:rPr>
                <w:sz w:val="20"/>
                <w:szCs w:val="20"/>
                <w:color w:val="auto"/>
              </w:rPr>
            </w:pPr>
            <w:r>
              <w:rPr>
                <w:rFonts w:ascii="Arial" w:cs="Arial" w:eastAsia="Arial" w:hAnsi="Arial"/>
                <w:sz w:val="16"/>
                <w:szCs w:val="16"/>
                <w:b w:val="1"/>
                <w:bCs w:val="1"/>
                <w:color w:val="auto"/>
              </w:rPr>
              <w:t>Aviation</w:t>
            </w:r>
          </w:p>
        </w:tc>
        <w:tc>
          <w:tcPr>
            <w:tcW w:w="260" w:type="dxa"/>
            <w:vAlign w:val="bottom"/>
          </w:tcPr>
          <w:p>
            <w:pPr>
              <w:spacing w:after="0"/>
              <w:rPr>
                <w:sz w:val="15"/>
                <w:szCs w:val="15"/>
                <w:color w:val="auto"/>
              </w:rPr>
            </w:pPr>
          </w:p>
        </w:tc>
        <w:tc>
          <w:tcPr>
            <w:tcW w:w="980" w:type="dxa"/>
            <w:vAlign w:val="bottom"/>
            <w:gridSpan w:val="2"/>
          </w:tcPr>
          <w:p>
            <w:pPr>
              <w:ind w:left="140"/>
              <w:spacing w:after="0" w:line="177" w:lineRule="exact"/>
              <w:rPr>
                <w:sz w:val="20"/>
                <w:szCs w:val="20"/>
                <w:color w:val="auto"/>
              </w:rPr>
            </w:pPr>
            <w:r>
              <w:rPr>
                <w:rFonts w:ascii="Arial" w:cs="Arial" w:eastAsia="Arial" w:hAnsi="Arial"/>
                <w:sz w:val="16"/>
                <w:szCs w:val="16"/>
                <w:b w:val="1"/>
                <w:bCs w:val="1"/>
                <w:color w:val="auto"/>
              </w:rPr>
              <w:t>T&amp;M</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7" w:lineRule="exact"/>
              <w:rPr>
                <w:sz w:val="20"/>
                <w:szCs w:val="20"/>
                <w:color w:val="auto"/>
              </w:rPr>
            </w:pPr>
            <w:r>
              <w:rPr>
                <w:rFonts w:ascii="Arial" w:cs="Arial" w:eastAsia="Arial" w:hAnsi="Arial"/>
                <w:sz w:val="16"/>
                <w:szCs w:val="16"/>
                <w:b w:val="1"/>
                <w:bCs w:val="1"/>
                <w:color w:val="auto"/>
                <w:w w:val="98"/>
              </w:rPr>
              <w:t>Education</w:t>
            </w:r>
          </w:p>
        </w:tc>
        <w:tc>
          <w:tcPr>
            <w:tcW w:w="160" w:type="dxa"/>
            <w:vAlign w:val="bottom"/>
          </w:tcPr>
          <w:p>
            <w:pPr>
              <w:spacing w:after="0"/>
              <w:rPr>
                <w:sz w:val="15"/>
                <w:szCs w:val="15"/>
                <w:color w:val="auto"/>
              </w:rPr>
            </w:pPr>
          </w:p>
        </w:tc>
        <w:tc>
          <w:tcPr>
            <w:tcW w:w="1080" w:type="dxa"/>
            <w:vAlign w:val="bottom"/>
            <w:gridSpan w:val="2"/>
          </w:tcPr>
          <w:p>
            <w:pPr>
              <w:ind w:left="40"/>
              <w:spacing w:after="0" w:line="177" w:lineRule="exact"/>
              <w:rPr>
                <w:sz w:val="20"/>
                <w:szCs w:val="20"/>
                <w:color w:val="auto"/>
              </w:rPr>
            </w:pPr>
            <w:r>
              <w:rPr>
                <w:rFonts w:ascii="Arial" w:cs="Arial" w:eastAsia="Arial" w:hAnsi="Arial"/>
                <w:sz w:val="16"/>
                <w:szCs w:val="16"/>
                <w:b w:val="1"/>
                <w:bCs w:val="1"/>
                <w:color w:val="auto"/>
              </w:rPr>
              <w:t>Solutions</w:t>
            </w:r>
          </w:p>
        </w:tc>
        <w:tc>
          <w:tcPr>
            <w:tcW w:w="140" w:type="dxa"/>
            <w:vAlign w:val="bottom"/>
          </w:tcPr>
          <w:p>
            <w:pPr>
              <w:spacing w:after="0"/>
              <w:rPr>
                <w:sz w:val="15"/>
                <w:szCs w:val="15"/>
                <w:color w:val="auto"/>
              </w:rPr>
            </w:pPr>
          </w:p>
        </w:tc>
        <w:tc>
          <w:tcPr>
            <w:tcW w:w="1100" w:type="dxa"/>
            <w:vAlign w:val="bottom"/>
            <w:gridSpan w:val="2"/>
          </w:tcPr>
          <w:p>
            <w:pPr>
              <w:ind w:left="20"/>
              <w:spacing w:after="0" w:line="177" w:lineRule="exact"/>
              <w:rPr>
                <w:sz w:val="20"/>
                <w:szCs w:val="20"/>
                <w:color w:val="auto"/>
              </w:rPr>
            </w:pPr>
            <w:r>
              <w:rPr>
                <w:rFonts w:ascii="Arial" w:cs="Arial" w:eastAsia="Arial" w:hAnsi="Arial"/>
                <w:sz w:val="16"/>
                <w:szCs w:val="16"/>
                <w:b w:val="1"/>
                <w:bCs w:val="1"/>
                <w:color w:val="auto"/>
              </w:rPr>
              <w:t>Healthcare</w:t>
            </w:r>
          </w:p>
        </w:tc>
        <w:tc>
          <w:tcPr>
            <w:tcW w:w="260" w:type="dxa"/>
            <w:vAlign w:val="bottom"/>
          </w:tcPr>
          <w:p>
            <w:pPr>
              <w:spacing w:after="0"/>
              <w:rPr>
                <w:sz w:val="15"/>
                <w:szCs w:val="15"/>
                <w:color w:val="auto"/>
              </w:rPr>
            </w:pPr>
          </w:p>
        </w:tc>
        <w:tc>
          <w:tcPr>
            <w:tcW w:w="880" w:type="dxa"/>
            <w:vAlign w:val="bottom"/>
          </w:tcPr>
          <w:p>
            <w:pPr>
              <w:jc w:val="right"/>
              <w:ind w:right="299"/>
              <w:spacing w:after="0" w:line="177"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60" w:type="dxa"/>
            <w:vAlign w:val="bottom"/>
            <w:tcBorders>
              <w:top w:val="single" w:sz="8" w:color="auto"/>
              <w:bottom w:val="single" w:sz="8" w:color="DCE2EF"/>
            </w:tcBorders>
          </w:tcPr>
          <w:p>
            <w:pPr>
              <w:spacing w:after="0" w:line="20" w:lineRule="exact"/>
              <w:rPr>
                <w:sz w:val="1"/>
                <w:szCs w:val="1"/>
                <w:color w:val="auto"/>
              </w:rPr>
            </w:pPr>
          </w:p>
        </w:tc>
        <w:tc>
          <w:tcPr>
            <w:tcW w:w="206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7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Major Service Line</w:t>
            </w:r>
          </w:p>
        </w:tc>
        <w:tc>
          <w:tcPr>
            <w:tcW w:w="280" w:type="dxa"/>
            <w:vAlign w:val="bottom"/>
            <w:shd w:val="clear" w:color="auto" w:fill="DCE2EF"/>
          </w:tcPr>
          <w:p>
            <w:pPr>
              <w:spacing w:after="0"/>
              <w:rPr>
                <w:sz w:val="22"/>
                <w:szCs w:val="22"/>
                <w:color w:val="auto"/>
              </w:rPr>
            </w:pPr>
          </w:p>
        </w:tc>
        <w:tc>
          <w:tcPr>
            <w:tcW w:w="90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40" w:type="dxa"/>
            <w:vAlign w:val="bottom"/>
            <w:shd w:val="clear" w:color="auto" w:fill="DCE2EF"/>
          </w:tcPr>
          <w:p>
            <w:pPr>
              <w:spacing w:after="0"/>
              <w:rPr>
                <w:sz w:val="22"/>
                <w:szCs w:val="22"/>
                <w:color w:val="auto"/>
              </w:rPr>
            </w:pPr>
          </w:p>
        </w:tc>
        <w:tc>
          <w:tcPr>
            <w:tcW w:w="10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40" w:type="dxa"/>
            <w:vAlign w:val="bottom"/>
            <w:shd w:val="clear" w:color="auto" w:fill="DCE2EF"/>
          </w:tcPr>
          <w:p>
            <w:pPr>
              <w:spacing w:after="0"/>
              <w:rPr>
                <w:sz w:val="22"/>
                <w:szCs w:val="22"/>
                <w:color w:val="auto"/>
              </w:rPr>
            </w:pPr>
          </w:p>
        </w:tc>
        <w:tc>
          <w:tcPr>
            <w:tcW w:w="10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20" w:type="dxa"/>
            <w:vAlign w:val="bottom"/>
            <w:gridSpan w:val="2"/>
          </w:tcPr>
          <w:p>
            <w:pPr>
              <w:ind w:left="140"/>
              <w:spacing w:after="0"/>
              <w:rPr>
                <w:sz w:val="20"/>
                <w:szCs w:val="20"/>
                <w:color w:val="auto"/>
              </w:rPr>
            </w:pPr>
            <w:r>
              <w:rPr>
                <w:rFonts w:ascii="Arial" w:cs="Arial" w:eastAsia="Arial" w:hAnsi="Arial"/>
                <w:sz w:val="16"/>
                <w:szCs w:val="16"/>
                <w:color w:val="auto"/>
              </w:rPr>
              <w:t>Janitorial</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1,092.5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372.2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367.5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1,968.4</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72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Parking</w:t>
            </w:r>
            <w:r>
              <w:rPr>
                <w:rFonts w:ascii="Arial" w:cs="Arial" w:eastAsia="Arial" w:hAnsi="Arial"/>
                <w:sz w:val="21"/>
                <w:szCs w:val="21"/>
                <w:color w:val="auto"/>
                <w:vertAlign w:val="superscript"/>
              </w:rPr>
              <w:t>(2)</w:t>
            </w:r>
          </w:p>
        </w:tc>
        <w:tc>
          <w:tcPr>
            <w:tcW w:w="280" w:type="dxa"/>
            <w:vAlign w:val="bottom"/>
            <w:shd w:val="clear" w:color="auto" w:fill="DCE2EF"/>
          </w:tcPr>
          <w:p>
            <w:pPr>
              <w:spacing w:after="0"/>
              <w:rPr>
                <w:sz w:val="23"/>
                <w:szCs w:val="23"/>
                <w:color w:val="auto"/>
              </w:rPr>
            </w:pPr>
          </w:p>
        </w:tc>
        <w:tc>
          <w:tcPr>
            <w:tcW w:w="9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170.0</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23"/>
                <w:szCs w:val="23"/>
                <w:color w:val="auto"/>
              </w:rPr>
            </w:pPr>
          </w:p>
        </w:tc>
        <w:tc>
          <w:tcPr>
            <w:tcW w:w="10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20" w:type="dxa"/>
            <w:vAlign w:val="bottom"/>
            <w:gridSpan w:val="2"/>
          </w:tcPr>
          <w:p>
            <w:pPr>
              <w:ind w:left="140"/>
              <w:spacing w:after="0"/>
              <w:rPr>
                <w:sz w:val="20"/>
                <w:szCs w:val="20"/>
                <w:color w:val="auto"/>
              </w:rPr>
            </w:pPr>
            <w:r>
              <w:rPr>
                <w:rFonts w:ascii="Arial" w:cs="Arial" w:eastAsia="Arial" w:hAnsi="Arial"/>
                <w:sz w:val="16"/>
                <w:szCs w:val="16"/>
                <w:color w:val="auto"/>
              </w:rPr>
              <w:t>Facility Services</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2720" w:type="dxa"/>
            <w:vAlign w:val="bottom"/>
            <w:gridSpan w:val="2"/>
            <w:shd w:val="clear" w:color="auto" w:fill="DCE2EF"/>
          </w:tcPr>
          <w:p>
            <w:pPr>
              <w:ind w:left="140"/>
              <w:spacing w:after="0"/>
              <w:rPr>
                <w:sz w:val="20"/>
                <w:szCs w:val="20"/>
                <w:color w:val="auto"/>
              </w:rPr>
            </w:pPr>
            <w:r>
              <w:rPr>
                <w:rFonts w:ascii="Arial" w:cs="Arial" w:eastAsia="Arial" w:hAnsi="Arial"/>
                <w:sz w:val="16"/>
                <w:szCs w:val="16"/>
                <w:color w:val="auto"/>
              </w:rPr>
              <w:t>Building &amp; Energy Solutions</w:t>
            </w:r>
            <w:r>
              <w:rPr>
                <w:rFonts w:ascii="Arial" w:cs="Arial" w:eastAsia="Arial" w:hAnsi="Arial"/>
                <w:sz w:val="21"/>
                <w:szCs w:val="21"/>
                <w:color w:val="auto"/>
                <w:vertAlign w:val="superscript"/>
              </w:rPr>
              <w:t>(4)</w:t>
            </w:r>
          </w:p>
        </w:tc>
        <w:tc>
          <w:tcPr>
            <w:tcW w:w="280" w:type="dxa"/>
            <w:vAlign w:val="bottom"/>
            <w:shd w:val="clear" w:color="auto" w:fill="DCE2EF"/>
          </w:tcPr>
          <w:p>
            <w:pPr>
              <w:spacing w:after="0"/>
              <w:rPr>
                <w:sz w:val="23"/>
                <w:szCs w:val="23"/>
                <w:color w:val="auto"/>
              </w:rPr>
            </w:pPr>
          </w:p>
        </w:tc>
        <w:tc>
          <w:tcPr>
            <w:tcW w:w="102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CE2EF"/>
          </w:tcPr>
          <w:p>
            <w:pPr>
              <w:spacing w:after="0"/>
              <w:rPr>
                <w:sz w:val="23"/>
                <w:szCs w:val="23"/>
                <w:color w:val="auto"/>
              </w:rPr>
            </w:pPr>
          </w:p>
        </w:tc>
        <w:tc>
          <w:tcPr>
            <w:tcW w:w="10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9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3"/>
                <w:szCs w:val="23"/>
                <w:color w:val="auto"/>
              </w:rPr>
            </w:pPr>
          </w:p>
        </w:tc>
        <w:tc>
          <w:tcPr>
            <w:tcW w:w="9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235.5</w:t>
            </w:r>
          </w:p>
        </w:tc>
        <w:tc>
          <w:tcPr>
            <w:tcW w:w="100" w:type="dxa"/>
            <w:vAlign w:val="bottom"/>
            <w:shd w:val="clear" w:color="auto" w:fill="DCE2EF"/>
          </w:tcPr>
          <w:p>
            <w:pPr>
              <w:spacing w:after="0"/>
              <w:rPr>
                <w:sz w:val="23"/>
                <w:szCs w:val="23"/>
                <w:color w:val="auto"/>
              </w:rPr>
            </w:pPr>
          </w:p>
        </w:tc>
        <w:tc>
          <w:tcPr>
            <w:tcW w:w="140" w:type="dxa"/>
            <w:vAlign w:val="bottom"/>
            <w:shd w:val="clear" w:color="auto" w:fill="DCE2EF"/>
          </w:tcPr>
          <w:p>
            <w:pPr>
              <w:spacing w:after="0"/>
              <w:rPr>
                <w:sz w:val="23"/>
                <w:szCs w:val="23"/>
                <w:color w:val="auto"/>
              </w:rPr>
            </w:pPr>
          </w:p>
        </w:tc>
        <w:tc>
          <w:tcPr>
            <w:tcW w:w="11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20" w:type="dxa"/>
            <w:vAlign w:val="bottom"/>
            <w:gridSpan w:val="2"/>
          </w:tcPr>
          <w:p>
            <w:pPr>
              <w:ind w:left="140"/>
              <w:spacing w:after="0"/>
              <w:rPr>
                <w:sz w:val="20"/>
                <w:szCs w:val="20"/>
                <w:color w:val="auto"/>
              </w:rPr>
            </w:pPr>
            <w:r>
              <w:rPr>
                <w:rFonts w:ascii="Arial" w:cs="Arial" w:eastAsia="Arial" w:hAnsi="Arial"/>
                <w:sz w:val="16"/>
                <w:szCs w:val="16"/>
                <w:color w:val="auto"/>
              </w:rPr>
              <w:t>Airline Services</w:t>
            </w:r>
            <w:r>
              <w:rPr>
                <w:rFonts w:ascii="Arial" w:cs="Arial" w:eastAsia="Arial" w:hAnsi="Arial"/>
                <w:sz w:val="21"/>
                <w:szCs w:val="21"/>
                <w:color w:val="auto"/>
                <w:vertAlign w:val="superscript"/>
              </w:rPr>
              <w:t>(5)</w:t>
            </w:r>
          </w:p>
        </w:tc>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234"/>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660" w:type="dxa"/>
            <w:vAlign w:val="bottom"/>
            <w:tcBorders>
              <w:top w:val="single" w:sz="8" w:color="DCE2EF"/>
              <w:bottom w:val="single" w:sz="8" w:color="DCE2EF"/>
            </w:tcBorders>
            <w:shd w:val="clear" w:color="auto" w:fill="DCE2EF"/>
          </w:tcPr>
          <w:p>
            <w:pPr>
              <w:spacing w:after="0"/>
              <w:rPr>
                <w:sz w:val="20"/>
                <w:szCs w:val="20"/>
                <w:color w:val="auto"/>
              </w:rPr>
            </w:pPr>
          </w:p>
        </w:tc>
        <w:tc>
          <w:tcPr>
            <w:tcW w:w="206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1,527.9</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502.4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460.4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410.3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235.5</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133.0</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DCE2EF"/>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3,269.6</w:t>
            </w: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ind w:left="40"/>
              <w:spacing w:after="0"/>
              <w:rPr>
                <w:sz w:val="20"/>
                <w:szCs w:val="20"/>
                <w:color w:val="auto"/>
              </w:rPr>
            </w:pPr>
            <w:r>
              <w:rPr>
                <w:rFonts w:ascii="Arial" w:cs="Arial" w:eastAsia="Arial" w:hAnsi="Arial"/>
                <w:sz w:val="16"/>
                <w:szCs w:val="16"/>
                <w:color w:val="auto"/>
              </w:rPr>
              <w:t>Elimination of inter-segment</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7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DCE2EF"/>
            </w:tcBorders>
          </w:tcPr>
          <w:p>
            <w:pPr>
              <w:spacing w:after="0"/>
              <w:rPr>
                <w:sz w:val="18"/>
                <w:szCs w:val="18"/>
                <w:color w:val="auto"/>
              </w:rPr>
            </w:pPr>
          </w:p>
        </w:tc>
        <w:tc>
          <w:tcPr>
            <w:tcW w:w="272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DCE2EF"/>
            </w:tcBorders>
          </w:tcPr>
          <w:p>
            <w:pPr>
              <w:spacing w:after="0"/>
              <w:rPr>
                <w:sz w:val="18"/>
                <w:szCs w:val="18"/>
                <w:color w:val="auto"/>
              </w:rPr>
            </w:pPr>
          </w:p>
        </w:tc>
        <w:tc>
          <w:tcPr>
            <w:tcW w:w="90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00" w:type="dxa"/>
            <w:vAlign w:val="bottom"/>
            <w:tcBorders>
              <w:bottom w:val="single" w:sz="8" w:color="DCE2EF"/>
            </w:tcBorders>
          </w:tcPr>
          <w:p>
            <w:pPr>
              <w:spacing w:after="0"/>
              <w:rPr>
                <w:sz w:val="18"/>
                <w:szCs w:val="18"/>
                <w:color w:val="auto"/>
              </w:rPr>
            </w:pPr>
          </w:p>
        </w:tc>
        <w:tc>
          <w:tcPr>
            <w:tcW w:w="940" w:type="dxa"/>
            <w:vAlign w:val="bottom"/>
            <w:tcBorders>
              <w:bottom w:val="single" w:sz="8" w:color="DCE2EF"/>
            </w:tcBorders>
          </w:tcPr>
          <w:p>
            <w:pPr>
              <w:spacing w:after="0"/>
              <w:rPr>
                <w:sz w:val="18"/>
                <w:szCs w:val="18"/>
                <w:color w:val="auto"/>
              </w:rPr>
            </w:pPr>
          </w:p>
        </w:tc>
        <w:tc>
          <w:tcPr>
            <w:tcW w:w="120" w:type="dxa"/>
            <w:vAlign w:val="bottom"/>
            <w:tcBorders>
              <w:bottom w:val="single" w:sz="8" w:color="DCE2EF"/>
            </w:tcBorders>
          </w:tcPr>
          <w:p>
            <w:pPr>
              <w:spacing w:after="0"/>
              <w:rPr>
                <w:sz w:val="18"/>
                <w:szCs w:val="18"/>
                <w:color w:val="auto"/>
              </w:rPr>
            </w:pPr>
          </w:p>
        </w:tc>
        <w:tc>
          <w:tcPr>
            <w:tcW w:w="260" w:type="dxa"/>
            <w:vAlign w:val="bottom"/>
            <w:tcBorders>
              <w:bottom w:val="single" w:sz="8" w:color="DCE2EF"/>
            </w:tcBorders>
          </w:tcPr>
          <w:p>
            <w:pPr>
              <w:spacing w:after="0"/>
              <w:rPr>
                <w:sz w:val="18"/>
                <w:szCs w:val="18"/>
                <w:color w:val="auto"/>
              </w:rPr>
            </w:pPr>
          </w:p>
        </w:tc>
        <w:tc>
          <w:tcPr>
            <w:tcW w:w="88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DCE2EF"/>
            </w:tcBorders>
          </w:tcPr>
          <w:p>
            <w:pPr>
              <w:spacing w:after="0"/>
              <w:rPr>
                <w:sz w:val="18"/>
                <w:szCs w:val="18"/>
                <w:color w:val="auto"/>
              </w:rPr>
            </w:pPr>
          </w:p>
        </w:tc>
        <w:tc>
          <w:tcPr>
            <w:tcW w:w="100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60" w:type="dxa"/>
            <w:vAlign w:val="bottom"/>
            <w:tcBorders>
              <w:bottom w:val="single" w:sz="8" w:color="DCE2EF"/>
            </w:tcBorders>
          </w:tcPr>
          <w:p>
            <w:pPr>
              <w:spacing w:after="0"/>
              <w:rPr>
                <w:sz w:val="18"/>
                <w:szCs w:val="18"/>
                <w:color w:val="auto"/>
              </w:rPr>
            </w:pPr>
          </w:p>
        </w:tc>
        <w:tc>
          <w:tcPr>
            <w:tcW w:w="98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140" w:type="dxa"/>
            <w:vAlign w:val="bottom"/>
            <w:tcBorders>
              <w:bottom w:val="single" w:sz="8" w:color="DCE2EF"/>
            </w:tcBorders>
          </w:tcPr>
          <w:p>
            <w:pPr>
              <w:spacing w:after="0"/>
              <w:rPr>
                <w:sz w:val="18"/>
                <w:szCs w:val="18"/>
                <w:color w:val="auto"/>
              </w:rPr>
            </w:pPr>
          </w:p>
        </w:tc>
        <w:tc>
          <w:tcPr>
            <w:tcW w:w="1000" w:type="dxa"/>
            <w:vAlign w:val="bottom"/>
            <w:tcBorders>
              <w:bottom w:val="single" w:sz="8" w:color="DCE2EF"/>
            </w:tcBorders>
          </w:tcPr>
          <w:p>
            <w:pPr>
              <w:spacing w:after="0"/>
              <w:rPr>
                <w:sz w:val="18"/>
                <w:szCs w:val="18"/>
                <w:color w:val="auto"/>
              </w:rPr>
            </w:pPr>
          </w:p>
        </w:tc>
        <w:tc>
          <w:tcPr>
            <w:tcW w:w="100" w:type="dxa"/>
            <w:vAlign w:val="bottom"/>
            <w:tcBorders>
              <w:bottom w:val="single" w:sz="8" w:color="DCE2E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40"/>
        </w:trPr>
        <w:tc>
          <w:tcPr>
            <w:tcW w:w="276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DCE2EF"/>
            </w:tcBorders>
            <w:shd w:val="clear" w:color="auto" w:fill="DCE2EF"/>
          </w:tcPr>
          <w:p>
            <w:pPr>
              <w:spacing w:after="0"/>
              <w:rPr>
                <w:sz w:val="20"/>
                <w:szCs w:val="20"/>
                <w:color w:val="auto"/>
              </w:rPr>
            </w:pPr>
          </w:p>
        </w:tc>
        <w:tc>
          <w:tcPr>
            <w:tcW w:w="90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spacing w:after="0"/>
              <w:rPr>
                <w:sz w:val="20"/>
                <w:szCs w:val="20"/>
                <w:color w:val="auto"/>
              </w:rPr>
            </w:pPr>
          </w:p>
        </w:tc>
        <w:tc>
          <w:tcPr>
            <w:tcW w:w="12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DCE2EF"/>
            </w:tcBorders>
            <w:shd w:val="clear" w:color="auto" w:fill="DCE2EF"/>
          </w:tcPr>
          <w:p>
            <w:pPr>
              <w:spacing w:after="0"/>
              <w:rPr>
                <w:sz w:val="20"/>
                <w:szCs w:val="20"/>
                <w:color w:val="auto"/>
              </w:rPr>
            </w:pPr>
          </w:p>
        </w:tc>
        <w:tc>
          <w:tcPr>
            <w:tcW w:w="8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100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60" w:type="dxa"/>
            <w:vAlign w:val="bottom"/>
            <w:tcBorders>
              <w:bottom w:val="single" w:sz="8" w:color="DCE2EF"/>
            </w:tcBorders>
            <w:shd w:val="clear" w:color="auto" w:fill="DCE2EF"/>
          </w:tcPr>
          <w:p>
            <w:pPr>
              <w:spacing w:after="0"/>
              <w:rPr>
                <w:sz w:val="20"/>
                <w:szCs w:val="20"/>
                <w:color w:val="auto"/>
              </w:rPr>
            </w:pPr>
          </w:p>
        </w:tc>
        <w:tc>
          <w:tcPr>
            <w:tcW w:w="98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DCE2EF"/>
            </w:tcBorders>
            <w:shd w:val="clear" w:color="auto" w:fill="DCE2EF"/>
          </w:tcPr>
          <w:p>
            <w:pPr>
              <w:spacing w:after="0"/>
              <w:rPr>
                <w:sz w:val="20"/>
                <w:szCs w:val="20"/>
                <w:color w:val="auto"/>
              </w:rPr>
            </w:pPr>
          </w:p>
        </w:tc>
        <w:tc>
          <w:tcPr>
            <w:tcW w:w="1000" w:type="dxa"/>
            <w:vAlign w:val="bottom"/>
            <w:tcBorders>
              <w:bottom w:val="single" w:sz="8" w:color="DCE2EF"/>
            </w:tcBorders>
            <w:shd w:val="clear" w:color="auto" w:fill="DCE2EF"/>
          </w:tcPr>
          <w:p>
            <w:pPr>
              <w:spacing w:after="0"/>
              <w:rPr>
                <w:sz w:val="20"/>
                <w:szCs w:val="20"/>
                <w:color w:val="auto"/>
              </w:rPr>
            </w:pP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3,202.6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36"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36" w:right="239" w:bottom="1440" w:gutter="0" w:footer="0" w:header="0"/>
          <w:type w:val="continuous"/>
        </w:sectPr>
      </w:pPr>
    </w:p>
    <w:bookmarkStart w:id="14" w:name="page15"/>
    <w:bookmarkEnd w:id="14"/>
    <w:p>
      <w:pPr>
        <w:ind w:firstLine="8"/>
        <w:spacing w:after="0" w:line="210" w:lineRule="auto"/>
        <w:tabs>
          <w:tab w:leader="none" w:pos="189"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Janitorial arrangements provide a wide range of essential cleaning services for commercial office buildings, airports and other transportation centers, educational institutions, government buildings, health facilities, industrial buildings, retail stores, and stadiums and arenas.</w:t>
      </w:r>
    </w:p>
    <w:p>
      <w:pPr>
        <w:spacing w:after="0" w:line="157" w:lineRule="exact"/>
        <w:rPr>
          <w:rFonts w:ascii="Arial" w:cs="Arial" w:eastAsia="Arial" w:hAnsi="Arial"/>
          <w:sz w:val="22"/>
          <w:szCs w:val="22"/>
          <w:color w:val="auto"/>
          <w:vertAlign w:val="superscript"/>
        </w:rPr>
      </w:pPr>
    </w:p>
    <w:p>
      <w:pPr>
        <w:jc w:val="both"/>
        <w:ind w:firstLine="8"/>
        <w:spacing w:after="0" w:line="230" w:lineRule="auto"/>
        <w:tabs>
          <w:tab w:leader="none" w:pos="211"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Parking arrangements provide parking and transportation services for clients at various locations, including airports and other transportation centers, commercial office buildings, educational institutions, health facilities, hotels, and stadiums and arenas. Certain of our management reimbursement, leased, and allowance location arrangements are considered service concession agreements and are accounted for under the guidance of Topic 853. For the three and six months ended April 30, 2019, rent expense related to service concession arrangements, previously recorded within operating expenses, has been recorded as a reduction of the related parking service revenues.</w:t>
      </w:r>
    </w:p>
    <w:p>
      <w:pPr>
        <w:spacing w:after="0" w:line="159" w:lineRule="exact"/>
        <w:rPr>
          <w:rFonts w:ascii="Arial" w:cs="Arial" w:eastAsia="Arial" w:hAnsi="Arial"/>
          <w:sz w:val="22"/>
          <w:szCs w:val="22"/>
          <w:color w:val="auto"/>
          <w:vertAlign w:val="superscript"/>
        </w:rPr>
      </w:pPr>
    </w:p>
    <w:p>
      <w:pPr>
        <w:jc w:val="both"/>
        <w:ind w:firstLine="8"/>
        <w:spacing w:after="0" w:line="221" w:lineRule="auto"/>
        <w:tabs>
          <w:tab w:leader="none" w:pos="204"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w:t>
      </w:r>
    </w:p>
    <w:p>
      <w:pPr>
        <w:spacing w:after="0" w:line="157" w:lineRule="exact"/>
        <w:rPr>
          <w:rFonts w:ascii="Arial" w:cs="Arial" w:eastAsia="Arial" w:hAnsi="Arial"/>
          <w:sz w:val="22"/>
          <w:szCs w:val="22"/>
          <w:color w:val="auto"/>
          <w:vertAlign w:val="superscript"/>
        </w:rPr>
      </w:pPr>
    </w:p>
    <w:p>
      <w:pPr>
        <w:ind w:firstLine="8"/>
        <w:spacing w:after="0" w:line="235" w:lineRule="auto"/>
        <w:tabs>
          <w:tab w:leader="none" w:pos="17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Building &amp; Energy Solutions arrangements provide custom energy solutions, electrical, HVAC, lighting, and other general maintenance and repair services for clients in the public and private sectors. We also franchise certain operations under franchise agreements relating to our Linc Network and TEGG brands.</w:t>
      </w:r>
    </w:p>
    <w:p>
      <w:pPr>
        <w:spacing w:after="0" w:line="157" w:lineRule="exact"/>
        <w:rPr>
          <w:rFonts w:ascii="Arial" w:cs="Arial" w:eastAsia="Arial" w:hAnsi="Arial"/>
          <w:sz w:val="19"/>
          <w:szCs w:val="19"/>
          <w:color w:val="auto"/>
          <w:vertAlign w:val="superscript"/>
        </w:rPr>
      </w:pPr>
    </w:p>
    <w:p>
      <w:pPr>
        <w:ind w:firstLine="8"/>
        <w:spacing w:after="0" w:line="210" w:lineRule="auto"/>
        <w:tabs>
          <w:tab w:leader="none" w:pos="2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Airline Services arrangements support airlines and airports with services ranging from passenger assistance, catering logistics, and airplane cabin maintenance.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Contracts with Customers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have a notification period of 30 to 60 days. If a contract includes a cancellation clause, the remaining contract term is limited to the required termination notice period.</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We allocate the contract transaction price to this single performance obligation and recognize revenue as the services are performed, as further described in “Contract Types” below.</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7" w:right="239" w:bottom="1440" w:gutter="0" w:footer="0" w:header="0"/>
        </w:sectPr>
      </w:pPr>
    </w:p>
    <w:bookmarkStart w:id="15" w:name="page16"/>
    <w:bookmarkEnd w:id="15"/>
    <w:p>
      <w:pPr>
        <w:jc w:val="both"/>
        <w:ind w:firstLine="648"/>
        <w:spacing w:after="0" w:line="256" w:lineRule="auto"/>
        <w:rPr>
          <w:sz w:val="20"/>
          <w:szCs w:val="20"/>
          <w:color w:val="auto"/>
        </w:rPr>
      </w:pPr>
      <w:r>
        <w:rPr>
          <w:rFonts w:ascii="Arial" w:cs="Arial" w:eastAsia="Arial" w:hAnsi="Arial"/>
          <w:sz w:val="18"/>
          <w:szCs w:val="18"/>
          <w:color w:val="auto"/>
        </w:rPr>
        <w:t>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prospectively as part of the existing contract.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Contract Types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arrangements under various contract types within our major service 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Monthly Fixed-Price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Facilities Services, and Airline Services contracts are structured pursuant to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Square-Foot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Monthly 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contracts are structured pursuant to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Cost-Plus</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Janitorial, Facilities Services, and Airline Services contracts are structured pursuant to this type of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Tag Services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Tag work generally consists of supplemental services requested by clients outside of the standard service specification and includes cleanup after tenant moves, construction cleanup, flood cleanup, and snow removal. Because the nature of these short-term contracts involves performing one-off type services, revenue is recognized at the agreed-upon contractual amount over time as the services are provided, because the customer simultaneously receives and consumes the benefits of the services as they are performed. Certain Janitorial and Facilities Services are often structured under this type of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Transaction-Price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Airline Services contracts are structured under this type of arrangement.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4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0046AD"/>
        </w:rPr>
        <w:t>Hourly</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Certain Airline Services contracts are structured under this type of arrangement.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Management Reimbursement</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management reimbursement arrangements, within our Parking service line,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Leased Location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leased location parking arrangements, within our Parking service line, we pay a fixed amount of rent, plus a percentage of revenues derived from monthly and transient parkers, to the property owner. We retain all revenues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described above and in Note 2, “Basis of Presentation and Significant Accounting Policies,” and in accordance with Topic 853, rental expense and certain other expenses under contracts that meet the definition of service concession arrangements are recorded as a reduction of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Allowance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allowance parking arrangements, within our Parking service line,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Energy Savings Contracts and Fixed-Price Repair and Refurbishment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energy savings and fixed -price repair and refurbishment arrangements, within our Building &amp; Energy Solutions service line, we agree to develop, design, engineer, and construct a project. Additionally, as part of bundled energy solutions arrangements, we guarantee the project will satisfy agreed-upon performance standards.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cost-to-cost method, which compares the actual costs incurred to date with the current estimate of total costs to complete in order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title is transferred to us, typically upon delivery to the work site. Revenue for uninstalled equipment is recognized at cost and the associated margin is deferred until installation is substantially complete.</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6" w:right="239" w:bottom="1440" w:gutter="0" w:footer="0" w:header="0"/>
        </w:sectPr>
      </w:pPr>
    </w:p>
    <w:bookmarkStart w:id="17" w:name="page18"/>
    <w:bookmarkEnd w:id="17"/>
    <w:p>
      <w:pPr>
        <w:jc w:val="both"/>
        <w:ind w:firstLine="648"/>
        <w:spacing w:after="0" w:line="252" w:lineRule="auto"/>
        <w:rPr>
          <w:sz w:val="20"/>
          <w:szCs w:val="20"/>
          <w:color w:val="auto"/>
        </w:rPr>
      </w:pPr>
      <w:r>
        <w:rPr>
          <w:rFonts w:ascii="Arial" w:cs="Arial" w:eastAsia="Arial" w:hAnsi="Arial"/>
          <w:sz w:val="18"/>
          <w:szCs w:val="18"/>
          <w:color w:val="auto"/>
        </w:rPr>
        <w:t>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cumulative billings or cumulative billings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Franchise</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franchise certain engineering services through individual and area franchises under the Linc Service and TEGG brands, which are part of ABM Technical Solutions and are included in our Building &amp; Energy Solutions service line.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Remaining Performance Obligations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April 30, 2019, we had $258.4 million related to performance obligations that were unsatisfied or partially unsatisfied for which we expect to recognize revenue. We expect to recognize revenue on approximately 67% of the remaining performance obligations over the next 12 months, with the remaining recognized thereafter.</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amounts exclude variable consideration primarily related to: (1) contracts where we have determined that the contract consists of a series of distinct service periods and revenues are based on future performance that cannot be estimated at contract inception; (2) parking contracts where we and the customer share the gross revenues or operating profit for the location; and (3)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64FA2"/>
        </w:rPr>
        <w:t>Costs to Obtain a Contract With a Customer</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capitalize the incremental costs of obtaining a contract with a customer, primarily commissions, as contract assets and recognize the expense on a straight-line basis over a weighted average expected customer relationship period. Upon adoption of Topic 606 on November 1, 2018, we capitalized $15.1 million of commissions related to contracts that were not completed at that date. Capitalized commissions are classified as current or noncurrent based on the timing of when we expect to recognize the expense.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164FA2"/>
        </w:rPr>
        <w:t>Contract Balances</w:t>
      </w:r>
    </w:p>
    <w:p>
      <w:pPr>
        <w:spacing w:after="0" w:line="3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 contract term is limited to the termination notice period.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Contract assets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balances in our contract assets and contract liabilities: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8"/>
                <w:szCs w:val="18"/>
                <w:color w:val="auto"/>
              </w:rPr>
            </w:pPr>
          </w:p>
        </w:tc>
        <w:tc>
          <w:tcPr>
            <w:tcW w:w="190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30, 2019</w:t>
            </w:r>
          </w:p>
        </w:tc>
        <w:tc>
          <w:tcPr>
            <w:tcW w:w="200" w:type="dxa"/>
            <w:vAlign w:val="bottom"/>
          </w:tcPr>
          <w:p>
            <w:pPr>
              <w:spacing w:after="0"/>
              <w:rPr>
                <w:sz w:val="18"/>
                <w:szCs w:val="18"/>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November 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4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64"/>
        </w:trPr>
        <w:tc>
          <w:tcPr>
            <w:tcW w:w="718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assets</w:t>
            </w:r>
          </w:p>
        </w:tc>
        <w:tc>
          <w:tcPr>
            <w:tcW w:w="28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860" w:type="dxa"/>
            <w:vAlign w:val="bottom"/>
            <w:shd w:val="clear" w:color="auto" w:fill="DCE2E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Billed trade receivables</w:t>
            </w:r>
            <w:r>
              <w:rPr>
                <w:rFonts w:ascii="Arial" w:cs="Arial" w:eastAsia="Arial" w:hAnsi="Arial"/>
                <w:sz w:val="21"/>
                <w:szCs w:val="21"/>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988.6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918.9</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Unbilled trade receivables</w:t>
            </w:r>
            <w:r>
              <w:rPr>
                <w:rFonts w:ascii="Arial" w:cs="Arial" w:eastAsia="Arial" w:hAnsi="Arial"/>
                <w:sz w:val="21"/>
                <w:szCs w:val="21"/>
                <w:color w:val="auto"/>
                <w:vertAlign w:val="superscript"/>
              </w:rPr>
              <w:t>(1)</w:t>
            </w:r>
          </w:p>
        </w:tc>
        <w:tc>
          <w:tcPr>
            <w:tcW w:w="280" w:type="dxa"/>
            <w:vAlign w:val="bottom"/>
            <w:shd w:val="clear" w:color="auto" w:fill="DCE2EF"/>
          </w:tcPr>
          <w:p>
            <w:pPr>
              <w:spacing w:after="0"/>
              <w:rPr>
                <w:sz w:val="23"/>
                <w:szCs w:val="23"/>
                <w:color w:val="auto"/>
              </w:rPr>
            </w:pP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74.3</w:t>
            </w:r>
          </w:p>
        </w:tc>
      </w:tr>
      <w:tr>
        <w:trPr>
          <w:trHeight w:val="270"/>
        </w:trPr>
        <w:tc>
          <w:tcPr>
            <w:tcW w:w="40" w:type="dxa"/>
            <w:vAlign w:val="bottom"/>
          </w:tcPr>
          <w:p>
            <w:pPr>
              <w:spacing w:after="0"/>
              <w:rPr>
                <w:sz w:val="23"/>
                <w:szCs w:val="23"/>
                <w:color w:val="auto"/>
              </w:rPr>
            </w:pPr>
          </w:p>
        </w:tc>
        <w:tc>
          <w:tcPr>
            <w:tcW w:w="7140" w:type="dxa"/>
            <w:vAlign w:val="bottom"/>
            <w:gridSpan w:val="2"/>
          </w:tcPr>
          <w:p>
            <w:pPr>
              <w:ind w:left="240"/>
              <w:spacing w:after="0"/>
              <w:rPr>
                <w:sz w:val="20"/>
                <w:szCs w:val="20"/>
                <w:color w:val="auto"/>
              </w:rPr>
            </w:pPr>
            <w:r>
              <w:rPr>
                <w:rFonts w:ascii="Arial" w:cs="Arial" w:eastAsia="Arial" w:hAnsi="Arial"/>
                <w:sz w:val="18"/>
                <w:szCs w:val="18"/>
                <w:color w:val="auto"/>
              </w:rPr>
              <w:t>Costs incurred in excess of amounts billed</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0"/>
        </w:trPr>
        <w:tc>
          <w:tcPr>
            <w:tcW w:w="40" w:type="dxa"/>
            <w:vAlign w:val="bottom"/>
            <w:shd w:val="clear" w:color="auto" w:fill="DCE2EF"/>
          </w:tcPr>
          <w:p>
            <w:pPr>
              <w:spacing w:after="0"/>
              <w:rPr>
                <w:sz w:val="23"/>
                <w:szCs w:val="23"/>
                <w:color w:val="auto"/>
              </w:rPr>
            </w:pPr>
          </w:p>
        </w:tc>
        <w:tc>
          <w:tcPr>
            <w:tcW w:w="714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Capitalized commissions</w:t>
            </w:r>
            <w:r>
              <w:rPr>
                <w:rFonts w:ascii="Arial" w:cs="Arial" w:eastAsia="Arial" w:hAnsi="Arial"/>
                <w:sz w:val="21"/>
                <w:szCs w:val="21"/>
                <w:color w:val="auto"/>
                <w:vertAlign w:val="superscript"/>
              </w:rPr>
              <w:t>(3)</w:t>
            </w:r>
          </w:p>
        </w:tc>
        <w:tc>
          <w:tcPr>
            <w:tcW w:w="280" w:type="dxa"/>
            <w:vAlign w:val="bottom"/>
            <w:shd w:val="clear" w:color="auto" w:fill="DCE2EF"/>
          </w:tcPr>
          <w:p>
            <w:pPr>
              <w:spacing w:after="0"/>
              <w:rPr>
                <w:sz w:val="23"/>
                <w:szCs w:val="23"/>
                <w:color w:val="auto"/>
              </w:rPr>
            </w:pPr>
          </w:p>
        </w:tc>
        <w:tc>
          <w:tcPr>
            <w:tcW w:w="17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8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110" w:lineRule="exact"/>
        <w:rPr>
          <w:sz w:val="20"/>
          <w:szCs w:val="20"/>
          <w:color w:val="auto"/>
        </w:rPr>
      </w:pPr>
    </w:p>
    <w:p>
      <w:pPr>
        <w:ind w:firstLine="8"/>
        <w:spacing w:after="0" w:line="263"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Included in trade accounts receivable, net, on the consolidated balance sheets. The fluctuation correlates directly to the execution of new customer contracts and to invoicing and collections from customers in the normal course of business.</w:t>
      </w: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Increase is primarily due to the timing of payments on our contracts measured using the cost-to-cost method of revenue recognition.</w:t>
      </w:r>
    </w:p>
    <w:p>
      <w:pPr>
        <w:spacing w:after="0" w:line="48" w:lineRule="exact"/>
        <w:rPr>
          <w:rFonts w:ascii="Arial" w:cs="Arial" w:eastAsia="Arial" w:hAnsi="Arial"/>
          <w:sz w:val="21"/>
          <w:szCs w:val="21"/>
          <w:color w:val="auto"/>
          <w:vertAlign w:val="superscript"/>
        </w:rPr>
      </w:pPr>
    </w:p>
    <w:p>
      <w:pPr>
        <w:ind w:firstLine="8"/>
        <w:spacing w:after="0" w:line="263" w:lineRule="auto"/>
        <w:tabs>
          <w:tab w:leader="none" w:pos="16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and other noncurrent assets on the consolidated balance sheets. During the six months ended April 30, 2019, we capitalized $7.9 million of new costs and amortized $3.4 million of previously capitalized costs. There was no impairment loss recorded on the costs capitalized.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rPr>
              <w:t>Six Months Ended</w:t>
            </w:r>
          </w:p>
        </w:tc>
      </w:tr>
      <w:tr>
        <w:trPr>
          <w:trHeight w:val="212"/>
        </w:trPr>
        <w:tc>
          <w:tcPr>
            <w:tcW w:w="9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880" w:type="dxa"/>
            <w:vAlign w:val="bottom"/>
          </w:tcPr>
          <w:p>
            <w:pPr>
              <w:jc w:val="right"/>
              <w:ind w:right="370"/>
              <w:spacing w:after="0"/>
              <w:rPr>
                <w:sz w:val="20"/>
                <w:szCs w:val="20"/>
                <w:color w:val="auto"/>
              </w:rPr>
            </w:pPr>
            <w:r>
              <w:rPr>
                <w:rFonts w:ascii="Arial" w:cs="Arial" w:eastAsia="Arial" w:hAnsi="Arial"/>
                <w:sz w:val="18"/>
                <w:szCs w:val="18"/>
                <w:b w:val="1"/>
                <w:bCs w:val="1"/>
                <w:color w:val="auto"/>
              </w:rPr>
              <w:t>April 30, 2019</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6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64"/>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21"/>
                <w:szCs w:val="21"/>
                <w:color w:val="auto"/>
                <w:vertAlign w:val="superscript"/>
              </w:rPr>
              <w:t>(1)</w:t>
            </w:r>
          </w:p>
        </w:tc>
        <w:tc>
          <w:tcPr>
            <w:tcW w:w="180" w:type="dxa"/>
            <w:vAlign w:val="bottom"/>
            <w:shd w:val="clear" w:color="auto" w:fill="DCE2EF"/>
          </w:tcPr>
          <w:p>
            <w:pPr>
              <w:spacing w:after="0"/>
              <w:rPr>
                <w:sz w:val="22"/>
                <w:szCs w:val="22"/>
                <w:color w:val="auto"/>
              </w:rPr>
            </w:pPr>
          </w:p>
        </w:tc>
        <w:tc>
          <w:tcPr>
            <w:tcW w:w="188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9320" w:type="dxa"/>
            <w:vAlign w:val="bottom"/>
            <w:gridSpan w:val="2"/>
          </w:tcPr>
          <w:p>
            <w:pPr>
              <w:ind w:left="2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7"/>
        </w:trPr>
        <w:tc>
          <w:tcPr>
            <w:tcW w:w="40" w:type="dxa"/>
            <w:vAlign w:val="bottom"/>
            <w:shd w:val="clear" w:color="auto" w:fill="DCE2EF"/>
          </w:tcPr>
          <w:p>
            <w:pPr>
              <w:spacing w:after="0"/>
              <w:rPr>
                <w:sz w:val="24"/>
                <w:szCs w:val="24"/>
                <w:color w:val="auto"/>
              </w:rPr>
            </w:pPr>
          </w:p>
        </w:tc>
        <w:tc>
          <w:tcPr>
            <w:tcW w:w="93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Additional contract liabilities</w:t>
            </w:r>
          </w:p>
        </w:tc>
        <w:tc>
          <w:tcPr>
            <w:tcW w:w="180" w:type="dxa"/>
            <w:vAlign w:val="bottom"/>
            <w:shd w:val="clear" w:color="auto" w:fill="DCE2EF"/>
          </w:tcPr>
          <w:p>
            <w:pPr>
              <w:spacing w:after="0"/>
              <w:rPr>
                <w:sz w:val="24"/>
                <w:szCs w:val="24"/>
                <w:color w:val="auto"/>
              </w:rPr>
            </w:pPr>
          </w:p>
        </w:tc>
        <w:tc>
          <w:tcPr>
            <w:tcW w:w="18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204.5</w:t>
            </w:r>
          </w:p>
        </w:tc>
      </w:tr>
      <w:tr>
        <w:trPr>
          <w:trHeight w:val="304"/>
        </w:trPr>
        <w:tc>
          <w:tcPr>
            <w:tcW w:w="40" w:type="dxa"/>
            <w:vAlign w:val="bottom"/>
            <w:tcBorders>
              <w:bottom w:val="single" w:sz="8" w:color="DCE2EF"/>
            </w:tcBorders>
          </w:tcPr>
          <w:p>
            <w:pPr>
              <w:spacing w:after="0"/>
              <w:rPr>
                <w:sz w:val="24"/>
                <w:szCs w:val="24"/>
                <w:color w:val="auto"/>
              </w:rPr>
            </w:pPr>
          </w:p>
        </w:tc>
        <w:tc>
          <w:tcPr>
            <w:tcW w:w="93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Recognition of deferred revenue</w:t>
            </w: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r>
      <w:tr>
        <w:trPr>
          <w:trHeight w:val="284"/>
        </w:trPr>
        <w:tc>
          <w:tcPr>
            <w:tcW w:w="40" w:type="dxa"/>
            <w:vAlign w:val="bottom"/>
            <w:tcBorders>
              <w:bottom w:val="single" w:sz="8" w:color="DCE2EF"/>
            </w:tcBorders>
            <w:shd w:val="clear" w:color="auto" w:fill="DCE2EF"/>
          </w:tcPr>
          <w:p>
            <w:pPr>
              <w:spacing w:after="0"/>
              <w:rPr>
                <w:sz w:val="24"/>
                <w:szCs w:val="24"/>
                <w:color w:val="auto"/>
              </w:rPr>
            </w:pPr>
          </w:p>
        </w:tc>
        <w:tc>
          <w:tcPr>
            <w:tcW w:w="93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50.5</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Included in other accrued liabilities on the consolidated balance sheets.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46AD"/>
        </w:rPr>
        <w:t>4.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lease exit costs, and asset impairment charges. Recently, our significant restructuring activities have primarily related to integrating our acquisition of GCA Services Group (“GCA”) and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 as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and Other Restructuring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We incurred the majority of our severance expense associated with this restructuring program in the first half of 2018. We expect to incur additional charges, primarily related to other project fees, as we continue to further integrate and consolidate our operational and financial processes to support the growth and capabilities of our shared services and operations. Additionally, we continue standardizing our financial systems and streamlining our operations by migrating and upgrading several key management platforms, including our human resources information systems, enterprise resource planning system, and labor management system. We also continue consolidating our real estate leases.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restructuring and related expenses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Balance,</w:t>
            </w:r>
          </w:p>
        </w:tc>
      </w:tr>
      <w:tr>
        <w:trPr>
          <w:trHeight w:val="194"/>
        </w:trPr>
        <w:tc>
          <w:tcPr>
            <w:tcW w:w="37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October 31, 2018</w:t>
            </w:r>
          </w:p>
        </w:tc>
        <w:tc>
          <w:tcPr>
            <w:tcW w:w="120" w:type="dxa"/>
            <w:vAlign w:val="bottom"/>
          </w:tcPr>
          <w:p>
            <w:pPr>
              <w:spacing w:after="0"/>
              <w:rPr>
                <w:sz w:val="16"/>
                <w:szCs w:val="16"/>
                <w:color w:val="auto"/>
              </w:rPr>
            </w:pPr>
          </w:p>
        </w:tc>
        <w:tc>
          <w:tcPr>
            <w:tcW w:w="1800" w:type="dxa"/>
            <w:vAlign w:val="bottom"/>
            <w:gridSpan w:val="2"/>
          </w:tcPr>
          <w:p>
            <w:pPr>
              <w:ind w:left="20"/>
              <w:spacing w:after="0" w:line="194" w:lineRule="exact"/>
              <w:rPr>
                <w:sz w:val="20"/>
                <w:szCs w:val="20"/>
                <w:color w:val="auto"/>
              </w:rPr>
            </w:pPr>
            <w:r>
              <w:rPr>
                <w:rFonts w:ascii="Arial" w:cs="Arial" w:eastAsia="Arial" w:hAnsi="Arial"/>
                <w:sz w:val="16"/>
                <w:szCs w:val="16"/>
                <w:b w:val="1"/>
                <w:bCs w:val="1"/>
                <w:color w:val="auto"/>
              </w:rPr>
              <w:t>Costs Recognized</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Payments</w:t>
            </w:r>
          </w:p>
        </w:tc>
        <w:tc>
          <w:tcPr>
            <w:tcW w:w="2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April 30, 2019</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04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37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Employee severance</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21"/>
                <w:szCs w:val="21"/>
                <w:color w:val="auto"/>
              </w:rPr>
            </w:pPr>
          </w:p>
        </w:tc>
        <w:tc>
          <w:tcPr>
            <w:tcW w:w="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DCE2EF"/>
          </w:tcPr>
          <w:p>
            <w:pPr>
              <w:spacing w:after="0"/>
              <w:rPr>
                <w:sz w:val="21"/>
                <w:szCs w:val="21"/>
                <w:color w:val="auto"/>
              </w:rPr>
            </w:pP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3.7</w:t>
            </w:r>
          </w:p>
        </w:tc>
      </w:tr>
      <w:tr>
        <w:trPr>
          <w:trHeight w:val="260"/>
        </w:trPr>
        <w:tc>
          <w:tcPr>
            <w:tcW w:w="3780" w:type="dxa"/>
            <w:vAlign w:val="bottom"/>
            <w:gridSpan w:val="3"/>
          </w:tcPr>
          <w:p>
            <w:pPr>
              <w:ind w:left="40"/>
              <w:spacing w:after="0"/>
              <w:rPr>
                <w:sz w:val="20"/>
                <w:szCs w:val="20"/>
                <w:color w:val="auto"/>
              </w:rPr>
            </w:pPr>
            <w:r>
              <w:rPr>
                <w:rFonts w:ascii="Arial" w:cs="Arial" w:eastAsia="Arial" w:hAnsi="Arial"/>
                <w:sz w:val="16"/>
                <w:szCs w:val="16"/>
                <w:color w:val="auto"/>
              </w:rPr>
              <w:t>Lease exit costs and asset impairment</w:t>
            </w:r>
          </w:p>
        </w:tc>
        <w:tc>
          <w:tcPr>
            <w:tcW w:w="20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3"/>
        </w:trPr>
        <w:tc>
          <w:tcPr>
            <w:tcW w:w="37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project fees</w:t>
            </w:r>
          </w:p>
        </w:tc>
        <w:tc>
          <w:tcPr>
            <w:tcW w:w="200" w:type="dxa"/>
            <w:vAlign w:val="bottom"/>
            <w:tcBorders>
              <w:bottom w:val="single" w:sz="8" w:color="auto"/>
            </w:tcBorders>
            <w:shd w:val="clear" w:color="auto" w:fill="DCE2EF"/>
          </w:tcPr>
          <w:p>
            <w:pPr>
              <w:spacing w:after="0"/>
              <w:rPr>
                <w:sz w:val="23"/>
                <w:szCs w:val="23"/>
                <w:color w:val="auto"/>
              </w:rPr>
            </w:pPr>
          </w:p>
        </w:tc>
        <w:tc>
          <w:tcPr>
            <w:tcW w:w="16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DCE2EF"/>
          </w:tcPr>
          <w:p>
            <w:pPr>
              <w:spacing w:after="0"/>
              <w:rPr>
                <w:sz w:val="23"/>
                <w:szCs w:val="23"/>
                <w:color w:val="auto"/>
              </w:rPr>
            </w:pPr>
          </w:p>
        </w:tc>
        <w:tc>
          <w:tcPr>
            <w:tcW w:w="120" w:type="dxa"/>
            <w:vAlign w:val="bottom"/>
            <w:tcBorders>
              <w:bottom w:val="single" w:sz="8" w:color="auto"/>
            </w:tcBorders>
            <w:shd w:val="clear" w:color="auto" w:fill="DCE2EF"/>
          </w:tcPr>
          <w:p>
            <w:pPr>
              <w:spacing w:after="0"/>
              <w:rPr>
                <w:sz w:val="23"/>
                <w:szCs w:val="23"/>
                <w:color w:val="auto"/>
              </w:rPr>
            </w:pPr>
          </w:p>
        </w:tc>
        <w:tc>
          <w:tcPr>
            <w:tcW w:w="17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15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1.5</w:t>
            </w:r>
          </w:p>
        </w:tc>
      </w:tr>
      <w:tr>
        <w:trPr>
          <w:trHeight w:val="240"/>
        </w:trPr>
        <w:tc>
          <w:tcPr>
            <w:tcW w:w="40" w:type="dxa"/>
            <w:vAlign w:val="bottom"/>
          </w:tcPr>
          <w:p>
            <w:pPr>
              <w:spacing w:after="0"/>
              <w:rPr>
                <w:sz w:val="20"/>
                <w:szCs w:val="20"/>
                <w:color w:val="auto"/>
              </w:rPr>
            </w:pPr>
          </w:p>
        </w:tc>
        <w:tc>
          <w:tcPr>
            <w:tcW w:w="37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We include these costs within corporate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6"/>
                <w:szCs w:val="16"/>
                <w:b w:val="1"/>
                <w:bCs w:val="1"/>
                <w:color w:val="auto"/>
              </w:rPr>
              <w:t>External Support</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Employee</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 Project</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26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Fees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Severance</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Fees</w:t>
            </w: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rPr>
              <w:t>Lease Exit Costs</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Impairment</w:t>
            </w: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9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GCA and Other</w:t>
            </w:r>
          </w:p>
        </w:tc>
        <w:tc>
          <w:tcPr>
            <w:tcW w:w="32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DCE2EF"/>
          </w:tcPr>
          <w:p>
            <w:pPr>
              <w:spacing w:after="0"/>
              <w:rPr>
                <w:sz w:val="20"/>
                <w:szCs w:val="20"/>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DCE2EF"/>
          </w:tcPr>
          <w:p>
            <w:pPr>
              <w:spacing w:after="0"/>
              <w:rPr>
                <w:sz w:val="20"/>
                <w:szCs w:val="20"/>
                <w:color w:val="auto"/>
              </w:rPr>
            </w:pPr>
          </w:p>
        </w:tc>
        <w:tc>
          <w:tcPr>
            <w:tcW w:w="560" w:type="dxa"/>
            <w:vAlign w:val="bottom"/>
            <w:shd w:val="clear" w:color="auto" w:fill="DCE2E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29.9</w:t>
            </w:r>
          </w:p>
        </w:tc>
      </w:tr>
      <w:tr>
        <w:trPr>
          <w:trHeight w:val="237"/>
        </w:trPr>
        <w:tc>
          <w:tcPr>
            <w:tcW w:w="2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DCE2E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DCE2E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DCE2E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DCE2E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DCE2E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w:t>
            </w: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260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32.0</w:t>
            </w:r>
          </w:p>
        </w:tc>
        <w:tc>
          <w:tcPr>
            <w:tcW w:w="12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29.5</w:t>
            </w:r>
          </w:p>
        </w:tc>
        <w:tc>
          <w:tcPr>
            <w:tcW w:w="10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21.3</w:t>
            </w:r>
          </w:p>
        </w:tc>
        <w:tc>
          <w:tcPr>
            <w:tcW w:w="120" w:type="dxa"/>
            <w:vAlign w:val="bottom"/>
            <w:tcBorders>
              <w:bottom w:val="single" w:sz="8" w:color="DCE2EF"/>
            </w:tcBorders>
            <w:shd w:val="clear" w:color="auto" w:fill="DCE2EF"/>
          </w:tcPr>
          <w:p>
            <w:pPr>
              <w:spacing w:after="0"/>
              <w:rPr>
                <w:sz w:val="20"/>
                <w:szCs w:val="20"/>
                <w:color w:val="auto"/>
              </w:rPr>
            </w:pPr>
          </w:p>
        </w:tc>
        <w:tc>
          <w:tcPr>
            <w:tcW w:w="560" w:type="dxa"/>
            <w:vAlign w:val="bottom"/>
            <w:tcBorders>
              <w:bottom w:val="single" w:sz="8" w:color="auto"/>
            </w:tcBorders>
            <w:shd w:val="clear" w:color="auto" w:fill="DCE2E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b w:val="1"/>
                <w:bCs w:val="1"/>
                <w:color w:val="auto"/>
              </w:rPr>
              <w:t>8.4</w:t>
            </w:r>
          </w:p>
        </w:tc>
        <w:tc>
          <w:tcPr>
            <w:tcW w:w="10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b w:val="1"/>
                <w:bCs w:val="1"/>
                <w:color w:val="auto"/>
              </w:rPr>
              <w:t>96.4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8"/>
          </w:tcPr>
          <w:p>
            <w:pPr>
              <w:ind w:left="120"/>
              <w:spacing w:after="0"/>
              <w:rPr>
                <w:sz w:val="20"/>
                <w:szCs w:val="20"/>
                <w:color w:val="auto"/>
              </w:rPr>
            </w:pPr>
            <w:r>
              <w:rPr>
                <w:rFonts w:ascii="Arial" w:cs="Arial" w:eastAsia="Arial" w:hAnsi="Arial"/>
                <w:sz w:val="17"/>
                <w:szCs w:val="17"/>
                <w:b w:val="1"/>
                <w:bCs w:val="1"/>
                <w:color w:val="auto"/>
              </w:rPr>
              <w:t>Three Months Ended April 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235"/>
              <w:spacing w:after="0"/>
              <w:rPr>
                <w:sz w:val="20"/>
                <w:szCs w:val="20"/>
                <w:color w:val="auto"/>
              </w:rPr>
            </w:pPr>
            <w:r>
              <w:rPr>
                <w:rFonts w:ascii="Arial" w:cs="Arial" w:eastAsia="Arial" w:hAnsi="Arial"/>
                <w:sz w:val="17"/>
                <w:szCs w:val="17"/>
                <w:b w:val="1"/>
                <w:bCs w:val="1"/>
                <w:color w:val="auto"/>
              </w:rPr>
              <w:t>Six Months Ended April 30,</w:t>
            </w:r>
          </w:p>
        </w:tc>
      </w:tr>
      <w:tr>
        <w:trPr>
          <w:trHeight w:val="230"/>
        </w:trPr>
        <w:tc>
          <w:tcPr>
            <w:tcW w:w="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top w:val="single" w:sz="8" w:color="auto"/>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right w:val="single" w:sz="8" w:color="DCE2EF"/>
            </w:tcBorders>
            <w:shd w:val="clear" w:color="auto" w:fill="DCE2EF"/>
          </w:tcPr>
          <w:p>
            <w:pPr>
              <w:spacing w:after="0"/>
              <w:rPr>
                <w:sz w:val="21"/>
                <w:szCs w:val="21"/>
                <w:color w:val="auto"/>
              </w:rPr>
            </w:pPr>
          </w:p>
        </w:tc>
        <w:tc>
          <w:tcPr>
            <w:tcW w:w="5320" w:type="dxa"/>
            <w:vAlign w:val="bottom"/>
            <w:gridSpan w:val="3"/>
            <w:shd w:val="clear" w:color="auto" w:fill="DCE2EF"/>
          </w:tcPr>
          <w:p>
            <w:pPr>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29.9</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340" w:type="dxa"/>
            <w:vAlign w:val="bottom"/>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25.4</w:t>
            </w: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220" w:type="dxa"/>
            <w:vAlign w:val="bottom"/>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42.9</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320" w:type="dxa"/>
            <w:vAlign w:val="bottom"/>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53.3</w:t>
            </w:r>
          </w:p>
        </w:tc>
      </w:tr>
      <w:tr>
        <w:trPr>
          <w:trHeight w:val="264"/>
        </w:trPr>
        <w:tc>
          <w:tcPr>
            <w:tcW w:w="40" w:type="dxa"/>
            <w:vAlign w:val="bottom"/>
            <w:tcBorders>
              <w:bottom w:val="single" w:sz="8" w:color="DCE2EF"/>
            </w:tcBorders>
          </w:tcPr>
          <w:p>
            <w:pPr>
              <w:spacing w:after="0"/>
              <w:rPr>
                <w:sz w:val="22"/>
                <w:szCs w:val="22"/>
                <w:color w:val="auto"/>
              </w:rPr>
            </w:pPr>
          </w:p>
        </w:tc>
        <w:tc>
          <w:tcPr>
            <w:tcW w:w="5320" w:type="dxa"/>
            <w:vAlign w:val="bottom"/>
            <w:tcBorders>
              <w:bottom w:val="single" w:sz="8" w:color="DCE2EF"/>
            </w:tcBorders>
            <w:gridSpan w:val="3"/>
          </w:tcPr>
          <w:p>
            <w:pPr>
              <w:spacing w:after="0"/>
              <w:rPr>
                <w:sz w:val="20"/>
                <w:szCs w:val="20"/>
                <w:color w:val="auto"/>
              </w:rPr>
            </w:pPr>
            <w:r>
              <w:rPr>
                <w:rFonts w:ascii="Arial" w:cs="Arial" w:eastAsia="Arial" w:hAnsi="Arial"/>
                <w:sz w:val="17"/>
                <w:szCs w:val="17"/>
                <w:color w:val="auto"/>
              </w:rPr>
              <w:t>(Loss) income from discontinued operations, net of taxes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w:t>
            </w:r>
          </w:p>
        </w:tc>
        <w:tc>
          <w:tcPr>
            <w:tcW w:w="60" w:type="dxa"/>
            <w:vAlign w:val="bottom"/>
            <w:tcBorders>
              <w:bottom w:val="single" w:sz="8" w:color="DCE2EF"/>
            </w:tcBorders>
          </w:tcPr>
          <w:p>
            <w:pPr>
              <w:spacing w:after="0"/>
              <w:rPr>
                <w:sz w:val="22"/>
                <w:szCs w:val="22"/>
                <w:color w:val="auto"/>
              </w:rPr>
            </w:pPr>
          </w:p>
        </w:tc>
        <w:tc>
          <w:tcPr>
            <w:tcW w:w="60" w:type="dxa"/>
            <w:vAlign w:val="bottom"/>
            <w:tcBorders>
              <w:bottom w:val="single" w:sz="8" w:color="DCE2E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w:t>
            </w:r>
          </w:p>
        </w:tc>
      </w:tr>
      <w:tr>
        <w:trPr>
          <w:trHeight w:val="241"/>
        </w:trPr>
        <w:tc>
          <w:tcPr>
            <w:tcW w:w="40" w:type="dxa"/>
            <w:vAlign w:val="bottom"/>
            <w:tcBorders>
              <w:bottom w:val="single" w:sz="8" w:color="DCE2EF"/>
              <w:right w:val="single" w:sz="8" w:color="DCE2EF"/>
            </w:tcBorders>
            <w:shd w:val="clear" w:color="auto" w:fill="DCE2EF"/>
          </w:tcPr>
          <w:p>
            <w:pPr>
              <w:spacing w:after="0"/>
              <w:rPr>
                <w:sz w:val="20"/>
                <w:szCs w:val="20"/>
                <w:color w:val="auto"/>
              </w:rPr>
            </w:pPr>
          </w:p>
        </w:tc>
        <w:tc>
          <w:tcPr>
            <w:tcW w:w="532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7"/>
                <w:szCs w:val="17"/>
                <w:b w:val="1"/>
                <w:bCs w:val="1"/>
                <w:color w:val="auto"/>
              </w:rPr>
              <w:t>Net income</w:t>
            </w:r>
          </w:p>
        </w:tc>
        <w:tc>
          <w:tcPr>
            <w:tcW w:w="240" w:type="dxa"/>
            <w:vAlign w:val="bottom"/>
            <w:tcBorders>
              <w:bottom w:val="single" w:sz="8" w:color="auto"/>
            </w:tcBorders>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29.7</w:t>
            </w: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26.6</w:t>
            </w:r>
          </w:p>
        </w:tc>
        <w:tc>
          <w:tcPr>
            <w:tcW w:w="6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auto"/>
            </w:tcBorders>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42.7</w:t>
            </w:r>
          </w:p>
        </w:tc>
        <w:tc>
          <w:tcPr>
            <w:tcW w:w="20" w:type="dxa"/>
            <w:vAlign w:val="bottom"/>
            <w:tcBorders>
              <w:bottom w:val="single" w:sz="8" w:color="DCE2EF"/>
            </w:tcBorders>
            <w:shd w:val="clear" w:color="auto" w:fill="DCE2EF"/>
          </w:tcPr>
          <w:p>
            <w:pPr>
              <w:spacing w:after="0"/>
              <w:rPr>
                <w:sz w:val="20"/>
                <w:szCs w:val="20"/>
                <w:color w:val="auto"/>
              </w:rPr>
            </w:pPr>
          </w:p>
        </w:tc>
        <w:tc>
          <w:tcPr>
            <w:tcW w:w="8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54.4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0"/>
        </w:trPr>
        <w:tc>
          <w:tcPr>
            <w:tcW w:w="40" w:type="dxa"/>
            <w:vAlign w:val="bottom"/>
            <w:tcBorders>
              <w:right w:val="single" w:sz="8" w:color="DCE2EF"/>
            </w:tcBorders>
            <w:shd w:val="clear" w:color="auto" w:fill="DCE2EF"/>
          </w:tcPr>
          <w:p>
            <w:pPr>
              <w:spacing w:after="0"/>
              <w:rPr>
                <w:sz w:val="16"/>
                <w:szCs w:val="16"/>
                <w:color w:val="auto"/>
              </w:rPr>
            </w:pPr>
          </w:p>
        </w:tc>
        <w:tc>
          <w:tcPr>
            <w:tcW w:w="5320" w:type="dxa"/>
            <w:vAlign w:val="bottom"/>
            <w:gridSpan w:val="3"/>
            <w:shd w:val="clear" w:color="auto" w:fill="DCE2EF"/>
          </w:tcPr>
          <w:p>
            <w:pPr>
              <w:spacing w:after="0" w:line="190"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060" w:type="dxa"/>
            <w:vAlign w:val="bottom"/>
            <w:shd w:val="clear" w:color="auto" w:fill="DCE2EF"/>
          </w:tcPr>
          <w:p>
            <w:pPr>
              <w:spacing w:after="0"/>
              <w:rPr>
                <w:sz w:val="16"/>
                <w:szCs w:val="16"/>
                <w:color w:val="auto"/>
              </w:rPr>
            </w:pPr>
          </w:p>
        </w:tc>
      </w:tr>
      <w:tr>
        <w:trPr>
          <w:trHeight w:val="242"/>
        </w:trPr>
        <w:tc>
          <w:tcPr>
            <w:tcW w:w="40" w:type="dxa"/>
            <w:vAlign w:val="bottom"/>
            <w:tcBorders>
              <w:right w:val="single" w:sz="8" w:color="DCE2EF"/>
            </w:tcBorders>
            <w:shd w:val="clear" w:color="auto" w:fill="DCE2EF"/>
          </w:tcPr>
          <w:p>
            <w:pPr>
              <w:spacing w:after="0"/>
              <w:rPr>
                <w:sz w:val="21"/>
                <w:szCs w:val="21"/>
                <w:color w:val="auto"/>
              </w:rPr>
            </w:pPr>
          </w:p>
        </w:tc>
        <w:tc>
          <w:tcPr>
            <w:tcW w:w="5320" w:type="dxa"/>
            <w:vAlign w:val="bottom"/>
            <w:gridSpan w:val="3"/>
            <w:shd w:val="clear" w:color="auto" w:fill="DCE2EF"/>
          </w:tcPr>
          <w:p>
            <w:pPr>
              <w:ind w:left="160"/>
              <w:spacing w:after="0"/>
              <w:rPr>
                <w:sz w:val="20"/>
                <w:szCs w:val="20"/>
                <w:color w:val="auto"/>
              </w:rPr>
            </w:pPr>
            <w:r>
              <w:rPr>
                <w:rFonts w:ascii="Arial" w:cs="Arial" w:eastAsia="Arial" w:hAnsi="Arial"/>
                <w:sz w:val="17"/>
                <w:szCs w:val="17"/>
                <w:b w:val="1"/>
                <w:bCs w:val="1"/>
                <w:color w:val="auto"/>
              </w:rPr>
              <w:t>outstanding — Basic</w:t>
            </w:r>
          </w:p>
        </w:tc>
        <w:tc>
          <w:tcPr>
            <w:tcW w:w="2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12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66.5</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66.0</w:t>
            </w: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66.4</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66.0</w:t>
            </w:r>
          </w:p>
        </w:tc>
      </w:tr>
      <w:tr>
        <w:trPr>
          <w:trHeight w:val="261"/>
        </w:trPr>
        <w:tc>
          <w:tcPr>
            <w:tcW w:w="40" w:type="dxa"/>
            <w:vAlign w:val="bottom"/>
          </w:tcPr>
          <w:p>
            <w:pPr>
              <w:spacing w:after="0"/>
              <w:rPr>
                <w:sz w:val="22"/>
                <w:szCs w:val="22"/>
                <w:color w:val="auto"/>
              </w:rPr>
            </w:pPr>
          </w:p>
        </w:tc>
        <w:tc>
          <w:tcPr>
            <w:tcW w:w="532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9"/>
        </w:trPr>
        <w:tc>
          <w:tcPr>
            <w:tcW w:w="40" w:type="dxa"/>
            <w:vAlign w:val="bottom"/>
            <w:tcBorders>
              <w:right w:val="single" w:sz="8" w:color="DCE2EF"/>
            </w:tcBorders>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Restricted stock units</w:t>
            </w:r>
          </w:p>
        </w:tc>
        <w:tc>
          <w:tcPr>
            <w:tcW w:w="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0.2</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0.2</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r>
      <w:tr>
        <w:trPr>
          <w:trHeight w:val="264"/>
        </w:trPr>
        <w:tc>
          <w:tcPr>
            <w:tcW w:w="40" w:type="dxa"/>
            <w:vAlign w:val="bottom"/>
            <w:tcBorders>
              <w:bottom w:val="single" w:sz="8" w:color="DCE2EF"/>
            </w:tcBorders>
          </w:tcPr>
          <w:p>
            <w:pPr>
              <w:spacing w:after="0"/>
              <w:rPr>
                <w:sz w:val="22"/>
                <w:szCs w:val="22"/>
                <w:color w:val="auto"/>
              </w:rPr>
            </w:pPr>
          </w:p>
        </w:tc>
        <w:tc>
          <w:tcPr>
            <w:tcW w:w="5320" w:type="dxa"/>
            <w:vAlign w:val="bottom"/>
            <w:tcBorders>
              <w:bottom w:val="single" w:sz="8" w:color="DCE2EF"/>
            </w:tcBorders>
            <w:gridSpan w:val="3"/>
          </w:tcPr>
          <w:p>
            <w:pPr>
              <w:ind w:left="340"/>
              <w:spacing w:after="0"/>
              <w:rPr>
                <w:sz w:val="20"/>
                <w:szCs w:val="20"/>
                <w:color w:val="auto"/>
              </w:rPr>
            </w:pPr>
            <w:r>
              <w:rPr>
                <w:rFonts w:ascii="Arial" w:cs="Arial" w:eastAsia="Arial" w:hAnsi="Arial"/>
                <w:sz w:val="17"/>
                <w:szCs w:val="17"/>
                <w:color w:val="auto"/>
              </w:rPr>
              <w:t>Stock options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w:t>
            </w: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60" w:type="dxa"/>
            <w:vAlign w:val="bottom"/>
            <w:tcBorders>
              <w:bottom w:val="single" w:sz="8" w:color="DCE2EF"/>
            </w:tcBorders>
          </w:tcPr>
          <w:p>
            <w:pPr>
              <w:spacing w:after="0"/>
              <w:rPr>
                <w:sz w:val="22"/>
                <w:szCs w:val="22"/>
                <w:color w:val="auto"/>
              </w:rPr>
            </w:pPr>
          </w:p>
        </w:tc>
        <w:tc>
          <w:tcPr>
            <w:tcW w:w="60" w:type="dxa"/>
            <w:vAlign w:val="bottom"/>
            <w:tcBorders>
              <w:bottom w:val="single" w:sz="8" w:color="DCE2E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w:t>
            </w:r>
          </w:p>
        </w:tc>
        <w:tc>
          <w:tcPr>
            <w:tcW w:w="20" w:type="dxa"/>
            <w:vAlign w:val="bottom"/>
            <w:tcBorders>
              <w:bottom w:val="single" w:sz="8" w:color="DCE2EF"/>
            </w:tcBorders>
          </w:tcPr>
          <w:p>
            <w:pPr>
              <w:spacing w:after="0"/>
              <w:rPr>
                <w:sz w:val="22"/>
                <w:szCs w:val="22"/>
                <w:color w:val="auto"/>
              </w:rPr>
            </w:pPr>
          </w:p>
        </w:tc>
        <w:tc>
          <w:tcPr>
            <w:tcW w:w="80" w:type="dxa"/>
            <w:vAlign w:val="bottom"/>
            <w:tcBorders>
              <w:bottom w:val="single" w:sz="8" w:color="DCE2E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r>
      <w:tr>
        <w:trPr>
          <w:trHeight w:val="176"/>
        </w:trPr>
        <w:tc>
          <w:tcPr>
            <w:tcW w:w="40" w:type="dxa"/>
            <w:vAlign w:val="bottom"/>
            <w:tcBorders>
              <w:right w:val="single" w:sz="8" w:color="DCE2EF"/>
            </w:tcBorders>
            <w:shd w:val="clear" w:color="auto" w:fill="DCE2EF"/>
          </w:tcPr>
          <w:p>
            <w:pPr>
              <w:spacing w:after="0"/>
              <w:rPr>
                <w:sz w:val="15"/>
                <w:szCs w:val="15"/>
                <w:color w:val="auto"/>
              </w:rPr>
            </w:pPr>
          </w:p>
        </w:tc>
        <w:tc>
          <w:tcPr>
            <w:tcW w:w="5320" w:type="dxa"/>
            <w:vAlign w:val="bottom"/>
            <w:gridSpan w:val="3"/>
            <w:shd w:val="clear" w:color="auto" w:fill="DCE2EF"/>
          </w:tcPr>
          <w:p>
            <w:pPr>
              <w:spacing w:after="0" w:line="176"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0" w:type="dxa"/>
            <w:vAlign w:val="bottom"/>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12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4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14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60" w:type="dxa"/>
            <w:vAlign w:val="bottom"/>
            <w:shd w:val="clear" w:color="auto" w:fill="DCE2EF"/>
          </w:tcPr>
          <w:p>
            <w:pPr>
              <w:spacing w:after="0"/>
              <w:rPr>
                <w:sz w:val="15"/>
                <w:szCs w:val="15"/>
                <w:color w:val="auto"/>
              </w:rPr>
            </w:pPr>
          </w:p>
        </w:tc>
        <w:tc>
          <w:tcPr>
            <w:tcW w:w="16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80" w:type="dxa"/>
            <w:vAlign w:val="bottom"/>
            <w:shd w:val="clear" w:color="auto" w:fill="DCE2EF"/>
          </w:tcPr>
          <w:p>
            <w:pPr>
              <w:spacing w:after="0"/>
              <w:rPr>
                <w:sz w:val="15"/>
                <w:szCs w:val="15"/>
                <w:color w:val="auto"/>
              </w:rPr>
            </w:pPr>
          </w:p>
        </w:tc>
        <w:tc>
          <w:tcPr>
            <w:tcW w:w="20" w:type="dxa"/>
            <w:vAlign w:val="bottom"/>
            <w:shd w:val="clear" w:color="auto" w:fill="DCE2EF"/>
          </w:tcPr>
          <w:p>
            <w:pPr>
              <w:spacing w:after="0"/>
              <w:rPr>
                <w:sz w:val="15"/>
                <w:szCs w:val="15"/>
                <w:color w:val="auto"/>
              </w:rPr>
            </w:pPr>
          </w:p>
        </w:tc>
        <w:tc>
          <w:tcPr>
            <w:tcW w:w="300" w:type="dxa"/>
            <w:vAlign w:val="bottom"/>
            <w:shd w:val="clear" w:color="auto" w:fill="DCE2EF"/>
          </w:tcPr>
          <w:p>
            <w:pPr>
              <w:spacing w:after="0"/>
              <w:rPr>
                <w:sz w:val="15"/>
                <w:szCs w:val="15"/>
                <w:color w:val="auto"/>
              </w:rPr>
            </w:pPr>
          </w:p>
        </w:tc>
        <w:tc>
          <w:tcPr>
            <w:tcW w:w="1060" w:type="dxa"/>
            <w:vAlign w:val="bottom"/>
            <w:shd w:val="clear" w:color="auto" w:fill="DCE2EF"/>
          </w:tcPr>
          <w:p>
            <w:pPr>
              <w:spacing w:after="0"/>
              <w:rPr>
                <w:sz w:val="15"/>
                <w:szCs w:val="15"/>
                <w:color w:val="auto"/>
              </w:rPr>
            </w:pPr>
          </w:p>
        </w:tc>
      </w:tr>
      <w:tr>
        <w:trPr>
          <w:trHeight w:val="227"/>
        </w:trPr>
        <w:tc>
          <w:tcPr>
            <w:tcW w:w="40" w:type="dxa"/>
            <w:vAlign w:val="bottom"/>
            <w:tcBorders>
              <w:bottom w:val="single" w:sz="8" w:color="DCE2EF"/>
              <w:right w:val="single" w:sz="8" w:color="DCE2EF"/>
            </w:tcBorders>
            <w:shd w:val="clear" w:color="auto" w:fill="DCE2EF"/>
          </w:tcPr>
          <w:p>
            <w:pPr>
              <w:spacing w:after="0"/>
              <w:rPr>
                <w:sz w:val="19"/>
                <w:szCs w:val="19"/>
                <w:color w:val="auto"/>
              </w:rPr>
            </w:pPr>
          </w:p>
        </w:tc>
        <w:tc>
          <w:tcPr>
            <w:tcW w:w="5320" w:type="dxa"/>
            <w:vAlign w:val="bottom"/>
            <w:tcBorders>
              <w:bottom w:val="single" w:sz="8" w:color="DCE2EF"/>
            </w:tcBorders>
            <w:gridSpan w:val="3"/>
            <w:shd w:val="clear" w:color="auto" w:fill="DCE2EF"/>
          </w:tcPr>
          <w:p>
            <w:pPr>
              <w:ind w:left="160"/>
              <w:spacing w:after="0"/>
              <w:rPr>
                <w:sz w:val="20"/>
                <w:szCs w:val="20"/>
                <w:color w:val="auto"/>
              </w:rPr>
            </w:pPr>
            <w:r>
              <w:rPr>
                <w:rFonts w:ascii="Arial" w:cs="Arial" w:eastAsia="Arial" w:hAnsi="Arial"/>
                <w:sz w:val="17"/>
                <w:szCs w:val="17"/>
                <w:b w:val="1"/>
                <w:bCs w:val="1"/>
                <w:color w:val="auto"/>
              </w:rPr>
              <w:t>outstanding — Diluted</w:t>
            </w:r>
          </w:p>
        </w:tc>
        <w:tc>
          <w:tcPr>
            <w:tcW w:w="20" w:type="dxa"/>
            <w:vAlign w:val="bottom"/>
            <w:tcBorders>
              <w:bottom w:val="single" w:sz="8" w:color="auto"/>
            </w:tcBorders>
            <w:shd w:val="clear" w:color="auto" w:fill="DCE2EF"/>
          </w:tcPr>
          <w:p>
            <w:pPr>
              <w:spacing w:after="0"/>
              <w:rPr>
                <w:sz w:val="19"/>
                <w:szCs w:val="19"/>
                <w:color w:val="auto"/>
              </w:rPr>
            </w:pPr>
          </w:p>
        </w:tc>
        <w:tc>
          <w:tcPr>
            <w:tcW w:w="220" w:type="dxa"/>
            <w:vAlign w:val="bottom"/>
            <w:tcBorders>
              <w:bottom w:val="single" w:sz="8" w:color="auto"/>
            </w:tcBorders>
            <w:shd w:val="clear" w:color="auto" w:fill="DCE2EF"/>
          </w:tcPr>
          <w:p>
            <w:pPr>
              <w:spacing w:after="0"/>
              <w:rPr>
                <w:sz w:val="19"/>
                <w:szCs w:val="19"/>
                <w:color w:val="auto"/>
              </w:rPr>
            </w:pPr>
          </w:p>
        </w:tc>
        <w:tc>
          <w:tcPr>
            <w:tcW w:w="126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66.8</w:t>
            </w:r>
          </w:p>
        </w:tc>
        <w:tc>
          <w:tcPr>
            <w:tcW w:w="20" w:type="dxa"/>
            <w:vAlign w:val="bottom"/>
            <w:tcBorders>
              <w:bottom w:val="single" w:sz="8" w:color="DCE2EF"/>
            </w:tcBorders>
            <w:shd w:val="clear" w:color="auto" w:fill="DCE2EF"/>
          </w:tcPr>
          <w:p>
            <w:pPr>
              <w:spacing w:after="0"/>
              <w:rPr>
                <w:sz w:val="19"/>
                <w:szCs w:val="19"/>
                <w:color w:val="auto"/>
              </w:rPr>
            </w:pPr>
          </w:p>
        </w:tc>
        <w:tc>
          <w:tcPr>
            <w:tcW w:w="80" w:type="dxa"/>
            <w:vAlign w:val="bottom"/>
            <w:tcBorders>
              <w:bottom w:val="single" w:sz="8" w:color="DCE2EF"/>
            </w:tcBorders>
            <w:shd w:val="clear" w:color="auto" w:fill="DCE2EF"/>
          </w:tcPr>
          <w:p>
            <w:pPr>
              <w:spacing w:after="0"/>
              <w:rPr>
                <w:sz w:val="19"/>
                <w:szCs w:val="19"/>
                <w:color w:val="auto"/>
              </w:rPr>
            </w:pPr>
          </w:p>
        </w:tc>
        <w:tc>
          <w:tcPr>
            <w:tcW w:w="40" w:type="dxa"/>
            <w:vAlign w:val="bottom"/>
            <w:tcBorders>
              <w:bottom w:val="single" w:sz="8" w:color="auto"/>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spacing w:after="0"/>
              <w:rPr>
                <w:sz w:val="19"/>
                <w:szCs w:val="19"/>
                <w:color w:val="auto"/>
              </w:rPr>
            </w:pPr>
          </w:p>
        </w:tc>
        <w:tc>
          <w:tcPr>
            <w:tcW w:w="11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66.2</w:t>
            </w:r>
          </w:p>
        </w:tc>
        <w:tc>
          <w:tcPr>
            <w:tcW w:w="60" w:type="dxa"/>
            <w:vAlign w:val="bottom"/>
            <w:tcBorders>
              <w:bottom w:val="single" w:sz="8" w:color="DCE2EF"/>
            </w:tcBorders>
            <w:shd w:val="clear" w:color="auto" w:fill="DCE2EF"/>
          </w:tcPr>
          <w:p>
            <w:pPr>
              <w:spacing w:after="0"/>
              <w:rPr>
                <w:sz w:val="19"/>
                <w:szCs w:val="19"/>
                <w:color w:val="auto"/>
              </w:rPr>
            </w:pPr>
          </w:p>
        </w:tc>
        <w:tc>
          <w:tcPr>
            <w:tcW w:w="60" w:type="dxa"/>
            <w:vAlign w:val="bottom"/>
            <w:tcBorders>
              <w:bottom w:val="single" w:sz="8" w:color="DCE2EF"/>
            </w:tcBorders>
            <w:shd w:val="clear" w:color="auto" w:fill="DCE2EF"/>
          </w:tcPr>
          <w:p>
            <w:pPr>
              <w:spacing w:after="0"/>
              <w:rPr>
                <w:sz w:val="19"/>
                <w:szCs w:val="19"/>
                <w:color w:val="auto"/>
              </w:rPr>
            </w:pPr>
          </w:p>
        </w:tc>
        <w:tc>
          <w:tcPr>
            <w:tcW w:w="60" w:type="dxa"/>
            <w:vAlign w:val="bottom"/>
            <w:tcBorders>
              <w:bottom w:val="single" w:sz="8" w:color="auto"/>
            </w:tcBorders>
            <w:shd w:val="clear" w:color="auto" w:fill="DCE2EF"/>
          </w:tcPr>
          <w:p>
            <w:pPr>
              <w:spacing w:after="0"/>
              <w:rPr>
                <w:sz w:val="19"/>
                <w:szCs w:val="19"/>
                <w:color w:val="auto"/>
              </w:rPr>
            </w:pPr>
          </w:p>
        </w:tc>
        <w:tc>
          <w:tcPr>
            <w:tcW w:w="160" w:type="dxa"/>
            <w:vAlign w:val="bottom"/>
            <w:tcBorders>
              <w:bottom w:val="single" w:sz="8" w:color="auto"/>
            </w:tcBorders>
            <w:shd w:val="clear" w:color="auto" w:fill="DCE2EF"/>
          </w:tcPr>
          <w:p>
            <w:pPr>
              <w:spacing w:after="0"/>
              <w:rPr>
                <w:sz w:val="19"/>
                <w:szCs w:val="19"/>
                <w:color w:val="auto"/>
              </w:rPr>
            </w:pPr>
          </w:p>
        </w:tc>
        <w:tc>
          <w:tcPr>
            <w:tcW w:w="116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66.7</w:t>
            </w:r>
          </w:p>
        </w:tc>
        <w:tc>
          <w:tcPr>
            <w:tcW w:w="20" w:type="dxa"/>
            <w:vAlign w:val="bottom"/>
            <w:tcBorders>
              <w:bottom w:val="single" w:sz="8" w:color="DCE2EF"/>
            </w:tcBorders>
            <w:shd w:val="clear" w:color="auto" w:fill="DCE2EF"/>
          </w:tcPr>
          <w:p>
            <w:pPr>
              <w:spacing w:after="0"/>
              <w:rPr>
                <w:sz w:val="19"/>
                <w:szCs w:val="19"/>
                <w:color w:val="auto"/>
              </w:rPr>
            </w:pPr>
          </w:p>
        </w:tc>
        <w:tc>
          <w:tcPr>
            <w:tcW w:w="80" w:type="dxa"/>
            <w:vAlign w:val="bottom"/>
            <w:tcBorders>
              <w:bottom w:val="single" w:sz="8" w:color="DCE2EF"/>
            </w:tcBorders>
            <w:shd w:val="clear" w:color="auto" w:fill="DCE2EF"/>
          </w:tcPr>
          <w:p>
            <w:pPr>
              <w:spacing w:after="0"/>
              <w:rPr>
                <w:sz w:val="19"/>
                <w:szCs w:val="19"/>
                <w:color w:val="auto"/>
              </w:rPr>
            </w:pPr>
          </w:p>
        </w:tc>
        <w:tc>
          <w:tcPr>
            <w:tcW w:w="20" w:type="dxa"/>
            <w:vAlign w:val="bottom"/>
            <w:tcBorders>
              <w:bottom w:val="single" w:sz="8" w:color="auto"/>
            </w:tcBorders>
            <w:shd w:val="clear" w:color="auto" w:fill="DCE2EF"/>
          </w:tcPr>
          <w:p>
            <w:pPr>
              <w:spacing w:after="0"/>
              <w:rPr>
                <w:sz w:val="19"/>
                <w:szCs w:val="19"/>
                <w:color w:val="auto"/>
              </w:rPr>
            </w:pPr>
          </w:p>
        </w:tc>
        <w:tc>
          <w:tcPr>
            <w:tcW w:w="300" w:type="dxa"/>
            <w:vAlign w:val="bottom"/>
            <w:tcBorders>
              <w:bottom w:val="single" w:sz="8" w:color="auto"/>
            </w:tcBorders>
            <w:shd w:val="clear" w:color="auto" w:fill="DCE2EF"/>
          </w:tcPr>
          <w:p>
            <w:pPr>
              <w:spacing w:after="0"/>
              <w:rPr>
                <w:sz w:val="19"/>
                <w:szCs w:val="19"/>
                <w:color w:val="auto"/>
              </w:rPr>
            </w:pPr>
          </w:p>
        </w:tc>
        <w:tc>
          <w:tcPr>
            <w:tcW w:w="106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66.3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0" w:type="dxa"/>
            <w:vAlign w:val="bottom"/>
            <w:tcBorders>
              <w:right w:val="single" w:sz="8" w:color="DCE2EF"/>
            </w:tcBorders>
            <w:shd w:val="clear" w:color="auto" w:fill="DCE2EF"/>
          </w:tcPr>
          <w:p>
            <w:pPr>
              <w:spacing w:after="0"/>
              <w:rPr>
                <w:sz w:val="23"/>
                <w:szCs w:val="23"/>
                <w:color w:val="auto"/>
              </w:rPr>
            </w:pPr>
          </w:p>
        </w:tc>
        <w:tc>
          <w:tcPr>
            <w:tcW w:w="5320" w:type="dxa"/>
            <w:vAlign w:val="bottom"/>
            <w:gridSpan w:val="3"/>
            <w:shd w:val="clear" w:color="auto" w:fill="DCE2EF"/>
          </w:tcPr>
          <w:p>
            <w:pPr>
              <w:spacing w:after="0"/>
              <w:rPr>
                <w:sz w:val="20"/>
                <w:szCs w:val="20"/>
                <w:color w:val="auto"/>
              </w:rPr>
            </w:pPr>
            <w:r>
              <w:rPr>
                <w:rFonts w:ascii="Arial" w:cs="Arial" w:eastAsia="Arial" w:hAnsi="Arial"/>
                <w:sz w:val="17"/>
                <w:szCs w:val="17"/>
                <w:b w:val="1"/>
                <w:bCs w:val="1"/>
                <w:color w:val="auto"/>
              </w:rPr>
              <w:t>Net income per common share — Basic</w:t>
            </w:r>
          </w:p>
        </w:tc>
        <w:tc>
          <w:tcPr>
            <w:tcW w:w="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26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060" w:type="dxa"/>
            <w:vAlign w:val="bottom"/>
            <w:shd w:val="clear" w:color="auto" w:fill="DCE2EF"/>
          </w:tcPr>
          <w:p>
            <w:pPr>
              <w:spacing w:after="0"/>
              <w:rPr>
                <w:sz w:val="23"/>
                <w:szCs w:val="23"/>
                <w:color w:val="auto"/>
              </w:rPr>
            </w:pPr>
          </w:p>
        </w:tc>
      </w:tr>
      <w:tr>
        <w:trPr>
          <w:trHeight w:val="261"/>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0.45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0.38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0.81</w:t>
            </w:r>
          </w:p>
        </w:tc>
      </w:tr>
      <w:tr>
        <w:trPr>
          <w:trHeight w:val="272"/>
        </w:trPr>
        <w:tc>
          <w:tcPr>
            <w:tcW w:w="40" w:type="dxa"/>
            <w:vAlign w:val="bottom"/>
            <w:tcBorders>
              <w:right w:val="single" w:sz="8" w:color="DCE2EF"/>
            </w:tcBorders>
            <w:shd w:val="clear" w:color="auto" w:fill="DCE2EF"/>
          </w:tcPr>
          <w:p>
            <w:pPr>
              <w:spacing w:after="0"/>
              <w:rPr>
                <w:sz w:val="23"/>
                <w:szCs w:val="23"/>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Income from discontinued operations</w:t>
            </w:r>
          </w:p>
        </w:tc>
        <w:tc>
          <w:tcPr>
            <w:tcW w:w="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360" w:type="dxa"/>
            <w:vAlign w:val="bottom"/>
            <w:gridSpan w:val="3"/>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0.02</w:t>
            </w: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260" w:type="dxa"/>
            <w:vAlign w:val="bottom"/>
            <w:gridSpan w:val="3"/>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0.02</w:t>
            </w:r>
          </w:p>
        </w:tc>
      </w:tr>
      <w:tr>
        <w:trPr>
          <w:trHeight w:val="281"/>
        </w:trPr>
        <w:tc>
          <w:tcPr>
            <w:tcW w:w="40" w:type="dxa"/>
            <w:vAlign w:val="bottom"/>
            <w:tcBorders>
              <w:bottom w:val="single" w:sz="8" w:color="DCE2EF"/>
            </w:tcBorders>
          </w:tcPr>
          <w:p>
            <w:pPr>
              <w:spacing w:after="0"/>
              <w:rPr>
                <w:sz w:val="24"/>
                <w:szCs w:val="24"/>
                <w:color w:val="auto"/>
              </w:rPr>
            </w:pPr>
          </w:p>
        </w:tc>
        <w:tc>
          <w:tcPr>
            <w:tcW w:w="5320" w:type="dxa"/>
            <w:vAlign w:val="bottom"/>
            <w:tcBorders>
              <w:bottom w:val="single" w:sz="8" w:color="DCE2EF"/>
            </w:tcBorders>
            <w:gridSpan w:val="3"/>
          </w:tcPr>
          <w:p>
            <w:pPr>
              <w:ind w:left="340"/>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0.45</w:t>
            </w:r>
          </w:p>
        </w:tc>
        <w:tc>
          <w:tcPr>
            <w:tcW w:w="20" w:type="dxa"/>
            <w:vAlign w:val="bottom"/>
            <w:tcBorders>
              <w:bottom w:val="single" w:sz="8" w:color="DCE2EF"/>
            </w:tcBorders>
          </w:tcPr>
          <w:p>
            <w:pPr>
              <w:spacing w:after="0"/>
              <w:rPr>
                <w:sz w:val="24"/>
                <w:szCs w:val="24"/>
                <w:color w:val="auto"/>
              </w:rPr>
            </w:pPr>
          </w:p>
        </w:tc>
        <w:tc>
          <w:tcPr>
            <w:tcW w:w="80" w:type="dxa"/>
            <w:vAlign w:val="bottom"/>
            <w:tcBorders>
              <w:bottom w:val="single" w:sz="8" w:color="DCE2EF"/>
            </w:tcBorders>
          </w:tcPr>
          <w:p>
            <w:pPr>
              <w:spacing w:after="0"/>
              <w:rPr>
                <w:sz w:val="24"/>
                <w:szCs w:val="24"/>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0.40</w:t>
            </w:r>
          </w:p>
        </w:tc>
        <w:tc>
          <w:tcPr>
            <w:tcW w:w="60" w:type="dxa"/>
            <w:vAlign w:val="bottom"/>
            <w:tcBorders>
              <w:bottom w:val="single" w:sz="8" w:color="DCE2EF"/>
            </w:tcBorders>
          </w:tcPr>
          <w:p>
            <w:pPr>
              <w:spacing w:after="0"/>
              <w:rPr>
                <w:sz w:val="24"/>
                <w:szCs w:val="24"/>
                <w:color w:val="auto"/>
              </w:rPr>
            </w:pPr>
          </w:p>
        </w:tc>
        <w:tc>
          <w:tcPr>
            <w:tcW w:w="60" w:type="dxa"/>
            <w:vAlign w:val="bottom"/>
            <w:tcBorders>
              <w:bottom w:val="single" w:sz="8" w:color="DCE2E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0.64</w:t>
            </w:r>
          </w:p>
        </w:tc>
        <w:tc>
          <w:tcPr>
            <w:tcW w:w="20" w:type="dxa"/>
            <w:vAlign w:val="bottom"/>
            <w:tcBorders>
              <w:bottom w:val="single" w:sz="8" w:color="DCE2EF"/>
            </w:tcBorders>
          </w:tcPr>
          <w:p>
            <w:pPr>
              <w:spacing w:after="0"/>
              <w:rPr>
                <w:sz w:val="24"/>
                <w:szCs w:val="24"/>
                <w:color w:val="auto"/>
              </w:rPr>
            </w:pPr>
          </w:p>
        </w:tc>
        <w:tc>
          <w:tcPr>
            <w:tcW w:w="80" w:type="dxa"/>
            <w:vAlign w:val="bottom"/>
            <w:tcBorders>
              <w:bottom w:val="single" w:sz="8" w:color="DCE2EF"/>
            </w:tcBorders>
          </w:tcPr>
          <w:p>
            <w:pPr>
              <w:spacing w:after="0"/>
              <w:rPr>
                <w:sz w:val="24"/>
                <w:szCs w:val="24"/>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0.83</w:t>
            </w:r>
          </w:p>
        </w:tc>
      </w:tr>
      <w:tr>
        <w:trPr>
          <w:trHeight w:val="280"/>
        </w:trPr>
        <w:tc>
          <w:tcPr>
            <w:tcW w:w="40" w:type="dxa"/>
            <w:vAlign w:val="bottom"/>
            <w:tcBorders>
              <w:right w:val="single" w:sz="8" w:color="DCE2EF"/>
            </w:tcBorders>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c>
          <w:tcPr>
            <w:tcW w:w="308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26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5320" w:type="dxa"/>
            <w:vAlign w:val="bottom"/>
            <w:gridSpan w:val="3"/>
          </w:tcPr>
          <w:p>
            <w:pPr>
              <w:spacing w:after="0"/>
              <w:rPr>
                <w:sz w:val="20"/>
                <w:szCs w:val="20"/>
                <w:color w:val="auto"/>
              </w:rPr>
            </w:pPr>
            <w:r>
              <w:rPr>
                <w:rFonts w:ascii="Arial" w:cs="Arial" w:eastAsia="Arial" w:hAnsi="Arial"/>
                <w:sz w:val="17"/>
                <w:szCs w:val="17"/>
                <w:b w:val="1"/>
                <w:bCs w:val="1"/>
                <w:color w:val="auto"/>
              </w:rPr>
              <w:t>Net income per common share — Diluted</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9"/>
        </w:trPr>
        <w:tc>
          <w:tcPr>
            <w:tcW w:w="40" w:type="dxa"/>
            <w:vAlign w:val="bottom"/>
            <w:tcBorders>
              <w:right w:val="single" w:sz="8" w:color="DCE2EF"/>
            </w:tcBorders>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0.45</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340" w:type="dxa"/>
            <w:vAlign w:val="bottom"/>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0.38</w:t>
            </w: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220" w:type="dxa"/>
            <w:vAlign w:val="bottom"/>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0.64</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320" w:type="dxa"/>
            <w:vAlign w:val="bottom"/>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0.80</w:t>
            </w:r>
          </w:p>
        </w:tc>
      </w:tr>
      <w:tr>
        <w:trPr>
          <w:trHeight w:val="264"/>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Income from discontinued operations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0.02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0.02</w:t>
            </w:r>
          </w:p>
        </w:tc>
      </w:tr>
      <w:tr>
        <w:trPr>
          <w:trHeight w:val="241"/>
        </w:trPr>
        <w:tc>
          <w:tcPr>
            <w:tcW w:w="40" w:type="dxa"/>
            <w:vAlign w:val="bottom"/>
            <w:tcBorders>
              <w:top w:val="single" w:sz="8" w:color="DCE2EF"/>
              <w:bottom w:val="single" w:sz="8" w:color="DCE2EF"/>
              <w:right w:val="single" w:sz="8" w:color="DCE2EF"/>
            </w:tcBorders>
            <w:shd w:val="clear" w:color="auto" w:fill="DCE2EF"/>
          </w:tcPr>
          <w:p>
            <w:pPr>
              <w:spacing w:after="0"/>
              <w:rPr>
                <w:sz w:val="20"/>
                <w:szCs w:val="20"/>
                <w:color w:val="auto"/>
              </w:rPr>
            </w:pPr>
          </w:p>
        </w:tc>
        <w:tc>
          <w:tcPr>
            <w:tcW w:w="5320" w:type="dxa"/>
            <w:vAlign w:val="bottom"/>
            <w:tcBorders>
              <w:top w:val="single" w:sz="8" w:color="DCE2EF"/>
              <w:bottom w:val="single" w:sz="8" w:color="DCE2EF"/>
            </w:tcBorders>
            <w:gridSpan w:val="3"/>
            <w:shd w:val="clear" w:color="auto" w:fill="DCE2EF"/>
          </w:tcPr>
          <w:p>
            <w:pPr>
              <w:ind w:left="340"/>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auto"/>
              <w:bottom w:val="single" w:sz="8" w:color="auto"/>
            </w:tcBorders>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0.45</w:t>
            </w:r>
          </w:p>
        </w:tc>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8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0.40</w:t>
            </w:r>
          </w:p>
        </w:tc>
        <w:tc>
          <w:tcPr>
            <w:tcW w:w="60" w:type="dxa"/>
            <w:vAlign w:val="bottom"/>
            <w:tcBorders>
              <w:top w:val="single" w:sz="8" w:color="DCE2EF"/>
              <w:bottom w:val="single" w:sz="8" w:color="DCE2EF"/>
            </w:tcBorders>
            <w:shd w:val="clear" w:color="auto" w:fill="DCE2EF"/>
          </w:tcPr>
          <w:p>
            <w:pPr>
              <w:spacing w:after="0"/>
              <w:rPr>
                <w:sz w:val="20"/>
                <w:szCs w:val="20"/>
                <w:color w:val="auto"/>
              </w:rPr>
            </w:pPr>
          </w:p>
        </w:tc>
        <w:tc>
          <w:tcPr>
            <w:tcW w:w="60" w:type="dxa"/>
            <w:vAlign w:val="bottom"/>
            <w:tcBorders>
              <w:top w:val="single" w:sz="8" w:color="DCE2EF"/>
              <w:bottom w:val="single" w:sz="8" w:color="DCE2EF"/>
            </w:tcBorders>
            <w:shd w:val="clear" w:color="auto" w:fill="DCE2E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DCE2E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0.64</w:t>
            </w:r>
          </w:p>
        </w:tc>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80" w:type="dxa"/>
            <w:vAlign w:val="bottom"/>
            <w:tcBorders>
              <w:top w:val="single" w:sz="8" w:color="DCE2EF"/>
              <w:bottom w:val="single" w:sz="8" w:color="DCE2EF"/>
            </w:tcBorders>
            <w:shd w:val="clear" w:color="auto" w:fill="DCE2EF"/>
          </w:tcPr>
          <w:p>
            <w:pPr>
              <w:spacing w:after="0"/>
              <w:rPr>
                <w:sz w:val="20"/>
                <w:szCs w:val="20"/>
                <w:color w:val="auto"/>
              </w:rPr>
            </w:pPr>
          </w:p>
        </w:tc>
        <w:tc>
          <w:tcPr>
            <w:tcW w:w="320" w:type="dxa"/>
            <w:vAlign w:val="bottom"/>
            <w:tcBorders>
              <w:top w:val="single" w:sz="8" w:color="auto"/>
              <w:bottom w:val="single" w:sz="8" w:color="auto"/>
            </w:tcBorders>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0.82</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9"/>
        </w:trPr>
        <w:tc>
          <w:tcPr>
            <w:tcW w:w="8560" w:type="dxa"/>
            <w:vAlign w:val="bottom"/>
            <w:gridSpan w:val="14"/>
          </w:tcPr>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8"/>
          </w:tcPr>
          <w:p>
            <w:pPr>
              <w:ind w:left="140"/>
              <w:spacing w:after="0"/>
              <w:rPr>
                <w:sz w:val="20"/>
                <w:szCs w:val="20"/>
                <w:color w:val="auto"/>
              </w:rPr>
            </w:pPr>
            <w:r>
              <w:rPr>
                <w:rFonts w:ascii="Arial" w:cs="Arial" w:eastAsia="Arial" w:hAnsi="Arial"/>
                <w:sz w:val="17"/>
                <w:szCs w:val="17"/>
                <w:b w:val="1"/>
                <w:bCs w:val="1"/>
                <w:color w:val="auto"/>
              </w:rPr>
              <w:t>Three Months Ended April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215"/>
              <w:spacing w:after="0"/>
              <w:rPr>
                <w:sz w:val="20"/>
                <w:szCs w:val="20"/>
                <w:color w:val="auto"/>
              </w:rPr>
            </w:pPr>
            <w:r>
              <w:rPr>
                <w:rFonts w:ascii="Arial" w:cs="Arial" w:eastAsia="Arial" w:hAnsi="Arial"/>
                <w:sz w:val="17"/>
                <w:szCs w:val="17"/>
                <w:b w:val="1"/>
                <w:bCs w:val="1"/>
                <w:color w:val="auto"/>
              </w:rPr>
              <w:t>Six Months Ended April 30,</w:t>
            </w:r>
          </w:p>
        </w:tc>
      </w:tr>
      <w:tr>
        <w:trPr>
          <w:trHeight w:val="230"/>
        </w:trPr>
        <w:tc>
          <w:tcPr>
            <w:tcW w:w="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tcBorders>
              <w:right w:val="single" w:sz="8" w:color="DCE2EF"/>
            </w:tcBorders>
          </w:tcPr>
          <w:p>
            <w:pPr>
              <w:spacing w:after="0"/>
              <w:rPr>
                <w:sz w:val="21"/>
                <w:szCs w:val="21"/>
                <w:color w:val="auto"/>
              </w:rPr>
            </w:pPr>
          </w:p>
        </w:tc>
        <w:tc>
          <w:tcPr>
            <w:tcW w:w="5320" w:type="dxa"/>
            <w:vAlign w:val="bottom"/>
            <w:gridSpan w:val="3"/>
            <w:shd w:val="clear" w:color="auto" w:fill="DCE2EF"/>
          </w:tcPr>
          <w:p>
            <w:pPr>
              <w:spacing w:after="0"/>
              <w:rPr>
                <w:sz w:val="20"/>
                <w:szCs w:val="20"/>
                <w:color w:val="auto"/>
              </w:rPr>
            </w:pPr>
            <w:r>
              <w:rPr>
                <w:rFonts w:ascii="Arial" w:cs="Arial" w:eastAsia="Arial" w:hAnsi="Arial"/>
                <w:sz w:val="17"/>
                <w:szCs w:val="17"/>
                <w:b w:val="1"/>
                <w:bCs w:val="1"/>
                <w:color w:val="auto"/>
              </w:rPr>
              <w:t>Anti-dilutive</w:t>
            </w:r>
          </w:p>
        </w:tc>
        <w:tc>
          <w:tcPr>
            <w:tcW w:w="2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12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0.3</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0.5</w:t>
            </w: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11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0.3</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0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0.3</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30, 2019</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562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1"/>
                <w:szCs w:val="21"/>
                <w:color w:val="auto"/>
              </w:rPr>
            </w:pPr>
          </w:p>
        </w:tc>
        <w:tc>
          <w:tcPr>
            <w:tcW w:w="24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39.1</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(3)</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961.0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949.0</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rate swap (liabilities) assets</w:t>
            </w:r>
            <w:r>
              <w:rPr>
                <w:rFonts w:ascii="Arial" w:cs="Arial" w:eastAsia="Arial" w:hAnsi="Arial"/>
                <w:sz w:val="21"/>
                <w:szCs w:val="21"/>
                <w:color w:val="auto"/>
                <w:vertAlign w:val="superscript"/>
              </w:rPr>
              <w:t>(5)</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w:t>
            </w:r>
          </w:p>
        </w:tc>
      </w:tr>
      <w:tr>
        <w:trPr>
          <w:trHeight w:val="327"/>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5.0</w:t>
            </w:r>
          </w:p>
        </w:tc>
      </w:tr>
    </w:tbl>
    <w:p>
      <w:pPr>
        <w:spacing w:after="0" w:line="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02" w:lineRule="exact"/>
        <w:rPr>
          <w:rFonts w:ascii="Arial" w:cs="Arial" w:eastAsia="Arial" w:hAnsi="Arial"/>
          <w:sz w:val="21"/>
          <w:szCs w:val="21"/>
          <w:color w:val="auto"/>
          <w:vertAlign w:val="superscript"/>
        </w:rPr>
      </w:pPr>
    </w:p>
    <w:p>
      <w:pPr>
        <w:jc w:val="both"/>
        <w:ind w:firstLine="8"/>
        <w:spacing w:after="0" w:line="411" w:lineRule="auto"/>
        <w:tabs>
          <w:tab w:leader="none" w:pos="176"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7, “Insurance,” for further information.</w:t>
      </w:r>
    </w:p>
    <w:p>
      <w:pPr>
        <w:spacing w:after="0" w:line="5" w:lineRule="exact"/>
        <w:rPr>
          <w:rFonts w:ascii="Arial" w:cs="Arial" w:eastAsia="Arial" w:hAnsi="Arial"/>
          <w:sz w:val="19"/>
          <w:szCs w:val="19"/>
          <w:color w:val="auto"/>
          <w:vertAlign w:val="superscript"/>
        </w:rPr>
      </w:pPr>
    </w:p>
    <w:p>
      <w:pPr>
        <w:jc w:val="both"/>
        <w:ind w:firstLine="8"/>
        <w:spacing w:after="0" w:line="437"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5" w:lineRule="exact"/>
        <w:rPr>
          <w:rFonts w:ascii="Arial" w:cs="Arial" w:eastAsia="Arial" w:hAnsi="Arial"/>
          <w:sz w:val="18"/>
          <w:szCs w:val="18"/>
          <w:color w:val="auto"/>
          <w:vertAlign w:val="superscript"/>
        </w:rPr>
      </w:pPr>
    </w:p>
    <w:p>
      <w:pPr>
        <w:ind w:firstLine="8"/>
        <w:spacing w:after="0" w:line="263"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8, “Credit Facility,” for further information.</w:t>
      </w:r>
    </w:p>
    <w:p>
      <w:pPr>
        <w:spacing w:after="0" w:line="82" w:lineRule="exact"/>
        <w:rPr>
          <w:rFonts w:ascii="Arial" w:cs="Arial" w:eastAsia="Arial" w:hAnsi="Arial"/>
          <w:sz w:val="18"/>
          <w:szCs w:val="18"/>
          <w:color w:val="auto"/>
          <w:vertAlign w:val="superscript"/>
        </w:rPr>
      </w:pPr>
    </w:p>
    <w:p>
      <w:pPr>
        <w:jc w:val="both"/>
        <w:ind w:firstLine="8"/>
        <w:spacing w:after="0" w:line="358"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At April 30, 2019 and October 31, 2018, our interest rate swaps are included in “Other noncurrent liabilities” and “Other noncurrent assets,” respectively, on the accompanying unaudited consolidated balance sheets. See Note 8, “Credit Facility,” for further information.</w:t>
      </w:r>
    </w:p>
    <w:p>
      <w:pPr>
        <w:spacing w:after="0" w:line="24" w:lineRule="exact"/>
        <w:rPr>
          <w:rFonts w:ascii="Arial" w:cs="Arial" w:eastAsia="Arial" w:hAnsi="Arial"/>
          <w:sz w:val="18"/>
          <w:szCs w:val="18"/>
          <w:color w:val="auto"/>
          <w:vertAlign w:val="superscript"/>
        </w:rPr>
      </w:pPr>
    </w:p>
    <w:p>
      <w:pPr>
        <w:jc w:val="both"/>
        <w:ind w:right="20" w:firstLine="8"/>
        <w:spacing w:after="0" w:line="268" w:lineRule="auto"/>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w:t>
      </w:r>
    </w:p>
    <w:p>
      <w:pPr>
        <w:spacing w:after="0" w:line="8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At April 30, 2019 and October 31, 2018, we held an investment in one auction rate security that had an original principal amount, amortized cost, and fair value of $5.0 million that is included in “Other investments” on the accompanying unaudited consolidated balance sheets. This auction rate security is a debt instrument with a stated maturity in 2050. The interest rate for this security is designed to be reset through Dutch auctions approximately every thirty days; however, auctions for this security have not occurred since August 2007. At April 30, 2019 and October 31, 2018, there were no unrealized gains or losses on our auction rate security included in AOCI.</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April 30, 2019,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6"/>
          <w:szCs w:val="16"/>
          <w:color w:val="auto"/>
        </w:rPr>
        <w:t>I</w:t>
      </w:r>
      <w:r>
        <w:rPr>
          <w:rFonts w:ascii="Arial" w:cs="Arial" w:eastAsia="Arial" w:hAnsi="Arial"/>
          <w:sz w:val="18"/>
          <w:szCs w:val="18"/>
          <w:color w:val="auto"/>
        </w:rPr>
        <w:t>n addition to assets and liabilities that are measured at fair value on a recurring basis, we are also required to measure certain items at</w:t>
      </w:r>
      <w:r>
        <w:rPr>
          <w:rFonts w:ascii="Arial" w:cs="Arial" w:eastAsia="Arial" w:hAnsi="Arial"/>
          <w:sz w:val="16"/>
          <w:szCs w:val="16"/>
          <w:color w:val="auto"/>
        </w:rPr>
        <w:t xml:space="preserve"> </w:t>
      </w:r>
      <w:r>
        <w:rPr>
          <w:rFonts w:ascii="Arial" w:cs="Arial" w:eastAsia="Arial" w:hAnsi="Arial"/>
          <w:sz w:val="18"/>
          <w:szCs w:val="18"/>
          <w:color w:val="auto"/>
        </w:rPr>
        <w:t>fair value on a non-recurring basis, which are subject to fair value adjustments in specific circumstances. These assets can include: goodwill; intangible assets; property, plant and equipment; and long-lived assets that have been reduced to fair value when they are held for sale.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0046AD"/>
        </w:rPr>
        <w:t>7.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Reviews Performed During 2019</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2019, we performed an actuarial review of the majority of our casualty insurance programs that considered changes in claim developments and claim payment activity for the period commencing May 1, 2018 and ending October 31, 2018 for all policy years in which open claims existed. During the three months ended April 30, 2019, we continued to review the majority of our casualty insurance programs and performed an actuarial update for the period commencing October 31, 2018 and ending January 31, 2019. The actuarial update is abbreviated in nature based on actual versus expected developments during the periods analyzed and relies on the key assumptions in the comprehensive actuarial study performed during 2018 (most notably loss development patterns, trend assumptions, and underlying expected loss costs).</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actuarial review and update continue to indicate the changes we have made to our risk management program have reduced the frequency of claims; however, we are experiencing adverse developments that impact claim costs relating to certain prior periods. Claim management initiatives include programs to identify those claims earlier in the claims cycle that may potentially develop adversely and ensure the establishment of reserves consistent with known fact patterns. However, with respect to claims related to prior fiscal years, the actuarial review and update showed unfavorable developments in our estimates of ultimate losses related to some general liability, property damage, workers’ compensation, and automobile liability claims.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the results of the actuarial review and subsequent developments, at January 31, 2019 we increased our total reserves for known claims as well as our estimate of the loss amounts associated with incurred but not reported claims for prior periods by $ 5.0 million. The results of the actuarial update performed during the three months ended April 30, 2019 did not require a further adjustment to our reserves in the aggregate. For the six months ended April 30, 2019, the total increase to our reserves for claims related to prior periods was $5.0 million. This adjustment was $1.0 million higher than the total adjustment related to prior year claims of $4.0 million during the six months ended April 30, 2018.</w:t>
      </w:r>
    </w:p>
    <w:p>
      <w:pPr>
        <w:spacing w:after="0" w:line="15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During the third quarter of 2019, comprehensive actuarial evaluations are expected to be completed for our significant insurance programs using updated claims data, and these evaluations may lead to further adjustments to our insurance reserves.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9"/>
        </w:trPr>
        <w:tc>
          <w:tcPr>
            <w:tcW w:w="7160" w:type="dxa"/>
            <w:vAlign w:val="bottom"/>
            <w:gridSpan w:val="3"/>
          </w:tcPr>
          <w:p>
            <w:pPr>
              <w:spacing w:after="0"/>
              <w:rPr>
                <w:sz w:val="20"/>
                <w:szCs w:val="20"/>
                <w:color w:val="auto"/>
              </w:rPr>
            </w:pPr>
            <w:r>
              <w:rPr>
                <w:rFonts w:ascii="Arial" w:cs="Arial" w:eastAsia="Arial" w:hAnsi="Arial"/>
                <w:sz w:val="18"/>
                <w:szCs w:val="18"/>
                <w:b w:val="1"/>
                <w:bCs w:val="1"/>
                <w:color w:val="0046AD"/>
              </w:rPr>
              <w:t>Insurance Related Balances and Activity</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73"/>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501.4</w:t>
            </w: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300" w:type="dxa"/>
            <w:vAlign w:val="bottom"/>
          </w:tcPr>
          <w:p>
            <w:pPr>
              <w:spacing w:after="0"/>
              <w:rPr>
                <w:sz w:val="22"/>
                <w:szCs w:val="22"/>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7"/>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recoverables</w:t>
            </w:r>
          </w:p>
        </w:tc>
        <w:tc>
          <w:tcPr>
            <w:tcW w:w="30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73.7</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April 30, 2019 and October 31, 2018, insurance recoverables are included in both “Other current assets” and “Other noncurrent assets” on the accompanying unaudited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2019</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144.1</w:t>
            </w: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300" w:type="dxa"/>
            <w:vAlign w:val="bottom"/>
          </w:tcPr>
          <w:p>
            <w:pPr>
              <w:spacing w:after="0"/>
              <w:rPr>
                <w:sz w:val="22"/>
                <w:szCs w:val="22"/>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Restricted insurance deposits</w:t>
            </w:r>
          </w:p>
        </w:tc>
        <w:tc>
          <w:tcPr>
            <w:tcW w:w="300" w:type="dxa"/>
            <w:vAlign w:val="bottom"/>
            <w:tcBorders>
              <w:bottom w:val="single" w:sz="8" w:color="auto"/>
            </w:tcBorders>
            <w:shd w:val="clear" w:color="auto" w:fill="DCE2EF"/>
          </w:tcPr>
          <w:p>
            <w:pPr>
              <w:spacing w:after="0"/>
              <w:rPr>
                <w:sz w:val="23"/>
                <w:szCs w:val="23"/>
                <w:color w:val="auto"/>
              </w:rPr>
            </w:pPr>
          </w:p>
        </w:tc>
        <w:tc>
          <w:tcPr>
            <w:tcW w:w="178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0.6</w:t>
            </w:r>
          </w:p>
        </w:tc>
      </w:tr>
      <w:tr>
        <w:trPr>
          <w:trHeight w:val="257"/>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8.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The Credit Facility also provides for the issuance of up to $ 300.0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April 30, 2019, the weighted average interest rate on our outstanding borrowings was 4.64%. We also pay a commitment fee, based on our leverage ratio, ranging from 0.200% to 0.350% on the average daily unused portion of the line of credit that is paid quarterly in arrears. For purposes of this calculation, irrevocable standby letters of credit, which are issued primarily in conjunction with our insurance programs, and cash borrowings are included as outstanding under the line of credit.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as amended, contains certain covenants, including a maximum leverage ratio of 4.50 to 1.0, which steps down to 3.50 to 1.0 by July 2021, and a minimum fixed charge coverage ratio of 1.50 to 1.0, as well as other financial and non-financial covenants. In the event of a material acquisition, as defined in the Credit Facility, we may elect to increase the leverage ratio to 3.75 to 1.0 for a total of four fiscal quarters, provided the leverage ratio had already been reduced to 3.50 to 1.0. Our borrowing capacity is subject to, and limited by, compliance with the covenants described above. At April 30, 2019, we were in compliance with these covenants.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certain events of default occur, including certain cross-defaults, insolvency, change in control, or violation of specific covenants, the lenders can terminate or suspend our access to the Credit Facility, declare all amounts outstanding (including all accrued interest and unpaid fees) to be immediately due and payable, and require that we cash collateralize the outstanding standby letters of credit.</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9"/>
        </w:trPr>
        <w:tc>
          <w:tcPr>
            <w:tcW w:w="7160" w:type="dxa"/>
            <w:vAlign w:val="bottom"/>
            <w:gridSpan w:val="3"/>
          </w:tcPr>
          <w:p>
            <w:pPr>
              <w:spacing w:after="0"/>
              <w:rPr>
                <w:sz w:val="20"/>
                <w:szCs w:val="20"/>
                <w:color w:val="auto"/>
              </w:rPr>
            </w:pPr>
            <w:r>
              <w:rPr>
                <w:rFonts w:ascii="Arial" w:cs="Arial" w:eastAsia="Arial" w:hAnsi="Arial"/>
                <w:sz w:val="18"/>
                <w:szCs w:val="18"/>
                <w:b w:val="1"/>
                <w:bCs w:val="1"/>
                <w:color w:val="0046AD"/>
              </w:rPr>
              <w:t>Credit Facility Information</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73"/>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12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0"/>
        </w:trPr>
        <w:tc>
          <w:tcPr>
            <w:tcW w:w="40" w:type="dxa"/>
            <w:vAlign w:val="bottom"/>
            <w:shd w:val="clear" w:color="auto" w:fill="DCE2EF"/>
          </w:tcPr>
          <w:p>
            <w:pPr>
              <w:spacing w:after="0"/>
              <w:rPr>
                <w:sz w:val="23"/>
                <w:szCs w:val="23"/>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Borders>
              <w:bottom w:val="single" w:sz="8" w:color="auto"/>
            </w:tcBorders>
            <w:shd w:val="clear" w:color="auto" w:fill="DCE2EF"/>
          </w:tcPr>
          <w:p>
            <w:pPr>
              <w:spacing w:after="0"/>
              <w:rPr>
                <w:sz w:val="23"/>
                <w:szCs w:val="23"/>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40" w:type="dxa"/>
            <w:vAlign w:val="bottom"/>
            <w:tcBorders>
              <w:bottom w:val="single" w:sz="8" w:color="DCE2EF"/>
            </w:tcBorders>
          </w:tcPr>
          <w:p>
            <w:pPr>
              <w:spacing w:after="0"/>
              <w:rPr>
                <w:sz w:val="21"/>
                <w:szCs w:val="21"/>
                <w:color w:val="auto"/>
              </w:rPr>
            </w:pPr>
          </w:p>
        </w:tc>
        <w:tc>
          <w:tcPr>
            <w:tcW w:w="712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r>
      <w:tr>
        <w:trPr>
          <w:trHeight w:val="324"/>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64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740.0</w:t>
            </w:r>
          </w:p>
        </w:tc>
      </w:tr>
      <w:tr>
        <w:trPr>
          <w:trHeight w:val="264"/>
        </w:trPr>
        <w:tc>
          <w:tcPr>
            <w:tcW w:w="40" w:type="dxa"/>
            <w:vAlign w:val="bottom"/>
            <w:tcBorders>
              <w:bottom w:val="single" w:sz="8" w:color="DCE2EF"/>
            </w:tcBorders>
          </w:tcPr>
          <w:p>
            <w:pPr>
              <w:spacing w:after="0"/>
              <w:rPr>
                <w:sz w:val="22"/>
                <w:szCs w:val="22"/>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Unamortized deferred financing costs</w:t>
            </w: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40" w:type="dxa"/>
            <w:vAlign w:val="bottom"/>
            <w:shd w:val="clear" w:color="auto" w:fill="DCE2EF"/>
          </w:tcPr>
          <w:p>
            <w:pPr>
              <w:spacing w:after="0"/>
              <w:rPr>
                <w:sz w:val="22"/>
                <w:szCs w:val="22"/>
                <w:color w:val="auto"/>
              </w:rPr>
            </w:pPr>
          </w:p>
        </w:tc>
        <w:tc>
          <w:tcPr>
            <w:tcW w:w="712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704.5</w:t>
            </w: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733.1</w:t>
            </w:r>
          </w:p>
        </w:tc>
      </w:tr>
      <w:tr>
        <w:trPr>
          <w:trHeight w:val="270"/>
        </w:trPr>
        <w:tc>
          <w:tcPr>
            <w:tcW w:w="40" w:type="dxa"/>
            <w:vAlign w:val="bottom"/>
            <w:tcBorders>
              <w:bottom w:val="single" w:sz="8" w:color="DCE2EF"/>
            </w:tcBorders>
          </w:tcPr>
          <w:p>
            <w:pPr>
              <w:spacing w:after="0"/>
              <w:rPr>
                <w:sz w:val="23"/>
                <w:szCs w:val="23"/>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1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905.5</w:t>
            </w:r>
          </w:p>
        </w:tc>
        <w:tc>
          <w:tcPr>
            <w:tcW w:w="10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8890</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80" w:hanging="172"/>
        <w:spacing w:after="0" w:line="222"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Standby letters of credit amounted to $152.4 million at April 30, 2019.</w:t>
      </w:r>
    </w:p>
    <w:p>
      <w:pPr>
        <w:spacing w:after="0" w:line="76"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At April 30, 2019, we had borrowing capacity of $437.2 million; however, covenant restrictions limited our borrowing capacity to $405.1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three and six months ended April 30, 2019, we made principal payments under the term loan of $10.0 million and $20.0 million, respectively. As of April 30, 2019, the following principal payments are required under the term loan.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84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Debt maturities</w:t>
            </w:r>
          </w:p>
        </w:tc>
        <w:tc>
          <w:tcPr>
            <w:tcW w:w="900" w:type="dxa"/>
            <w:vAlign w:val="bottom"/>
            <w:shd w:val="clear" w:color="auto" w:fill="DCE2E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DCE2EF"/>
          </w:tcPr>
          <w:p>
            <w:pPr>
              <w:spacing w:after="0"/>
              <w:rPr>
                <w:sz w:val="21"/>
                <w:szCs w:val="21"/>
                <w:color w:val="auto"/>
              </w:rPr>
            </w:pPr>
          </w:p>
        </w:tc>
        <w:tc>
          <w:tcPr>
            <w:tcW w:w="900" w:type="dxa"/>
            <w:vAlign w:val="bottom"/>
            <w:shd w:val="clear" w:color="auto" w:fill="DCE2EF"/>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6"/>
              </w:rPr>
              <w:t>60.0</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these arrangements, we typically pay a fixed interest rate in exchange for LIBOR-based variable interest throughout the life of the agreement. We initially report the mark-to-market gain or loss on a derivative as a component of AOCI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6, “Fair Value of Financial Instruments,” regarding the valuation of our interest rate swaps.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Notional Amounts</w:t>
            </w:r>
          </w:p>
        </w:tc>
        <w:tc>
          <w:tcPr>
            <w:tcW w:w="12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Fixed Interest Rates</w:t>
            </w:r>
          </w:p>
        </w:tc>
        <w:tc>
          <w:tcPr>
            <w:tcW w:w="10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Dates</w:t>
            </w:r>
          </w:p>
        </w:tc>
        <w:tc>
          <w:tcPr>
            <w:tcW w:w="100" w:type="dxa"/>
            <w:vAlign w:val="bottom"/>
            <w:tcBorders>
              <w:bottom w:val="single" w:sz="8" w:color="DCE2EF"/>
            </w:tcBorders>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Dates</w:t>
            </w:r>
          </w:p>
        </w:tc>
      </w:tr>
      <w:tr>
        <w:trPr>
          <w:trHeight w:val="257"/>
        </w:trPr>
        <w:tc>
          <w:tcPr>
            <w:tcW w:w="3000" w:type="dxa"/>
            <w:vAlign w:val="bottom"/>
            <w:gridSpan w:val="2"/>
            <w:shd w:val="clear" w:color="auto" w:fill="DCE2EF"/>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CE2EF"/>
          </w:tcPr>
          <w:p>
            <w:pPr>
              <w:spacing w:after="0"/>
              <w:rPr>
                <w:sz w:val="22"/>
                <w:szCs w:val="22"/>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2021</w:t>
            </w:r>
          </w:p>
        </w:tc>
      </w:tr>
      <w:tr>
        <w:trPr>
          <w:trHeight w:val="263"/>
        </w:trPr>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rPr>
              <w:t>October 31, 2021</w:t>
            </w:r>
          </w:p>
        </w:tc>
      </w:tr>
      <w:tr>
        <w:trPr>
          <w:trHeight w:val="277"/>
        </w:trPr>
        <w:tc>
          <w:tcPr>
            <w:tcW w:w="30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24"/>
                <w:szCs w:val="24"/>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2022</w:t>
            </w:r>
          </w:p>
        </w:tc>
      </w:tr>
      <w:tr>
        <w:trPr>
          <w:trHeight w:val="257"/>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September 1, 2022</w:t>
            </w:r>
          </w:p>
        </w:tc>
      </w:tr>
    </w:tbl>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April 30, 2019 and October 31, 2018, amounts recorded in AOCI for interest rate swaps were $8.9 million, net of taxes of $ 3.8 million, and $ 17.8 million, net of taxes of $7.1 million, respectively. These amounts included the gain associated with the interest rate swaps we terminated in 2018, which is being amortized to interest expense as interest payments are made over the term of our Credit Facility. During the three and six months ended April 30, 2019, we amortized $1.0 million, net of taxes of $0.4 million, and $2.1 million, net of taxes of $ 0.8 million, respectively, of this gain to interest expense. At April 30, 2019, the total amount expected to be reclassified from AOCI to earnings during the next twelve months was $2.4 million, net of taxes of $1.0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46AD"/>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April 30, 2019, these letters of credit and surety bonds totaled $152.4 million and $556.3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April 30, 2019, total guarantees were $175.3 million and extend through 2038.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2021.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At April 30, 2019, the total amount accrued for all probable litigation losses where a reasonable estimate of the loss could be made was $11.7 million. This $11.7 million includes accruals of $1.2 million in connection with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and $5.4 million in connection with the </w:t>
      </w:r>
      <w:r>
        <w:rPr>
          <w:rFonts w:ascii="Arial" w:cs="Arial" w:eastAsia="Arial" w:hAnsi="Arial"/>
          <w:sz w:val="18"/>
          <w:szCs w:val="18"/>
          <w:i w:val="1"/>
          <w:iCs w:val="1"/>
          <w:color w:val="auto"/>
        </w:rPr>
        <w:t xml:space="preserve">Castro </w:t>
      </w:r>
      <w:r>
        <w:rPr>
          <w:rFonts w:ascii="Arial" w:cs="Arial" w:eastAsia="Arial" w:hAnsi="Arial"/>
          <w:sz w:val="18"/>
          <w:szCs w:val="18"/>
          <w:color w:val="auto"/>
        </w:rPr>
        <w:t>case, which amounts were previously accrued and are discussed further below.</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$7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2" w:right="239" w:bottom="1440" w:gutter="0" w:footer="0" w:header="0"/>
        </w:sectPr>
      </w:pPr>
    </w:p>
    <w:bookmarkStart w:id="26" w:name="page27"/>
    <w:bookmarkEnd w:id="26"/>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(“PAGA”).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20, 2018, the trial court entered an order defining four certified subclasses of janitors who were employed by the legacy ABM janitorial companies in California at any time between April 7, 2002 and April 30, 2013, on claims based on previous automatic deduction practices for meal breaks, unpaid meal premiums, unpaid split shift premiums, and unreimbursed business expenses, such as mileage reimbursement for use of personal vehicles to travel between worksites. On February 1, 2019, the Superior Court held that the discovery related to PAGA claims allegedly arising after April 30, 2013 would be stayed until after the class and PAGA claims accruing prior to April 30, 2013 had been tried. This matter has not been set for trial. Prior to trial, we will have the opportunity to move for summary judgment, seek decertification of the classes, or mediate, if we deem such actions appropriate. We expect to engage in one or more such activities in the third quarter of 2019, including but not limited to mediation currently scheduled for July 2019.</w:t>
      </w:r>
    </w:p>
    <w:p>
      <w:pPr>
        <w:spacing w:after="0" w:line="18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 xml:space="preserve">Hussein and Hirsi v. Air Serv Corporation filed on January 20, 2016, pending in the United States District Court for the Western District of Washington at Seattle (the “Hussein case”) </w:t>
      </w:r>
      <w:r>
        <w:rPr>
          <w:rFonts w:ascii="Arial" w:cs="Arial" w:eastAsia="Arial" w:hAnsi="Arial"/>
          <w:sz w:val="18"/>
          <w:szCs w:val="18"/>
          <w:color w:val="auto"/>
        </w:rPr>
        <w:t>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Isse et al. v. Air Serv Corporation filed on February 7, 2017 in the Superior Court of Washington for King County (the “Isse case”)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(the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44" w:right="239" w:bottom="1440" w:gutter="0" w:footer="0" w:header="0"/>
        </w:sectPr>
      </w:pPr>
    </w:p>
    <w:bookmarkStart w:id="27" w:name="page28"/>
    <w:bookmarkEnd w:id="27"/>
    <w:p>
      <w:pPr>
        <w:jc w:val="both"/>
        <w:ind w:firstLine="648"/>
        <w:spacing w:after="0" w:line="261"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cases for a combined total of $8.3 million, inclusive of damages, interest, attorneys’ fees, and employer payroll taxes. On December 8, 2017, the Superior Court approved the settlement agreement for the 220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and we subsequently made a settlement payment of $4.5 million to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in January 2018.</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On July 30, 2018, the United States District Court for the Western District of Washington at Seattle preliminarily approved the settlement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At the final approval hearing on December 4, 2018, the court (i) accepted opt-out notices from 78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members (the “opt-out members”) indicating their intent to participate in separate lawsuits (leaving 386 class members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(ii) directed the parties to recalculate the settlement amount by deducting the settlement funds attributable to the 78 opt-out members, and (iii) requested other minor changes, but indicated that the court intended to grant final approval of the settlement with these changes. On December 20, 2018, the court issued its order granting final approval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action settlement in the amount of $2.1 million. The </w:t>
      </w:r>
      <w:r>
        <w:rPr>
          <w:rFonts w:ascii="Arial" w:cs="Arial" w:eastAsia="Arial" w:hAnsi="Arial"/>
          <w:sz w:val="18"/>
          <w:szCs w:val="18"/>
          <w:i w:val="1"/>
          <w:iCs w:val="1"/>
          <w:color w:val="auto"/>
        </w:rPr>
        <w:t xml:space="preserve">Hussein </w:t>
      </w:r>
      <w:r>
        <w:rPr>
          <w:rFonts w:ascii="Arial" w:cs="Arial" w:eastAsia="Arial" w:hAnsi="Arial"/>
          <w:sz w:val="18"/>
          <w:szCs w:val="18"/>
          <w:color w:val="auto"/>
        </w:rPr>
        <w:t>settlement funds were distributed to the class on March 6, 2019. In January 2019, we reached a tentative agreement to resolve the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of the opt-out members for $1.2 million. On March 22, 2019, the court approved the settlement for the opt-out members, and we subsequently made a settlement payment of $1.2 million to the opt-out members in May 2019. These matters are now concluded.</w:t>
      </w:r>
    </w:p>
    <w:p>
      <w:pPr>
        <w:spacing w:after="0" w:line="19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 complaint, October 24, 2014, through the date of notice to the Class Members that a class has been certified in this action.</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has appealed to the Ninth Circuit the district court’s order denying the motion to compel arbitration with respect to the periods preceding the operative dates of the collective bargaining agreements.</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After a court-ordered mediation held on October 15, 2018, the parties agreed to a class action settlement of $5.4 million, subject to court approval. The plaintiffs’ motion for preliminary approval of the settlement was filed on January 4, 2019, and the court held a hearing on the motion on February 12, 2019. On February 14, 2019, the court granted preliminary approval of the settlement. In connection with the settlement, we modified our existing written policies for California to expressly confirm that ABM service workers are not required to use personal cell phones for work purposes and began centralizing the process and implementing technology for such employees to request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reimbursement for personal cell phone use due to work. A hearing on final approval of the settlement is scheduled to be held on September 3, 2019.</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December 22, 2017, the Tax Act was enacted into law, which, among other provisions, reduced the federal corporate income tax rate from 35% to 21% and required companies to pay a one-time transition tax on the deemed repatriation of indefinitely reinvested earnings of international subsidiaries. Since we have an October 31 fiscal year-end, the lower corporate income tax rate was phased in, resulting in a U.S. statutory federal rate of 23.3% for fiscal 2018 and 21% for subsequent fiscal years. Other provisions under the Tax Act became effective for us in fiscal 2019, including limitations on deductibility of interest and executive compensation as well as a new minimum tax on Global Intangible Low-Taxed Income (“GILTI”), which we have elected to account for as a period cost.</w:t>
      </w:r>
    </w:p>
    <w:p>
      <w:pPr>
        <w:spacing w:after="0" w:line="1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Due to the complexities of implementing the provisions of the Tax Act, the staff of the SEC issued Staff Accounting Bulletin 118 to provide guidance on accounting for the tax effects of the Tax Act and permitted companies to record provisional amounts during a measurement period not to exceed one year from the enactment date. During the first quarter of 2018, we remeasured certain deferred tax assets and liabilities based on the new tax rates at which they were expected to reverse in the future and recorded a provisional one-time tax benefit of $28.7 million related to this remeasurement. In addition, we recorded a provisional expense of $7.0 million for the one-time transition tax on the deemed repatriation of indefinitely reinvested earnings of our international subsidiaries. We completed our analysis of the impacts of these provisions under the Tax Act as of October 31, 2018, and recorded adjustments during the fourth quarter of 2018 that (i) increased the benefit to $29.6 million for the remeasurement of certain deferred tax assets and liabilities and (ii) decreased the expense to $4.5 million for the one-time transition tax on the deemed repatriation of indefinitely reinvested earnings of our international subsidiaries. 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quarterly provision for income taxes from continuing operations is calculated using an estimated annual effective income tax rate, which is adjusted for discrete items that occur during the reporting period. Our income taxes for the three months ended April 30, 2019 were negatively impacted by a $1.3 million reduction in prior year Work Opportunity Tax Credits (“WOTC”) for new hires and by certain reserves of $0.7 million, but were favorably impacted by $0.3 million of excess tax benefits related to the vesting of share-based compensation awards. Our income taxes for the six months ended April 30, 2019 were negatively impacted by a $1.4 million reduction in prior year WOTC and by certain reserves of $1.4 million, but were favorably impacted by $0.8 million of excess tax benefits related to the vesting of share-based compensation awards.</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income taxes for the three months ended April 30, 2018 were favorably impacted by the reduction of the federal corporate income tax rate as a result of the Tax Act and by a discrete tax benefit of $ 2.0 million related to tax deductions on energy efficient government buildings, partially offset by a $1.5 million reduction in certain tax credits, including the prior year WOTC for new hires. Our income taxes for the six months ended April 30, 2018 were favorably impacted by a net discrete tax benefit of $21.7 million related to the enactment of the Tax Act, $2.3 million related to tax deductions on energy efficient government buildings, and $1.5 million of excess tax benefits related to the vesting of share-based compensation awards. These benefits were partially offset by a $1.5 million reduction in certain tax credits, including the prior year WOTC for new hires.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0046AD"/>
        </w:rPr>
        <w:t>11.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reportable segments consist of B&amp;I, Aviation, T&amp;M, Education, Technical Solutions, and Healthcare, as further described below. Refer to Note 2, “Basis of Presentation and Significant Accounting Policies,” for information related to the modification in our presentation of inter-segment revenues.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220" w:type="dxa"/>
            <w:vAlign w:val="bottom"/>
            <w:tcBorders>
              <w:top w:val="single" w:sz="8" w:color="auto"/>
              <w:left w:val="single" w:sz="8" w:color="auto"/>
              <w:bottom w:val="single" w:sz="8" w:color="auto"/>
              <w:right w:val="single" w:sz="8" w:color="DCE2EF"/>
            </w:tcBorders>
            <w:shd w:val="clear" w:color="auto" w:fill="DCE2EF"/>
          </w:tcPr>
          <w:p>
            <w:pPr>
              <w:spacing w:after="0"/>
              <w:rPr>
                <w:sz w:val="22"/>
                <w:szCs w:val="22"/>
                <w:color w:val="auto"/>
              </w:rPr>
            </w:pPr>
          </w:p>
        </w:tc>
        <w:tc>
          <w:tcPr>
            <w:tcW w:w="8200" w:type="dxa"/>
            <w:vAlign w:val="bottom"/>
            <w:tcBorders>
              <w:top w:val="single" w:sz="8" w:color="auto"/>
              <w:bottom w:val="single" w:sz="8" w:color="auto"/>
              <w:right w:val="single" w:sz="8" w:color="auto"/>
            </w:tcBorders>
            <w:shd w:val="clear" w:color="auto" w:fill="DCE2EF"/>
          </w:tcPr>
          <w:p>
            <w:pPr>
              <w:ind w:left="440"/>
              <w:spacing w:after="0"/>
              <w:rPr>
                <w:sz w:val="20"/>
                <w:szCs w:val="20"/>
                <w:color w:val="auto"/>
              </w:rPr>
            </w:pPr>
            <w:r>
              <w:rPr>
                <w:rFonts w:ascii="Arial" w:cs="Arial" w:eastAsia="Arial" w:hAnsi="Arial"/>
                <w:sz w:val="18"/>
                <w:szCs w:val="18"/>
                <w:b w:val="1"/>
                <w:bCs w:val="1"/>
                <w:color w:val="0046AD"/>
              </w:rPr>
              <w:t>REPORTABLE SEGMENTS AND DESCRIPTIONS</w:t>
            </w:r>
          </w:p>
        </w:tc>
        <w:tc>
          <w:tcPr>
            <w:tcW w:w="0" w:type="dxa"/>
            <w:vAlign w:val="bottom"/>
          </w:tcPr>
          <w:p>
            <w:pPr>
              <w:spacing w:after="0"/>
              <w:rPr>
                <w:sz w:val="1"/>
                <w:szCs w:val="1"/>
                <w:color w:val="auto"/>
              </w:rPr>
            </w:pPr>
          </w:p>
        </w:tc>
      </w:tr>
      <w:tr>
        <w:trPr>
          <w:trHeight w:val="337"/>
        </w:trPr>
        <w:tc>
          <w:tcPr>
            <w:tcW w:w="3220" w:type="dxa"/>
            <w:vAlign w:val="bottom"/>
            <w:tcBorders>
              <w:left w:val="single" w:sz="8" w:color="auto"/>
              <w:right w:val="single" w:sz="8" w:color="auto"/>
            </w:tcBorders>
          </w:tcPr>
          <w:p>
            <w:pPr>
              <w:spacing w:after="0"/>
              <w:rPr>
                <w:sz w:val="24"/>
                <w:szCs w:val="24"/>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B&amp;I</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and sports and entertainment venues. B&amp;I also</w:t>
            </w:r>
          </w:p>
        </w:tc>
        <w:tc>
          <w:tcPr>
            <w:tcW w:w="0" w:type="dxa"/>
            <w:vAlign w:val="bottom"/>
          </w:tcPr>
          <w:p>
            <w:pPr>
              <w:spacing w:after="0"/>
              <w:rPr>
                <w:sz w:val="1"/>
                <w:szCs w:val="1"/>
                <w:color w:val="auto"/>
              </w:rPr>
            </w:pPr>
          </w:p>
        </w:tc>
      </w:tr>
      <w:tr>
        <w:trPr>
          <w:trHeight w:val="217"/>
        </w:trPr>
        <w:tc>
          <w:tcPr>
            <w:tcW w:w="3220" w:type="dxa"/>
            <w:vAlign w:val="bottom"/>
            <w:tcBorders>
              <w:left w:val="single" w:sz="8" w:color="auto"/>
              <w:right w:val="single" w:sz="8" w:color="auto"/>
            </w:tcBorders>
          </w:tcPr>
          <w:p>
            <w:pPr>
              <w:spacing w:after="0"/>
              <w:rPr>
                <w:sz w:val="18"/>
                <w:szCs w:val="18"/>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provides vehicle maintenance and other services to rental car providers.</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Aviation</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assistance, catering logistics, air cabin maintenance, and transportation.</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T&amp;M provides janitorial, facilities engineering, and parking services to industrial and high-tech</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manufacturing facilities.</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Education</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services for public school districts, private schools, colleges, and universities.</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8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220" w:type="dxa"/>
            <w:vAlign w:val="bottom"/>
            <w:tcBorders>
              <w:left w:val="single" w:sz="8" w:color="auto"/>
              <w:right w:val="single" w:sz="8" w:color="auto"/>
            </w:tcBorders>
          </w:tcPr>
          <w:p>
            <w:pPr>
              <w:spacing w:after="0"/>
              <w:rPr>
                <w:sz w:val="24"/>
                <w:szCs w:val="24"/>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Healthcare offers janitorial, facilities management, clinical engineering, food and nutrition, laundry and</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Healthcare</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linen, parking and guest services, and patient transportation services at traditional hospitals and non-</w:t>
            </w:r>
          </w:p>
        </w:tc>
        <w:tc>
          <w:tcPr>
            <w:tcW w:w="0" w:type="dxa"/>
            <w:vAlign w:val="bottom"/>
          </w:tcPr>
          <w:p>
            <w:pPr>
              <w:spacing w:after="0"/>
              <w:rPr>
                <w:sz w:val="1"/>
                <w:szCs w:val="1"/>
                <w:color w:val="auto"/>
              </w:rPr>
            </w:pPr>
          </w:p>
        </w:tc>
      </w:tr>
      <w:tr>
        <w:trPr>
          <w:trHeight w:val="217"/>
        </w:trPr>
        <w:tc>
          <w:tcPr>
            <w:tcW w:w="3220" w:type="dxa"/>
            <w:vAlign w:val="bottom"/>
            <w:tcBorders>
              <w:left w:val="single" w:sz="8" w:color="auto"/>
              <w:right w:val="single" w:sz="8" w:color="auto"/>
            </w:tcBorders>
          </w:tcPr>
          <w:p>
            <w:pPr>
              <w:spacing w:after="0"/>
              <w:rPr>
                <w:sz w:val="18"/>
                <w:szCs w:val="18"/>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acute facilities.</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bottom w:val="single" w:sz="8" w:color="auto"/>
              <w:right w:val="single" w:sz="8" w:color="auto"/>
            </w:tcBorders>
          </w:tcPr>
          <w:p>
            <w:pPr>
              <w:spacing w:after="0"/>
              <w:rPr>
                <w:sz w:val="10"/>
                <w:szCs w:val="10"/>
                <w:color w:val="auto"/>
              </w:rPr>
            </w:pPr>
          </w:p>
        </w:tc>
        <w:tc>
          <w:tcPr>
            <w:tcW w:w="8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7"/>
        </w:trPr>
        <w:tc>
          <w:tcPr>
            <w:tcW w:w="32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9"/>
                <w:szCs w:val="19"/>
                <w:color w:val="auto"/>
              </w:rPr>
            </w:pPr>
          </w:p>
        </w:tc>
        <w:tc>
          <w:tcPr>
            <w:tcW w:w="27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230"/>
        </w:trPr>
        <w:tc>
          <w:tcPr>
            <w:tcW w:w="51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4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753.4</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755.1</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1,527.9</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1,511.3</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249.2</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502.4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509.2</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460.0</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205.6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206.9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410.3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133.0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Elimination of inter-segment revenues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700" w:type="dxa"/>
            <w:vAlign w:val="bottom"/>
            <w:tcBorders>
              <w:bottom w:val="single" w:sz="8" w:color="DCE2EF"/>
            </w:tcBorders>
            <w:shd w:val="clear" w:color="auto" w:fill="DCE2EF"/>
          </w:tcPr>
          <w:p>
            <w:pPr>
              <w:spacing w:after="0"/>
              <w:rPr>
                <w:sz w:val="20"/>
                <w:szCs w:val="20"/>
                <w:color w:val="auto"/>
              </w:rPr>
            </w:pPr>
          </w:p>
        </w:tc>
        <w:tc>
          <w:tcPr>
            <w:tcW w:w="4400" w:type="dxa"/>
            <w:vAlign w:val="bottom"/>
            <w:tcBorders>
              <w:bottom w:val="single" w:sz="8" w:color="DCE2EF"/>
            </w:tcBorders>
            <w:shd w:val="clear" w:color="auto" w:fill="DCE2EF"/>
          </w:tcPr>
          <w:p>
            <w:pPr>
              <w:spacing w:after="0"/>
              <w:rPr>
                <w:sz w:val="20"/>
                <w:szCs w:val="20"/>
                <w:color w:val="auto"/>
              </w:rPr>
            </w:pPr>
          </w:p>
        </w:tc>
        <w:tc>
          <w:tcPr>
            <w:tcW w:w="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1,594.7</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1,580.8</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3,202.6</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3,169.2</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Education</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280" w:type="dxa"/>
            <w:vAlign w:val="bottom"/>
            <w:shd w:val="clear" w:color="auto" w:fill="DCE2EF"/>
          </w:tcPr>
          <w:p>
            <w:pPr>
              <w:spacing w:after="0"/>
              <w:rPr>
                <w:sz w:val="24"/>
                <w:szCs w:val="24"/>
                <w:color w:val="auto"/>
              </w:rPr>
            </w:pPr>
          </w:p>
        </w:tc>
        <w:tc>
          <w:tcPr>
            <w:tcW w:w="136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4"/>
                <w:szCs w:val="24"/>
                <w:color w:val="auto"/>
              </w:rPr>
            </w:pPr>
          </w:p>
        </w:tc>
        <w:tc>
          <w:tcPr>
            <w:tcW w:w="124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28"/>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income from unconsolidated affiliates, included in</w:t>
            </w:r>
          </w:p>
        </w:tc>
        <w:tc>
          <w:tcPr>
            <w:tcW w:w="28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11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8"/>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100" w:type="dxa"/>
            <w:vAlign w:val="bottom"/>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2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40" w:type="dxa"/>
            <w:vAlign w:val="bottom"/>
            <w:tcBorders>
              <w:top w:val="single" w:sz="8" w:color="DCE2EF"/>
            </w:tcBorders>
            <w:shd w:val="clear" w:color="auto" w:fill="DCE2EF"/>
          </w:tcPr>
          <w:p>
            <w:pPr>
              <w:spacing w:after="0"/>
              <w:rPr>
                <w:sz w:val="21"/>
                <w:szCs w:val="21"/>
                <w:color w:val="auto"/>
              </w:rPr>
            </w:pPr>
          </w:p>
        </w:tc>
        <w:tc>
          <w:tcPr>
            <w:tcW w:w="700" w:type="dxa"/>
            <w:vAlign w:val="bottom"/>
            <w:tcBorders>
              <w:top w:val="single" w:sz="8" w:color="DCE2EF"/>
            </w:tcBorders>
            <w:shd w:val="clear" w:color="auto" w:fill="DCE2EF"/>
          </w:tcPr>
          <w:p>
            <w:pPr>
              <w:spacing w:after="0"/>
              <w:rPr>
                <w:sz w:val="21"/>
                <w:szCs w:val="21"/>
                <w:color w:val="auto"/>
              </w:rPr>
            </w:pPr>
          </w:p>
        </w:tc>
        <w:tc>
          <w:tcPr>
            <w:tcW w:w="4400" w:type="dxa"/>
            <w:vAlign w:val="bottom"/>
            <w:tcBorders>
              <w:top w:val="single" w:sz="8" w:color="DCE2EF"/>
            </w:tcBorders>
            <w:shd w:val="clear" w:color="auto" w:fill="DCE2EF"/>
          </w:tcPr>
          <w:p>
            <w:pPr>
              <w:spacing w:after="0"/>
              <w:rPr>
                <w:sz w:val="21"/>
                <w:szCs w:val="21"/>
                <w:color w:val="auto"/>
              </w:rPr>
            </w:pPr>
          </w:p>
        </w:tc>
        <w:tc>
          <w:tcPr>
            <w:tcW w:w="280" w:type="dxa"/>
            <w:vAlign w:val="bottom"/>
            <w:tcBorders>
              <w:top w:val="single" w:sz="8" w:color="auto"/>
              <w:bottom w:val="single" w:sz="8" w:color="auto"/>
            </w:tcBorders>
            <w:shd w:val="clear" w:color="auto" w:fill="DCE2EF"/>
          </w:tcPr>
          <w:p>
            <w:pPr>
              <w:spacing w:after="0"/>
              <w:rPr>
                <w:sz w:val="21"/>
                <w:szCs w:val="21"/>
                <w:color w:val="auto"/>
              </w:rPr>
            </w:pPr>
          </w:p>
        </w:tc>
        <w:tc>
          <w:tcPr>
            <w:tcW w:w="124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Borders>
              <w:top w:val="single" w:sz="8" w:color="DCE2EF"/>
            </w:tcBorders>
            <w:shd w:val="clear" w:color="auto" w:fill="DCE2EF"/>
          </w:tcPr>
          <w:p>
            <w:pPr>
              <w:spacing w:after="0"/>
              <w:rPr>
                <w:sz w:val="21"/>
                <w:szCs w:val="21"/>
                <w:color w:val="auto"/>
              </w:rPr>
            </w:pPr>
          </w:p>
        </w:tc>
        <w:tc>
          <w:tcPr>
            <w:tcW w:w="340" w:type="dxa"/>
            <w:vAlign w:val="bottom"/>
            <w:tcBorders>
              <w:top w:val="single" w:sz="8" w:color="auto"/>
              <w:bottom w:val="single" w:sz="8" w:color="auto"/>
            </w:tcBorders>
            <w:shd w:val="clear" w:color="auto" w:fill="DCE2EF"/>
          </w:tcPr>
          <w:p>
            <w:pPr>
              <w:spacing w:after="0"/>
              <w:rPr>
                <w:sz w:val="21"/>
                <w:szCs w:val="21"/>
                <w:color w:val="auto"/>
              </w:rPr>
            </w:pPr>
          </w:p>
        </w:tc>
        <w:tc>
          <w:tcPr>
            <w:tcW w:w="112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45.3</w:t>
            </w:r>
          </w:p>
        </w:tc>
        <w:tc>
          <w:tcPr>
            <w:tcW w:w="120" w:type="dxa"/>
            <w:vAlign w:val="bottom"/>
            <w:tcBorders>
              <w:top w:val="single" w:sz="8" w:color="DCE2EF"/>
            </w:tcBorders>
            <w:shd w:val="clear" w:color="auto" w:fill="DCE2EF"/>
          </w:tcPr>
          <w:p>
            <w:pPr>
              <w:spacing w:after="0"/>
              <w:rPr>
                <w:sz w:val="21"/>
                <w:szCs w:val="21"/>
                <w:color w:val="auto"/>
              </w:rPr>
            </w:pPr>
          </w:p>
        </w:tc>
        <w:tc>
          <w:tcPr>
            <w:tcW w:w="300" w:type="dxa"/>
            <w:vAlign w:val="bottom"/>
            <w:tcBorders>
              <w:top w:val="single" w:sz="8" w:color="auto"/>
              <w:bottom w:val="single" w:sz="8" w:color="auto"/>
            </w:tcBorders>
            <w:shd w:val="clear" w:color="auto" w:fill="DCE2EF"/>
          </w:tcPr>
          <w:p>
            <w:pPr>
              <w:spacing w:after="0"/>
              <w:rPr>
                <w:sz w:val="21"/>
                <w:szCs w:val="21"/>
                <w:color w:val="auto"/>
              </w:rPr>
            </w:pPr>
          </w:p>
        </w:tc>
        <w:tc>
          <w:tcPr>
            <w:tcW w:w="116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Borders>
              <w:top w:val="single" w:sz="8" w:color="DCE2EF"/>
            </w:tcBorders>
            <w:shd w:val="clear" w:color="auto" w:fill="DCE2EF"/>
          </w:tcPr>
          <w:p>
            <w:pPr>
              <w:spacing w:after="0"/>
              <w:rPr>
                <w:sz w:val="21"/>
                <w:szCs w:val="21"/>
                <w:color w:val="auto"/>
              </w:rPr>
            </w:pPr>
          </w:p>
        </w:tc>
        <w:tc>
          <w:tcPr>
            <w:tcW w:w="340" w:type="dxa"/>
            <w:vAlign w:val="bottom"/>
            <w:tcBorders>
              <w:top w:val="single" w:sz="8" w:color="auto"/>
              <w:bottom w:val="single" w:sz="8" w:color="auto"/>
            </w:tcBorders>
            <w:shd w:val="clear" w:color="auto" w:fill="DCE2EF"/>
          </w:tcPr>
          <w:p>
            <w:pPr>
              <w:spacing w:after="0"/>
              <w:rPr>
                <w:sz w:val="21"/>
                <w:szCs w:val="21"/>
                <w:color w:val="auto"/>
              </w:rPr>
            </w:pPr>
          </w:p>
        </w:tc>
        <w:tc>
          <w:tcPr>
            <w:tcW w:w="112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47"/>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2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w:t>
      </w:r>
    </w:p>
    <w:p>
      <w:pPr>
        <w:spacing w:after="0" w:line="1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third quarter of fiscal year 2019, we initiated an organizational change to better align the services and expertise of our Healthcare business with our other industry groups and to leverage our existing branch network to support the long-term growth of this business. As a result, our Healthcare portfolio will be included primarily in our B&amp;I segment.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2018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Effective November 1, 2018, we adopted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606) </w:t>
      </w:r>
      <w:r>
        <w:rPr>
          <w:rFonts w:ascii="Arial" w:cs="Arial" w:eastAsia="Arial" w:hAnsi="Arial"/>
          <w:sz w:val="18"/>
          <w:szCs w:val="18"/>
          <w:color w:val="auto"/>
        </w:rPr>
        <w:t>and ASU 2017-10</w:t>
      </w:r>
      <w:r>
        <w:rPr>
          <w:rFonts w:ascii="Arial" w:cs="Arial" w:eastAsia="Arial" w:hAnsi="Arial"/>
          <w:sz w:val="18"/>
          <w:szCs w:val="18"/>
          <w:i w:val="1"/>
          <w:iCs w:val="1"/>
          <w:color w:val="auto"/>
        </w:rPr>
        <w:t xml:space="preserve">, Service Concession Arrangements (Topic 853): Determining the Customer of the Operation Services </w:t>
      </w:r>
      <w:r>
        <w:rPr>
          <w:rFonts w:ascii="Arial" w:cs="Arial" w:eastAsia="Arial" w:hAnsi="Arial"/>
          <w:sz w:val="18"/>
          <w:szCs w:val="18"/>
          <w:color w:val="auto"/>
        </w:rPr>
        <w:t>using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approach with a cumulative-effect adjustment to retained earnings as of the beginning of 2019; prior period financial statements are not adjusted. Refer to Note 2, “Basis of Presentation and Significant Accounting Policies,” and Note 3, “Revenue,” in the Financial Statements for additional information regarding the impact of adoption.</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services,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Developments in 2019</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We continue focusing on several key initiatives across our organization to sustain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strategy and profitably deliver leading industry-based facility solutions. We are targeting significant investments in our information technology infrastructure to help simplify our operating environment, drive productivity, and create consistency and efficiency across our organization. We continue upgrading several key platforms, including our human resources information systems, enterprise resource planning system, and labor management system. We are also utilizing technology to help improve processes company-wide, including account planning, labor management, payroll, and procurement. We continue to centralize many of our back-office functions through our Enterprise Services Center in Sugar Land, Texas to help drive consistency in practice and support operating efficiency. In addition, by consolidating purchasing activities we have been able to leverage our scale, increase our purchasing power, and identify preferred suppliers, which has enabled cost saving opportunities in supplies and materials procurement.</w:t>
      </w: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Economic Labor Outlook</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economy continues to demonstrate positive underlying fundamentals, with expanding gross domestic product growth and improving employment conditions, which have led to historically low levels of both unemployment and underemployment across the country. These factors have contributed to the lower availability of qualified labor for our business and higher turnover in certain markets, as our employees have more job opportunities both inside and outside our industry. This in turn has caused, and may continue to cause, higher labor and related personnel costs.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0046AD"/>
        </w:rPr>
        <w:t>Restructuring and Related Costs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may periodically engage in various restructuring activities intended to drive long-term profitable growth and increase operational efficiency, which can include streamlining and realigning our overall organizational structure and reallocating resources. These activities may result in restructuring costs related to employee severance, other project fees, lease exit costs, and asset impairment charges. Recently, our significant restructuring activities have primarily related to integrating our acquisition of GCA Services Group (“GCA”) and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46AD"/>
        </w:rPr>
        <w:t>GCA and Other Restructuring</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first quarter of 2018, we initiated a restructuring program to achieve cost synergies following the acquisition of GCA. We incurred the majority of our severance expense associated with this restructuring program in the first half of 2018. We expect to incur additional charges, primarily related to other project fees, as we continue to further integrate and consolidate our operational and financial processes to support the growth and capabilities of our shared services and operations. Additionally, we continue standardizing our financial systems and streamlining our operations by migrating and upgrading several key management platforms, including our human resources information systems, enterprise resource planning system, and labor management system. We also continue consolidating our real estate leases.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0"/>
                <w:szCs w:val="20"/>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Six Months Ended</w:t>
            </w: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April 30, 2019</w:t>
            </w:r>
          </w:p>
        </w:tc>
        <w:tc>
          <w:tcPr>
            <w:tcW w:w="260" w:type="dxa"/>
            <w:vAlign w:val="bottom"/>
          </w:tcPr>
          <w:p>
            <w:pPr>
              <w:spacing w:after="0"/>
              <w:rPr>
                <w:sz w:val="21"/>
                <w:szCs w:val="21"/>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April 30, 2019</w:t>
            </w:r>
          </w:p>
        </w:tc>
        <w:tc>
          <w:tcPr>
            <w:tcW w:w="420" w:type="dxa"/>
            <w:vAlign w:val="bottom"/>
          </w:tcPr>
          <w:p>
            <w:pPr>
              <w:spacing w:after="0"/>
              <w:rPr>
                <w:sz w:val="21"/>
                <w:szCs w:val="21"/>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Employee severance</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16.6</w:t>
            </w: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Other project fees</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7"/>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External support fees</w:t>
            </w:r>
          </w:p>
        </w:tc>
        <w:tc>
          <w:tcPr>
            <w:tcW w:w="220" w:type="dxa"/>
            <w:vAlign w:val="bottom"/>
            <w:shd w:val="clear" w:color="auto" w:fill="DCE2EF"/>
          </w:tcPr>
          <w:p>
            <w:pPr>
              <w:spacing w:after="0"/>
              <w:rPr>
                <w:sz w:val="24"/>
                <w:szCs w:val="24"/>
                <w:color w:val="auto"/>
              </w:rPr>
            </w:pPr>
          </w:p>
        </w:tc>
        <w:tc>
          <w:tcPr>
            <w:tcW w:w="230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CE2EF"/>
          </w:tcPr>
          <w:p>
            <w:pPr>
              <w:spacing w:after="0"/>
              <w:rPr>
                <w:sz w:val="24"/>
                <w:szCs w:val="24"/>
                <w:color w:val="auto"/>
              </w:rPr>
            </w:pPr>
          </w:p>
        </w:tc>
        <w:tc>
          <w:tcPr>
            <w:tcW w:w="224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DCE2EF"/>
          </w:tcPr>
          <w:p>
            <w:pPr>
              <w:spacing w:after="0"/>
              <w:rPr>
                <w:sz w:val="24"/>
                <w:szCs w:val="24"/>
                <w:color w:val="auto"/>
              </w:rPr>
            </w:pP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w:t>
            </w:r>
          </w:p>
        </w:tc>
      </w:tr>
      <w:tr>
        <w:trPr>
          <w:trHeight w:val="264"/>
        </w:trPr>
        <w:tc>
          <w:tcPr>
            <w:tcW w:w="398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Lease exit costs and asset impairment</w:t>
            </w: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DCE2E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r>
      <w:tr>
        <w:trPr>
          <w:trHeight w:val="257"/>
        </w:trPr>
        <w:tc>
          <w:tcPr>
            <w:tcW w:w="398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DCE2EF"/>
            </w:tcBorders>
            <w:shd w:val="clear" w:color="auto" w:fill="DCE2EF"/>
          </w:tcPr>
          <w:p>
            <w:pPr>
              <w:spacing w:after="0"/>
              <w:rPr>
                <w:sz w:val="22"/>
                <w:szCs w:val="22"/>
                <w:color w:val="auto"/>
              </w:rPr>
            </w:pPr>
          </w:p>
        </w:tc>
        <w:tc>
          <w:tcPr>
            <w:tcW w:w="260" w:type="dxa"/>
            <w:vAlign w:val="bottom"/>
            <w:tcBorders>
              <w:bottom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DCE2EF"/>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rPr>
              <w:t>29.9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0046AD"/>
        </w:rPr>
        <w:t>Segment Reporting</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reportable segments consist of Business &amp; Industry (“B&amp;I”), Aviation, Technology &amp; Manufacturing (“T&amp;M”), Education, Technical Solutions, and Healthcare, as further described below. Effective November 1, 2018, we have modified the presentation of inter-segment revenues, which are recorded at cost with no associated intercompany profit or loss and are eliminated in consolidation. Our prior period segment data has been reclassified to conform with our fiscal 2019 presentation. These changes had no impact on our previously reported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383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83349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220" w:lineRule="exact"/>
        <w:rPr>
          <w:sz w:val="20"/>
          <w:szCs w:val="20"/>
          <w:color w:val="auto"/>
        </w:rPr>
      </w:pPr>
    </w:p>
    <w:p>
      <w:pPr>
        <w:jc w:val="both"/>
        <w:ind w:left="3240" w:right="40"/>
        <w:spacing w:after="0"/>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and sports and entertainment venues. B&amp;I also provides vehicle maintenance and other services to rental car providers.</w:t>
      </w:r>
    </w:p>
    <w:p>
      <w:pPr>
        <w:spacing w:after="0" w:line="200" w:lineRule="exact"/>
        <w:rPr>
          <w:sz w:val="20"/>
          <w:szCs w:val="20"/>
          <w:color w:val="auto"/>
        </w:rPr>
      </w:pPr>
    </w:p>
    <w:p>
      <w:pPr>
        <w:spacing w:after="0" w:line="246"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w:t>
      </w:r>
    </w:p>
    <w:p>
      <w:pPr>
        <w:spacing w:after="0" w:line="200" w:lineRule="exact"/>
        <w:rPr>
          <w:sz w:val="20"/>
          <w:szCs w:val="20"/>
          <w:color w:val="auto"/>
        </w:rPr>
      </w:pPr>
    </w:p>
    <w:p>
      <w:pPr>
        <w:spacing w:after="0" w:line="335"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T&amp;M provides janitorial, facilities engineering, and parking services to industrial and high-tech manufacturing facilities.</w:t>
      </w:r>
    </w:p>
    <w:p>
      <w:pPr>
        <w:spacing w:after="0" w:line="200" w:lineRule="exact"/>
        <w:rPr>
          <w:sz w:val="20"/>
          <w:szCs w:val="20"/>
          <w:color w:val="auto"/>
        </w:rPr>
      </w:pPr>
    </w:p>
    <w:p>
      <w:pPr>
        <w:spacing w:after="0" w:line="335"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w:t>
      </w:r>
    </w:p>
    <w:p>
      <w:pPr>
        <w:spacing w:after="0" w:line="200" w:lineRule="exact"/>
        <w:rPr>
          <w:sz w:val="20"/>
          <w:szCs w:val="20"/>
          <w:color w:val="auto"/>
        </w:rPr>
      </w:pPr>
    </w:p>
    <w:p>
      <w:pPr>
        <w:spacing w:after="0" w:line="335"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w:t>
      </w:r>
    </w:p>
    <w:p>
      <w:pPr>
        <w:spacing w:after="0" w:line="200" w:lineRule="exact"/>
        <w:rPr>
          <w:sz w:val="20"/>
          <w:szCs w:val="20"/>
          <w:color w:val="auto"/>
        </w:rPr>
      </w:pPr>
    </w:p>
    <w:p>
      <w:pPr>
        <w:spacing w:after="0" w:line="227" w:lineRule="exact"/>
        <w:rPr>
          <w:sz w:val="20"/>
          <w:szCs w:val="20"/>
          <w:color w:val="auto"/>
        </w:rPr>
      </w:pPr>
    </w:p>
    <w:p>
      <w:pPr>
        <w:jc w:val="both"/>
        <w:ind w:left="3240" w:right="60"/>
        <w:spacing w:after="0"/>
        <w:rPr>
          <w:sz w:val="20"/>
          <w:szCs w:val="20"/>
          <w:color w:val="auto"/>
        </w:rPr>
      </w:pPr>
      <w:r>
        <w:rPr>
          <w:rFonts w:ascii="Arial" w:cs="Arial" w:eastAsia="Arial" w:hAnsi="Arial"/>
          <w:sz w:val="18"/>
          <w:szCs w:val="18"/>
          <w:color w:val="auto"/>
        </w:rPr>
        <w:t>Healthcare offers janitorial, facilities management, clinical engineering, food and nutrition, laundry and linen, parking and guest services, and patient transportation services at traditional hospitals and non-acute facilities.</w:t>
      </w:r>
    </w:p>
    <w:p>
      <w:pPr>
        <w:spacing w:after="0" w:line="3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third quarter of fiscal year 2019, we initiated an organizational change to better align the services and expertise of our Healthcare business with our other industry groups and to leverage our existing branch network to support the long-term growth of this business. As a result, our Healthcare portfolio will be included primarily in our B&amp;I segment.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0046AD"/>
        </w:rPr>
        <w:t>Insurance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2019, we performed an actuarial review of the majority of our casualty insurance programs that considered changes in claim developments and claim payment activity for the period commencing May 1, 2018 and ending October 31, 2018 for all policy years in which open claims existed. During the three months ended April 30, 2019, we continued to review the majority of our casualty insurance programs and performed an actuarial update for the period commencing October 31, 2018 and ending January 31, 2019. The actuarial update is abbreviated in nature based on actual versus expected developments during the periods analyzed and relies on the key assumptions in the comprehensive actuarial study performed during 2018 (most notably loss development patterns, trend assumptions, and underlying expected loss costs).</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actuarial review and update continue to indicate the changes we have made to our risk management program have reduced the frequency of claims; however, we are experiencing adverse developments that impact claim costs relating to certain prior periods. Claim management initiatives include programs to identify those claims earlier in the claims cycle that may potentially develop adversely and ensure the establishment of reserves consistent with known fact patterns. However, with respect to claims related to prior fiscal years, the actuarial review and update showed unfavorable developments in our estimates of ultimate losses related to some general liability, property damage, workers’ compensation, and automobile liability claims.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the results of the actuarial review and subsequent developments, at January 31, 2019 we increased our total reserves for known claims as well as our estimate of the loss amounts associated with incurred but not reported claims for prior periods by $ 5.0 million. The results of the actuarial update performed during the three months ended April 30, 2019 did not require a further adjustment to our reserves in the aggregate. For the six months ended April 30, 2019, the total increase to our reserves for claims related to prior periods was $5.0 million. This adjustment was $1.0 million higher than the total adjustment related to prior year claims of $4.0 million during the six months ended April 30, 2018. During the third quarter of 2019, comprehensive actuarial evaluations are expected to be completed for our significant insurance programs using updated claims data, and these evaluations may lead to further adjustments to our insurance reserves.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Financial Highlights</w:t>
      </w:r>
    </w:p>
    <w:p>
      <w:pPr>
        <w:spacing w:after="0" w:line="193"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increased by $13.9 million, or 0.9%, during the three months ended April 30, 2019, as compared to the three months ended April 30, 2018.</w:t>
      </w:r>
    </w:p>
    <w:p>
      <w:pPr>
        <w:spacing w:after="0" w:line="88"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profit increased by $9.2 million, or 20.4%, during the three months ended April 30, 2019, as compared to the three months ended April 30, 2018. The increase in operating profit is primarily attributable to higher gross margin associated with improved margins within B&amp;I, T&amp;M, and Technical Solutions, as well as a lower self-insurance adjustment related to prior year claims and lower restructuring and related expenses.</w:t>
      </w:r>
    </w:p>
    <w:p>
      <w:pPr>
        <w:spacing w:after="0" w:line="96"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had an income tax provision of $17.3 million during the six months ended April 30, 2019, as compared to an income tax benefit of $15.1 million during the six months ended April 30, 2018. The 2018 period benefited primarily from a net discrete tax benefit of $21.7 million related to the Tax Cuts and Jobs Act (the “Tax Act”).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provided by operating activities was $56.3 million during the six months ended April 30, 2019.</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of $23.8 million were paid to shareholders, and dividends totaling $0.360 per common share were declared during the six months ended April 30, 2019.</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April 30, 2019, total outstanding borrowings under our credit facility were $961.0 million, and we had up to $437.2 million of borrowing capacity under our credit facility; however, covenant restrictions limited our actual borrowing capacity to $405.1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3720"/>
        <w:spacing w:after="0" w:line="456" w:lineRule="auto"/>
        <w:rPr>
          <w:sz w:val="20"/>
          <w:szCs w:val="20"/>
          <w:color w:val="auto"/>
        </w:rPr>
      </w:pPr>
      <w:r>
        <w:rPr>
          <w:rFonts w:ascii="Arial" w:cs="Arial" w:eastAsia="Arial" w:hAnsi="Arial"/>
          <w:sz w:val="18"/>
          <w:szCs w:val="18"/>
          <w:b w:val="1"/>
          <w:bCs w:val="1"/>
          <w:i w:val="1"/>
          <w:iCs w:val="1"/>
          <w:color w:val="0046AD"/>
        </w:rPr>
        <w:t>Three Months Ended April 30, 2019 Compared with the Three Months Ended April 30, 2018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3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1,594.7</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1,580.8</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13.9</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0.9%</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1,414.2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1,405.8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0.6%</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11.3%</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11.1%</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25 bps</w:t>
            </w:r>
          </w:p>
        </w:tc>
        <w:tc>
          <w:tcPr>
            <w:tcW w:w="1360" w:type="dxa"/>
            <w:vAlign w:val="bottom"/>
            <w:shd w:val="clear" w:color="auto" w:fill="DCE2EF"/>
          </w:tcPr>
          <w:p>
            <w:pPr>
              <w:spacing w:after="0"/>
              <w:rPr>
                <w:sz w:val="24"/>
                <w:szCs w:val="24"/>
                <w:color w:val="auto"/>
              </w:rPr>
            </w:pP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0.6%</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(48.2)%</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36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w w:val="99"/>
              </w:rPr>
              <w:t>(11.1)%</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9.2</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20.4%</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9"/>
              </w:rPr>
              <w:t>(23.0)%</w:t>
            </w:r>
          </w:p>
        </w:tc>
      </w:tr>
      <w:tr>
        <w:trPr>
          <w:trHeight w:val="273"/>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(7.3)%</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30.8%</w:t>
            </w:r>
          </w:p>
        </w:tc>
      </w:tr>
      <w:tr>
        <w:trPr>
          <w:trHeight w:val="273"/>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DCE2EF"/>
          </w:tcPr>
          <w:p>
            <w:pPr>
              <w:spacing w:after="0"/>
              <w:rPr>
                <w:sz w:val="23"/>
                <w:szCs w:val="23"/>
                <w:color w:val="auto"/>
              </w:rPr>
            </w:pPr>
          </w:p>
        </w:tc>
        <w:tc>
          <w:tcPr>
            <w:tcW w:w="380" w:type="dxa"/>
            <w:vAlign w:val="bottom"/>
            <w:tcBorders>
              <w:bottom w:val="single" w:sz="8" w:color="auto"/>
            </w:tcBorders>
            <w:shd w:val="clear" w:color="auto" w:fill="DCE2EF"/>
          </w:tcPr>
          <w:p>
            <w:pPr>
              <w:spacing w:after="0"/>
              <w:rPr>
                <w:sz w:val="23"/>
                <w:szCs w:val="23"/>
                <w:color w:val="auto"/>
              </w:rPr>
            </w:pPr>
          </w:p>
        </w:tc>
        <w:tc>
          <w:tcPr>
            <w:tcW w:w="12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9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5.5</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77.2%</w:t>
            </w:r>
          </w:p>
        </w:tc>
      </w:tr>
      <w:tr>
        <w:trPr>
          <w:trHeight w:val="247"/>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17.9%</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(Loss) income from discontinued operations, net of taxes</w:t>
            </w:r>
          </w:p>
        </w:tc>
        <w:tc>
          <w:tcPr>
            <w:tcW w:w="340" w:type="dxa"/>
            <w:vAlign w:val="bottom"/>
            <w:tcBorders>
              <w:bottom w:val="single" w:sz="8" w:color="auto"/>
            </w:tcBorders>
            <w:shd w:val="clear" w:color="auto" w:fill="DCE2EF"/>
          </w:tcPr>
          <w:p>
            <w:pPr>
              <w:spacing w:after="0"/>
              <w:rPr>
                <w:sz w:val="24"/>
                <w:szCs w:val="24"/>
                <w:color w:val="auto"/>
              </w:rPr>
            </w:pPr>
          </w:p>
        </w:tc>
        <w:tc>
          <w:tcPr>
            <w:tcW w:w="13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(1.4)</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r>
      <w:tr>
        <w:trPr>
          <w:trHeight w:val="24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DCE2E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DCE2E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36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11.7%</w:t>
            </w:r>
          </w:p>
        </w:tc>
      </w:tr>
      <w:tr>
        <w:trPr>
          <w:trHeight w:val="27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shd w:val="clear" w:color="auto" w:fill="DCE2EF"/>
          </w:tcPr>
          <w:p>
            <w:pPr>
              <w:spacing w:after="0"/>
              <w:rPr>
                <w:sz w:val="23"/>
                <w:szCs w:val="23"/>
                <w:color w:val="auto"/>
              </w:rPr>
            </w:pPr>
          </w:p>
        </w:tc>
        <w:tc>
          <w:tcPr>
            <w:tcW w:w="130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80" w:type="dxa"/>
            <w:vAlign w:val="bottom"/>
            <w:shd w:val="clear" w:color="auto" w:fill="DCE2EF"/>
          </w:tcPr>
          <w:p>
            <w:pPr>
              <w:spacing w:after="0"/>
              <w:rPr>
                <w:sz w:val="23"/>
                <w:szCs w:val="23"/>
                <w:color w:val="auto"/>
              </w:rPr>
            </w:pPr>
          </w:p>
        </w:tc>
        <w:tc>
          <w:tcPr>
            <w:tcW w:w="12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940" w:type="dxa"/>
            <w:vAlign w:val="bottom"/>
            <w:shd w:val="clear" w:color="auto" w:fill="DCE2EF"/>
          </w:tcPr>
          <w:p>
            <w:pPr>
              <w:spacing w:after="0"/>
              <w:rPr>
                <w:sz w:val="23"/>
                <w:szCs w:val="23"/>
                <w:color w:val="auto"/>
              </w:rPr>
            </w:pPr>
          </w:p>
        </w:tc>
        <w:tc>
          <w:tcPr>
            <w:tcW w:w="1360" w:type="dxa"/>
            <w:vAlign w:val="bottom"/>
            <w:shd w:val="clear" w:color="auto" w:fill="DCE2E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260" w:type="dxa"/>
            <w:vAlign w:val="bottom"/>
            <w:gridSpan w:val="2"/>
          </w:tcPr>
          <w:p>
            <w:pPr>
              <w:ind w:left="320"/>
              <w:spacing w:after="0"/>
              <w:rPr>
                <w:sz w:val="20"/>
                <w:szCs w:val="20"/>
                <w:color w:val="auto"/>
              </w:rPr>
            </w:pPr>
            <w:r>
              <w:rPr>
                <w:rFonts w:ascii="Arial" w:cs="Arial" w:eastAsia="Arial" w:hAnsi="Arial"/>
                <w:sz w:val="16"/>
                <w:szCs w:val="16"/>
                <w:color w:val="auto"/>
              </w:rPr>
              <w:t>Interest rate swaps</w:t>
            </w:r>
          </w:p>
        </w:tc>
        <w:tc>
          <w:tcPr>
            <w:tcW w:w="3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Foreign currency translation</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(79.2)%</w:t>
            </w:r>
          </w:p>
        </w:tc>
      </w:tr>
      <w:tr>
        <w:trPr>
          <w:trHeight w:val="264"/>
        </w:trPr>
        <w:tc>
          <w:tcPr>
            <w:tcW w:w="40" w:type="dxa"/>
            <w:vAlign w:val="bottom"/>
            <w:tcBorders>
              <w:bottom w:val="single" w:sz="8" w:color="DCE2EF"/>
            </w:tcBorders>
          </w:tcPr>
          <w:p>
            <w:pPr>
              <w:spacing w:after="0"/>
              <w:rPr>
                <w:sz w:val="22"/>
                <w:szCs w:val="22"/>
                <w:color w:val="auto"/>
              </w:rPr>
            </w:pPr>
          </w:p>
        </w:tc>
        <w:tc>
          <w:tcPr>
            <w:tcW w:w="526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360" w:type="dxa"/>
            <w:vAlign w:val="bottom"/>
            <w:tcBorders>
              <w:bottom w:val="single" w:sz="8" w:color="DCE2EF"/>
            </w:tcBorders>
          </w:tcPr>
          <w:p>
            <w:pPr>
              <w:ind w:left="58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DCE2EF"/>
            </w:tcBorders>
            <w:shd w:val="clear" w:color="auto" w:fill="DCE2EF"/>
          </w:tcPr>
          <w:p>
            <w:pPr>
              <w:spacing w:after="0"/>
              <w:rPr>
                <w:sz w:val="20"/>
                <w:szCs w:val="20"/>
                <w:color w:val="auto"/>
              </w:rPr>
            </w:pPr>
          </w:p>
        </w:tc>
        <w:tc>
          <w:tcPr>
            <w:tcW w:w="380" w:type="dxa"/>
            <w:vAlign w:val="bottom"/>
            <w:tcBorders>
              <w:bottom w:val="single" w:sz="8" w:color="auto"/>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0.8</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3.1%</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Revenues increased by $13.9 million, or 0.9%, during the three months ended April 30, 2019, as compared to the three months ended April 30, 2018. The increase in revenues was attributable to organic growth, primarily in our U.S. Technical Solutions business. This increase was partially offset by a reclassification of $12.2 million of rent expense related to service concession arrangements, primarily within Aviation. This expense was previously recorded as an operating expense but is now recorded as a reduction of revenues, due to the adoption of Topic</w:t>
      </w:r>
    </w:p>
    <w:p>
      <w:pPr>
        <w:spacing w:after="0" w:line="2" w:lineRule="exact"/>
        <w:rPr>
          <w:sz w:val="20"/>
          <w:szCs w:val="20"/>
          <w:color w:val="auto"/>
        </w:rPr>
      </w:pPr>
    </w:p>
    <w:p>
      <w:pPr>
        <w:ind w:firstLine="8"/>
        <w:spacing w:after="0" w:line="262" w:lineRule="auto"/>
        <w:tabs>
          <w:tab w:leader="none" w:pos="4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Additionally, we lost certain accounts in Healthcare, T&amp;M, and our U.K. Technical Solutions business, and fluctuations in foreign currency exchange rates negatively affected our U.K. businesses.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expenses increased by $8.4 million, or 0.6%, during the three months ended April 30, 2019, as compared to the three months ended April 30, 2018. This increase was partially offset by the reclassification of $12.2 million of rent expense related to service concession arrangements to revenue, as noted above. Gross margin increased by 25 bps to 11.3% in the three months ended April 30, 2019 from 11.1% in the three months ended April 30, 2018. The increase in gross margin was primarily associated with improved margins within B&amp;I, T&amp;M, and our U.S. Technical Solutions business, as well as a lower self-insurance adjustment related to prior year claims.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Selling, general and administrative expenses increased slightly by $0.6 million, or 0.6%, during the three months ended April 30, 2019, as compared to the three months ended April 30, 2018. The slight increase in selling, general and administrative expenses was primarily related to:</w:t>
      </w:r>
    </w:p>
    <w:p>
      <w:pPr>
        <w:spacing w:after="0" w:line="14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$6.0 million increase in technology investments and related support;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a $2.8 million benefit resulting from actuarial evaluations performed on our medical and dental self-insurance plans in the three months ended April 30,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Offsetting this increase was:</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$3.2 million decrease in legal settlement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$1.9 million decrease in bad debt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Restructuring and related expenses decreased by $2.6 million, or 48.2%, during the three months ended April 30, 2019, as compared to the three months ended April 30, 2018, due to restructuring expenses incurred in the prior year following the acquisition of GCA, partially offset by other restructuring expenses incurred in the current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effective tax rates on income from continuing operations for the three months ended April 30, 2019 and April 30, 2018 were 29.6% and 21.8%, respectively. The effective tax rate for the three months ended April 30, 2019 was negatively impacted by a $1.3 million reduction in prior year Work Opportunity Tax Credits (“WOTC”) for new hires and by certain reserves of $0.7 million; it was favorably impacted by $0.3 million of excess tax benefits related to the vesting of share-based compensation awards. Comparatively, the effective tax rate for the three months ended April 30, 2018 was favorably impacted by the reduction of the federal corporate income tax rate as a result of the Tax Act and by a discrete tax benefit of $2.0 million related to tax deductions on energy efficient government buildings, partially offset by a $1.5 million reduction in certain tax credits, including the prior year WOTC for new hires.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April 30, 2019, we recognized as a component of our comprehensive income a loss of $3.5 million related to our interest rate swaps, compared with a gain of $4.6 million during the three months ended April 30, 2018, primarily due to underlying changes in the fair value of the interest rate swaps. Additionally, during the current period we amortized $1.0 million, net of taxes of $0.4 million, of the gain we realized in 2018 from the termination of our prior interest rate swaps.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Foreign currency translation loss decreased by $3.6 million during the three months ended April 30, 2019, as compared to the three months ended April 30, 2018, due to the greater relative strengthening of the U.S. Dollar (“USD”) against the Great Britain Pound (“GBP”) during the three months ended April 30, 2018. Future gains and losses on foreign currency translation will be dependent upon changes in the relative value of foreign currencies to the USD and the extent of our foreign assets and liabilities.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2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00" w:type="dxa"/>
            <w:vAlign w:val="bottom"/>
            <w:shd w:val="clear" w:color="auto" w:fill="DCE2EF"/>
          </w:tcPr>
          <w:p>
            <w:pPr>
              <w:spacing w:after="0"/>
              <w:rPr>
                <w:sz w:val="22"/>
                <w:szCs w:val="22"/>
                <w:color w:val="auto"/>
              </w:rPr>
            </w:pPr>
          </w:p>
        </w:tc>
        <w:tc>
          <w:tcPr>
            <w:tcW w:w="13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4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13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753.4</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755.1</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0"/>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249.2</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0.8</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0.3%</w:t>
            </w:r>
          </w:p>
        </w:tc>
        <w:tc>
          <w:tcPr>
            <w:tcW w:w="0" w:type="dxa"/>
            <w:vAlign w:val="bottom"/>
          </w:tcPr>
          <w:p>
            <w:pPr>
              <w:spacing w:after="0"/>
              <w:rPr>
                <w:sz w:val="1"/>
                <w:szCs w:val="1"/>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00" w:type="dxa"/>
            <w:vAlign w:val="bottom"/>
          </w:tcPr>
          <w:p>
            <w:pPr>
              <w:spacing w:after="0"/>
              <w:rPr>
                <w:sz w:val="22"/>
                <w:szCs w:val="22"/>
                <w:color w:val="auto"/>
              </w:rPr>
            </w:pP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227.8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0"/>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206.9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60"/>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00" w:type="dxa"/>
            <w:vAlign w:val="bottom"/>
          </w:tcPr>
          <w:p>
            <w:pPr>
              <w:spacing w:after="0"/>
              <w:rPr>
                <w:sz w:val="22"/>
                <w:szCs w:val="22"/>
                <w:color w:val="auto"/>
              </w:rPr>
            </w:pP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19.1</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80"/>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(3.6)</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Elimination of inter-segment revenues</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DCE2E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w:t>
            </w:r>
          </w:p>
        </w:tc>
        <w:tc>
          <w:tcPr>
            <w:tcW w:w="136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DCE2EF"/>
            </w:tcBorders>
            <w:shd w:val="clear" w:color="auto" w:fill="DCE2EF"/>
          </w:tcPr>
          <w:p>
            <w:pPr>
              <w:spacing w:after="0"/>
              <w:rPr>
                <w:sz w:val="20"/>
                <w:szCs w:val="20"/>
                <w:color w:val="auto"/>
              </w:rPr>
            </w:pPr>
          </w:p>
        </w:tc>
        <w:tc>
          <w:tcPr>
            <w:tcW w:w="4220" w:type="dxa"/>
            <w:vAlign w:val="bottom"/>
            <w:tcBorders>
              <w:bottom w:val="single" w:sz="8" w:color="DCE2EF"/>
            </w:tcBorders>
            <w:shd w:val="clear" w:color="auto" w:fill="DCE2EF"/>
          </w:tcPr>
          <w:p>
            <w:pPr>
              <w:spacing w:after="0"/>
              <w:rPr>
                <w:sz w:val="20"/>
                <w:szCs w:val="20"/>
                <w:color w:val="auto"/>
              </w:rPr>
            </w:pPr>
          </w:p>
        </w:tc>
        <w:tc>
          <w:tcPr>
            <w:tcW w:w="400" w:type="dxa"/>
            <w:vAlign w:val="bottom"/>
            <w:tcBorders>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1,594.7</w:t>
            </w:r>
          </w:p>
        </w:tc>
        <w:tc>
          <w:tcPr>
            <w:tcW w:w="1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auto"/>
            </w:tcBorders>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1,580.8</w:t>
            </w:r>
          </w:p>
        </w:tc>
        <w:tc>
          <w:tcPr>
            <w:tcW w:w="12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13.9</w:t>
            </w:r>
          </w:p>
        </w:tc>
        <w:tc>
          <w:tcPr>
            <w:tcW w:w="136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w w:val="98"/>
              </w:rPr>
              <w:t>0.9%</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8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4.2</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9.8%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58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(15)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3.2</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8.5%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151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(8)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9.5</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7.5</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2.0</w:t>
            </w:r>
          </w:p>
        </w:tc>
        <w:tc>
          <w:tcPr>
            <w:tcW w:w="136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51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3.9%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4"/>
                <w:szCs w:val="14"/>
                <w:i w:val="1"/>
                <w:iCs w:val="1"/>
                <w:color w:val="auto"/>
              </w:rPr>
              <w:t>11 bps</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400" w:type="dxa"/>
            <w:vAlign w:val="bottom"/>
            <w:shd w:val="clear" w:color="auto" w:fill="DCE2EF"/>
          </w:tcPr>
          <w:p>
            <w:pPr>
              <w:spacing w:after="0"/>
              <w:rPr>
                <w:sz w:val="24"/>
                <w:szCs w:val="24"/>
                <w:color w:val="auto"/>
              </w:rPr>
            </w:pPr>
          </w:p>
        </w:tc>
        <w:tc>
          <w:tcPr>
            <w:tcW w:w="136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136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8"/>
        </w:trPr>
        <w:tc>
          <w:tcPr>
            <w:tcW w:w="508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included in</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040" w:type="dxa"/>
            <w:vAlign w:val="bottom"/>
            <w:gridSpan w:val="2"/>
          </w:tcPr>
          <w:p>
            <w:pPr>
              <w:ind w:left="160"/>
              <w:spacing w:after="0"/>
              <w:rPr>
                <w:sz w:val="20"/>
                <w:szCs w:val="20"/>
                <w:color w:val="auto"/>
              </w:rPr>
            </w:pPr>
            <w:r>
              <w:rPr>
                <w:rFonts w:ascii="Arial" w:cs="Arial" w:eastAsia="Arial" w:hAnsi="Arial"/>
                <w:sz w:val="16"/>
                <w:szCs w:val="16"/>
                <w:color w:val="auto"/>
              </w:rPr>
              <w:t>Aviation</w:t>
            </w:r>
          </w:p>
        </w:tc>
        <w:tc>
          <w:tcPr>
            <w:tcW w:w="400" w:type="dxa"/>
            <w:vAlign w:val="bottom"/>
          </w:tcPr>
          <w:p>
            <w:pPr>
              <w:spacing w:after="0"/>
              <w:rPr>
                <w:sz w:val="17"/>
                <w:szCs w:val="17"/>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28"/>
        </w:trPr>
        <w:tc>
          <w:tcPr>
            <w:tcW w:w="50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40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42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00" w:type="dxa"/>
            <w:vAlign w:val="bottom"/>
            <w:shd w:val="clear" w:color="auto" w:fill="DCE2EF"/>
          </w:tcPr>
          <w:p>
            <w:pPr>
              <w:spacing w:after="0"/>
              <w:rPr>
                <w:sz w:val="19"/>
                <w:szCs w:val="19"/>
                <w:color w:val="auto"/>
              </w:rPr>
            </w:pPr>
          </w:p>
        </w:tc>
        <w:tc>
          <w:tcPr>
            <w:tcW w:w="940" w:type="dxa"/>
            <w:vAlign w:val="bottom"/>
            <w:shd w:val="clear" w:color="auto" w:fill="DCE2EF"/>
          </w:tcPr>
          <w:p>
            <w:pPr>
              <w:spacing w:after="0"/>
              <w:rPr>
                <w:sz w:val="19"/>
                <w:szCs w:val="19"/>
                <w:color w:val="auto"/>
              </w:rPr>
            </w:pPr>
          </w:p>
        </w:tc>
        <w:tc>
          <w:tcPr>
            <w:tcW w:w="13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DCE2EF"/>
          </w:tcPr>
          <w:p>
            <w:pPr>
              <w:spacing w:after="0"/>
              <w:rPr>
                <w:sz w:val="18"/>
                <w:szCs w:val="18"/>
                <w:color w:val="auto"/>
              </w:rPr>
            </w:pPr>
          </w:p>
        </w:tc>
        <w:tc>
          <w:tcPr>
            <w:tcW w:w="504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400" w:type="dxa"/>
            <w:vAlign w:val="bottom"/>
            <w:shd w:val="clear" w:color="auto" w:fill="DCE2EF"/>
          </w:tcPr>
          <w:p>
            <w:pPr>
              <w:spacing w:after="0"/>
              <w:rPr>
                <w:sz w:val="18"/>
                <w:szCs w:val="18"/>
                <w:color w:val="auto"/>
              </w:rPr>
            </w:pPr>
          </w:p>
        </w:tc>
        <w:tc>
          <w:tcPr>
            <w:tcW w:w="1460" w:type="dxa"/>
            <w:vAlign w:val="bottom"/>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shd w:val="clear" w:color="auto" w:fill="DCE2EF"/>
          </w:tcPr>
          <w:p>
            <w:pPr>
              <w:spacing w:after="0"/>
              <w:rPr>
                <w:sz w:val="18"/>
                <w:szCs w:val="18"/>
                <w:color w:val="auto"/>
              </w:rPr>
            </w:pPr>
          </w:p>
        </w:tc>
        <w:tc>
          <w:tcPr>
            <w:tcW w:w="13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DCE2EF"/>
          </w:tcPr>
          <w:p>
            <w:pPr>
              <w:spacing w:after="0"/>
              <w:rPr>
                <w:sz w:val="18"/>
                <w:szCs w:val="18"/>
                <w:color w:val="auto"/>
              </w:rPr>
            </w:pPr>
          </w:p>
        </w:tc>
        <w:tc>
          <w:tcPr>
            <w:tcW w:w="300" w:type="dxa"/>
            <w:vAlign w:val="bottom"/>
            <w:shd w:val="clear" w:color="auto" w:fill="DCE2EF"/>
          </w:tcPr>
          <w:p>
            <w:pPr>
              <w:spacing w:after="0"/>
              <w:rPr>
                <w:sz w:val="18"/>
                <w:szCs w:val="18"/>
                <w:color w:val="auto"/>
              </w:rPr>
            </w:pPr>
          </w:p>
        </w:tc>
        <w:tc>
          <w:tcPr>
            <w:tcW w:w="9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2.0</w:t>
            </w:r>
          </w:p>
        </w:tc>
        <w:tc>
          <w:tcPr>
            <w:tcW w:w="136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*Not meaningful</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753.4</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755.1</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(0.2)%</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4.2</w:t>
            </w: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9.8%</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6.3%</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5.8%</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58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B&amp;I revenues decreased by $1.7 million, or 0.2%, during the three months ended April 30, 2019, as compared to the three months ended April 30, 2018. The decrease was primarily attributable to the loss of certain accounts in our U.S. business and a negative impact from fluctuations in foreign currency exchange rates related to our U.K. business, partially offset by the targeted expansion of certain key clients within our U.S. business. Management reimbursement revenues for this segment totaled $64.2 million and $63.5 million for the three months ended April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0" w:right="239" w:bottom="1440" w:gutter="0" w:footer="0" w:header="0"/>
        </w:sectPr>
      </w:pPr>
    </w:p>
    <w:bookmarkStart w:id="38" w:name="page39"/>
    <w:bookmarkEnd w:id="38"/>
    <w:p>
      <w:pPr>
        <w:jc w:val="both"/>
        <w:ind w:firstLine="648"/>
        <w:spacing w:after="0" w:line="252" w:lineRule="auto"/>
        <w:rPr>
          <w:sz w:val="20"/>
          <w:szCs w:val="20"/>
          <w:color w:val="auto"/>
        </w:rPr>
      </w:pPr>
      <w:r>
        <w:rPr>
          <w:rFonts w:ascii="Arial" w:cs="Arial" w:eastAsia="Arial" w:hAnsi="Arial"/>
          <w:sz w:val="18"/>
          <w:szCs w:val="18"/>
          <w:color w:val="auto"/>
        </w:rPr>
        <w:t>Operating profit increased by $4.2 million, or 9.8%, during the three months ended April 30, 2019, as compared to the three months ended April 30, 2018. Operating profit margin increased by 58 bps to 6.3% in the three months ended April 30, 2019 from 5.8% in the three months ended April 30, 2018. The increase in operating profit margin was primarily associated with the loss of certain lower margin accounts, a decrease in unemployment taxes in certain states, and higher margins on certain accounts in our U.S. business. This increase was partially offset by the absence of a positive non-recurring adjustment related to a client account that occurred in the prior year and lower margins on certain accounts in our U.K. business. While labor challenges are present in certain areas of our B&amp;I business, it is our most mature business and has the highest proportion of unionized labor.</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8"/>
                <w:szCs w:val="18"/>
                <w:color w:val="auto"/>
              </w:rPr>
              <w:t>0.8</w:t>
            </w:r>
          </w:p>
        </w:tc>
        <w:tc>
          <w:tcPr>
            <w:tcW w:w="156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0.3%</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(0.3)</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(6.8)%</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1.9%</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2.0%</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(15)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Aviation revenues increased by $0.8 million, or 0.3%, during the three months ended April 30, 2019, as compared to the three months ended April 30, 2018. The increase was primarily attributable to organic growth in catering logistics and janitorial accounts, partially offset by the loss of certain passenger services and facility services accounts and a negative impact from fluctuations in foreign currency exchange rates related to our U.K. business. Revenues were also impacted by a reclassification of $11.7 million of rent expense related to service concession arrangements due to the adoption of Topic 853. This expense is now recorded as a reduction of revenues, but had previously been recorded as an operating expense. Management reimbursement revenues for this segment totaled $23.5 million and $27.6 million for the three months ended April 30, 2019 and 2018, respectively.</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$0.3 million, or 6.8%, during the three months ended April 30, 2019, as compared to the three months ended April 30, 2018. Operating profit margin decreased by 15 bps to 1.9% in the three months ended April 30, 2019 from 2.0% in the three months ended April 30, 2018. The decrease in operating profit margin was primarily attributable to operational issues on certain accounts and higher labor costs, but was partially offset by higher margins on certain new contracts.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94"/>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DCE2EF"/>
          </w:tcPr>
          <w:p>
            <w:pPr>
              <w:spacing w:after="0"/>
              <w:rPr>
                <w:sz w:val="22"/>
                <w:szCs w:val="22"/>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(3.5)</w:t>
            </w:r>
          </w:p>
        </w:tc>
        <w:tc>
          <w:tcPr>
            <w:tcW w:w="158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(1.5)%</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3.2</w:t>
            </w: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19.5%</w:t>
            </w:r>
          </w:p>
        </w:tc>
      </w:tr>
      <w:tr>
        <w:trPr>
          <w:trHeight w:val="277"/>
        </w:trPr>
        <w:tc>
          <w:tcPr>
            <w:tcW w:w="2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8.5%</w:t>
            </w:r>
          </w:p>
        </w:tc>
        <w:tc>
          <w:tcPr>
            <w:tcW w:w="12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7.0%</w:t>
            </w:r>
          </w:p>
        </w:tc>
        <w:tc>
          <w:tcPr>
            <w:tcW w:w="100" w:type="dxa"/>
            <w:vAlign w:val="bottom"/>
            <w:shd w:val="clear" w:color="auto" w:fill="DCE2EF"/>
          </w:tcPr>
          <w:p>
            <w:pPr>
              <w:spacing w:after="0"/>
              <w:rPr>
                <w:sz w:val="24"/>
                <w:szCs w:val="24"/>
                <w:color w:val="auto"/>
              </w:rPr>
            </w:pPr>
          </w:p>
        </w:tc>
        <w:tc>
          <w:tcPr>
            <w:tcW w:w="54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151 bps</w:t>
            </w:r>
          </w:p>
        </w:tc>
        <w:tc>
          <w:tcPr>
            <w:tcW w:w="158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T&amp;M revenues decreased by $3.5 million, or 1.5%, during the three months ended April 30, 2019, as compared to the three months ended April 30, 2018. The decrease was primarily related to the loss of certain accounts, partially offset by new business.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$3.2 million, or 19.5%, during the three months ended April 30, 2019, as compared to the three months ended April 30, 2018. Operating profit margin increased by 151 bps to 8.5% in the three months ended April 30, 2019 from 7.0% in the three months ended April 30, 2018. The increase in operating profit margin was primarily attributable to improved margins on certain accounts and the loss of a low margin account in the prior year.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4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Education</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40" w:type="dxa"/>
            <w:vAlign w:val="bottom"/>
          </w:tcPr>
          <w:p>
            <w:pPr>
              <w:jc w:val="right"/>
              <w:ind w:right="74"/>
              <w:spacing w:after="0"/>
              <w:rPr>
                <w:sz w:val="20"/>
                <w:szCs w:val="20"/>
                <w:color w:val="auto"/>
              </w:rPr>
            </w:pPr>
            <w:r>
              <w:rPr>
                <w:rFonts w:ascii="Arial" w:cs="Arial" w:eastAsia="Arial" w:hAnsi="Arial"/>
                <w:sz w:val="18"/>
                <w:szCs w:val="18"/>
                <w:b w:val="1"/>
                <w:bCs w:val="1"/>
                <w:color w:val="auto"/>
              </w:rPr>
              <w:t>Decrease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DCE2EF"/>
          </w:tcPr>
          <w:p>
            <w:pPr>
              <w:spacing w:after="0"/>
              <w:rPr>
                <w:sz w:val="22"/>
                <w:szCs w:val="22"/>
                <w:color w:val="auto"/>
              </w:rPr>
            </w:pPr>
          </w:p>
        </w:tc>
        <w:tc>
          <w:tcPr>
            <w:tcW w:w="700" w:type="dxa"/>
            <w:vAlign w:val="bottom"/>
            <w:shd w:val="clear" w:color="auto" w:fill="DCE2EF"/>
          </w:tcPr>
          <w:p>
            <w:pPr>
              <w:jc w:val="right"/>
              <w:ind w:right="4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DCE2EF"/>
          </w:tcPr>
          <w:p>
            <w:pPr>
              <w:jc w:val="right"/>
              <w:ind w:right="574"/>
              <w:spacing w:after="0"/>
              <w:rPr>
                <w:sz w:val="20"/>
                <w:szCs w:val="20"/>
                <w:color w:val="auto"/>
              </w:rPr>
            </w:pPr>
            <w:r>
              <w:rPr>
                <w:rFonts w:ascii="Arial" w:cs="Arial" w:eastAsia="Arial" w:hAnsi="Arial"/>
                <w:sz w:val="18"/>
                <w:szCs w:val="18"/>
                <w:color w:val="auto"/>
              </w:rPr>
              <w:t>(1.3)</w:t>
            </w:r>
          </w:p>
        </w:tc>
        <w:tc>
          <w:tcPr>
            <w:tcW w:w="130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(0.6)%</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tcPr>
          <w:p>
            <w:pPr>
              <w:jc w:val="right"/>
              <w:ind w:right="574"/>
              <w:spacing w:after="0"/>
              <w:rPr>
                <w:sz w:val="20"/>
                <w:szCs w:val="20"/>
                <w:color w:val="auto"/>
              </w:rPr>
            </w:pPr>
            <w:r>
              <w:rPr>
                <w:rFonts w:ascii="Arial" w:cs="Arial" w:eastAsia="Arial" w:hAnsi="Arial"/>
                <w:sz w:val="18"/>
                <w:szCs w:val="18"/>
                <w:color w:val="auto"/>
              </w:rPr>
              <w:t>(0.2)</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(2.2)%</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740" w:type="dxa"/>
            <w:vAlign w:val="bottom"/>
            <w:shd w:val="clear" w:color="auto" w:fill="DCE2EF"/>
          </w:tcPr>
          <w:p>
            <w:pPr>
              <w:jc w:val="right"/>
              <w:ind w:right="634"/>
              <w:spacing w:after="0"/>
              <w:rPr>
                <w:sz w:val="20"/>
                <w:szCs w:val="20"/>
                <w:color w:val="auto"/>
              </w:rPr>
            </w:pPr>
            <w:r>
              <w:rPr>
                <w:rFonts w:ascii="Arial" w:cs="Arial" w:eastAsia="Arial" w:hAnsi="Arial"/>
                <w:sz w:val="14"/>
                <w:szCs w:val="14"/>
                <w:i w:val="1"/>
                <w:iCs w:val="1"/>
                <w:color w:val="auto"/>
              </w:rPr>
              <w:t>(8) bps</w:t>
            </w:r>
          </w:p>
        </w:tc>
        <w:tc>
          <w:tcPr>
            <w:tcW w:w="130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Education revenues decreased by $1.3 million, or 0.6%, during the three months ended April 30, 2019, as compared to the three months ended April 30, 2018. The decrease was attributable to the loss of certain accounts that primarily occurred in the prior year.</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$0.2 million, or 2.2%, during the three months ended April 30, 2019, as compared to the three months ended April 30, 2018. Operating profit margin decreased slightly by 8 bps to 5.0% in the three months ended April 30, 2019 from 5.1% in the three months ended April 30, 2018. The decrease in operating profit margin was primarily attributable to the loss of certain higher margin accounts and an increase in wages and related personnel costs, partially offset by the timing of certain synergies and lower reserves established for client receivables, including collections of previously written off receivables.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DCE2EF"/>
          </w:tcPr>
          <w:p>
            <w:pPr>
              <w:spacing w:after="0"/>
              <w:rPr>
                <w:sz w:val="22"/>
                <w:szCs w:val="22"/>
                <w:color w:val="auto"/>
              </w:rPr>
            </w:pPr>
          </w:p>
        </w:tc>
        <w:tc>
          <w:tcPr>
            <w:tcW w:w="7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8"/>
                <w:szCs w:val="18"/>
                <w:color w:val="auto"/>
              </w:rPr>
              <w:t>19.1</w:t>
            </w:r>
          </w:p>
        </w:tc>
        <w:tc>
          <w:tcPr>
            <w:tcW w:w="132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17.6%</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2.0</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26.2%</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7.0%</w:t>
            </w:r>
          </w:p>
        </w:tc>
        <w:tc>
          <w:tcPr>
            <w:tcW w:w="10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51 bps</w:t>
            </w:r>
          </w:p>
        </w:tc>
        <w:tc>
          <w:tcPr>
            <w:tcW w:w="132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Technical Solutions revenues increased by $19.1 million, or 17.6%, during the three months ended April 30, 2019, as compared to the three months ended April 30, 2018. This increase was primarily attributable to growth in our U.S. business related to bundled energy solutions projects and power projects, partially offset by the contraction of certain accounts in our U.K. business and a negative impact from fluctuations in foreign currency exchange rates related to our U.K. business.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$2.0 million, or 26.2%, during the three months ended April 30, 2019, as compared to the three months ended April 30, 2018. Operating profit margin increased by 51 bps to 7.5% in the three months ended April 30, 2019 from 7.0% in the three months ended April 30, 2018. The increase in operating profit margin was primarily attributable to the contribution of higher project revenues, lower amortization expense following the impairment recognized at the end of 2018, and lower sales commissions expense in the current year due to the deferral of commissions following the adoption of Topic 606. The increase was partially offset by the absence of tax deductions for energy efficient government buildings that were taken in the prior year, lower margins on certain projects in our U.S. business, and the loss of certain higher margin contracts in our U.K. business.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(3.6)</w:t>
            </w:r>
          </w:p>
        </w:tc>
        <w:tc>
          <w:tcPr>
            <w:tcW w:w="15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(5.1)%</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(0.1)</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(2.3)%</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3.9%</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11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Healthcare revenues decreased by $3.6 million, or 5.1%, during the three months ended April 30, 2019, as compared to the three months ended April 30, 2018. This decrease was primarily attributable to the loss of certain accounts that primarily occurred in the prior year, partially offset by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slightly by $0.1 million, or 2.3%, during the three months ended April 30, 2019, as compared to the three months ended April 30, 2018. Operating profit margin increased by 11 bps to 3.9% in the three months ended April 30, 2019 from 3.8% in the three months ended April 30, 2018. This increase was primarily attributable to a decrease in selling, general and administrative expenses and lower reserves established for client receivables, partially offset by the loss of certain higher margin contracts.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9"/>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7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DCE2EF"/>
          </w:tcPr>
          <w:p>
            <w:pPr>
              <w:spacing w:after="0"/>
              <w:rPr>
                <w:sz w:val="22"/>
                <w:szCs w:val="22"/>
                <w:color w:val="auto"/>
              </w:rPr>
            </w:pPr>
          </w:p>
        </w:tc>
        <w:tc>
          <w:tcPr>
            <w:tcW w:w="800" w:type="dxa"/>
            <w:vAlign w:val="bottom"/>
            <w:shd w:val="clear" w:color="auto" w:fill="DCE2EF"/>
          </w:tcPr>
          <w:p>
            <w:pPr>
              <w:jc w:val="right"/>
              <w:ind w:right="5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rPr>
              <w:t>1.8</w:t>
            </w:r>
          </w:p>
        </w:tc>
        <w:tc>
          <w:tcPr>
            <w:tcW w:w="130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4.7%</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$1.8 million, or 4.7%, during the three months ended April 30, 2019, as compared to the three months ended April 30, 2018. The increase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$6.0 million increase in technology investments and related support;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absence of a $2.8 million benefit resulting from actuarial evaluations performed on our medical and dental self-insurance plans in the three months ended April 30,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Offsetting this increase was:</w:t>
      </w:r>
    </w:p>
    <w:p>
      <w:pPr>
        <w:spacing w:after="0" w:line="171" w:lineRule="exact"/>
        <w:rPr>
          <w:sz w:val="20"/>
          <w:szCs w:val="20"/>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$2.6 million decrease in restructuring and related expenses as a result of restructuring expenses incurred in the prior year following the acquisition of GCA, partially offset by other restructuring expenses incurred in the current year;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$2.5 million decrease in legal settlement costs;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$2.0 million adjustment to self-insurance reserves related to prior year claims recorded in the three months ended April 30,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7" w:right="239"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Six Months Ended April 30, 2019 Compared with the Six Months Ended April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Six Months Ended April 30,</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8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3,202.6</w:t>
            </w:r>
          </w:p>
        </w:tc>
        <w:tc>
          <w:tcPr>
            <w:tcW w:w="100" w:type="dxa"/>
            <w:vAlign w:val="bottom"/>
            <w:shd w:val="clear" w:color="auto" w:fill="DCE2EF"/>
          </w:tcPr>
          <w:p>
            <w:pPr>
              <w:spacing w:after="0"/>
              <w:rPr>
                <w:sz w:val="22"/>
                <w:szCs w:val="22"/>
                <w:color w:val="auto"/>
              </w:rPr>
            </w:pPr>
          </w:p>
        </w:tc>
        <w:tc>
          <w:tcPr>
            <w:tcW w:w="36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3,169.2</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33.4</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1.1%</w:t>
            </w:r>
          </w:p>
        </w:tc>
      </w:tr>
      <w:tr>
        <w:trPr>
          <w:trHeight w:val="260"/>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2,860.2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2,835.1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0.9%</w:t>
            </w:r>
          </w:p>
        </w:tc>
      </w:tr>
      <w:tr>
        <w:trPr>
          <w:trHeight w:val="280"/>
        </w:trPr>
        <w:tc>
          <w:tcPr>
            <w:tcW w:w="40" w:type="dxa"/>
            <w:vAlign w:val="bottom"/>
            <w:shd w:val="clear" w:color="auto" w:fill="DCE2EF"/>
          </w:tcPr>
          <w:p>
            <w:pPr>
              <w:spacing w:after="0"/>
              <w:rPr>
                <w:sz w:val="24"/>
                <w:szCs w:val="24"/>
                <w:color w:val="auto"/>
              </w:rPr>
            </w:pPr>
          </w:p>
        </w:tc>
        <w:tc>
          <w:tcPr>
            <w:tcW w:w="562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10.7%</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15 bps</w:t>
            </w:r>
          </w:p>
        </w:tc>
        <w:tc>
          <w:tcPr>
            <w:tcW w:w="1240" w:type="dxa"/>
            <w:vAlign w:val="bottom"/>
            <w:shd w:val="clear" w:color="auto" w:fill="DCE2EF"/>
          </w:tcPr>
          <w:p>
            <w:pPr>
              <w:spacing w:after="0"/>
              <w:rPr>
                <w:sz w:val="24"/>
                <w:szCs w:val="24"/>
                <w:color w:val="auto"/>
              </w:rPr>
            </w:pPr>
          </w:p>
        </w:tc>
      </w:tr>
      <w:tr>
        <w:trPr>
          <w:trHeight w:val="260"/>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2.0%</w:t>
            </w:r>
          </w:p>
        </w:tc>
      </w:tr>
      <w:tr>
        <w:trPr>
          <w:trHeight w:val="280"/>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(13.1)</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(66.8)%</w:t>
            </w:r>
          </w:p>
        </w:tc>
      </w:tr>
      <w:tr>
        <w:trPr>
          <w:trHeight w:val="264"/>
        </w:trPr>
        <w:tc>
          <w:tcPr>
            <w:tcW w:w="566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4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(8.7)%</w:t>
            </w:r>
          </w:p>
        </w:tc>
      </w:tr>
      <w:tr>
        <w:trPr>
          <w:trHeight w:val="257"/>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w:t>
            </w:r>
          </w:p>
        </w:tc>
        <w:tc>
          <w:tcPr>
            <w:tcW w:w="36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DCE2EF"/>
          </w:tcPr>
          <w:p>
            <w:pPr>
              <w:spacing w:after="0"/>
              <w:rPr>
                <w:sz w:val="22"/>
                <w:szCs w:val="22"/>
                <w:color w:val="auto"/>
              </w:rPr>
            </w:pPr>
          </w:p>
        </w:tc>
        <w:tc>
          <w:tcPr>
            <w:tcW w:w="36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20.0</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30.9%</w:t>
            </w:r>
          </w:p>
        </w:tc>
      </w:tr>
      <w:tr>
        <w:trPr>
          <w:trHeight w:val="260"/>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9.6%</w:t>
            </w:r>
          </w:p>
        </w:tc>
      </w:tr>
      <w:tr>
        <w:trPr>
          <w:trHeight w:val="273"/>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DCE2EF"/>
          </w:tcPr>
          <w:p>
            <w:pPr>
              <w:spacing w:after="0"/>
              <w:rPr>
                <w:sz w:val="23"/>
                <w:szCs w:val="23"/>
                <w:color w:val="auto"/>
              </w:rPr>
            </w:pPr>
          </w:p>
        </w:tc>
        <w:tc>
          <w:tcPr>
            <w:tcW w:w="12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DCE2EF"/>
          </w:tcPr>
          <w:p>
            <w:pPr>
              <w:spacing w:after="0"/>
              <w:rPr>
                <w:sz w:val="23"/>
                <w:szCs w:val="23"/>
                <w:color w:val="auto"/>
              </w:rPr>
            </w:pPr>
          </w:p>
        </w:tc>
        <w:tc>
          <w:tcPr>
            <w:tcW w:w="260" w:type="dxa"/>
            <w:vAlign w:val="bottom"/>
            <w:tcBorders>
              <w:bottom w:val="single" w:sz="8" w:color="auto"/>
            </w:tcBorders>
            <w:shd w:val="clear" w:color="auto" w:fill="DCE2EF"/>
          </w:tcPr>
          <w:p>
            <w:pPr>
              <w:spacing w:after="0"/>
              <w:rPr>
                <w:sz w:val="23"/>
                <w:szCs w:val="23"/>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12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(6.5)%</w:t>
            </w:r>
          </w:p>
        </w:tc>
      </w:tr>
      <w:tr>
        <w:trPr>
          <w:trHeight w:val="247"/>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57.6%</w:t>
            </w:r>
          </w:p>
        </w:tc>
      </w:tr>
      <w:tr>
        <w:trPr>
          <w:trHeight w:val="273"/>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(provision) benefit</w:t>
            </w:r>
          </w:p>
        </w:tc>
        <w:tc>
          <w:tcPr>
            <w:tcW w:w="360" w:type="dxa"/>
            <w:vAlign w:val="bottom"/>
            <w:tcBorders>
              <w:bottom w:val="single" w:sz="8" w:color="auto"/>
            </w:tcBorders>
            <w:shd w:val="clear" w:color="auto" w:fill="DCE2EF"/>
          </w:tcPr>
          <w:p>
            <w:pPr>
              <w:spacing w:after="0"/>
              <w:rPr>
                <w:sz w:val="23"/>
                <w:szCs w:val="23"/>
                <w:color w:val="auto"/>
              </w:rPr>
            </w:pPr>
          </w:p>
        </w:tc>
        <w:tc>
          <w:tcPr>
            <w:tcW w:w="12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DCE2EF"/>
          </w:tcPr>
          <w:p>
            <w:pPr>
              <w:spacing w:after="0"/>
              <w:rPr>
                <w:sz w:val="23"/>
                <w:szCs w:val="23"/>
                <w:color w:val="auto"/>
              </w:rPr>
            </w:pPr>
          </w:p>
        </w:tc>
        <w:tc>
          <w:tcPr>
            <w:tcW w:w="260" w:type="dxa"/>
            <w:vAlign w:val="bottom"/>
            <w:tcBorders>
              <w:bottom w:val="single" w:sz="8" w:color="auto"/>
            </w:tcBorders>
            <w:shd w:val="clear" w:color="auto" w:fill="DCE2EF"/>
          </w:tcPr>
          <w:p>
            <w:pPr>
              <w:spacing w:after="0"/>
              <w:rPr>
                <w:sz w:val="23"/>
                <w:szCs w:val="23"/>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(32.4)</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47"/>
        </w:trPr>
        <w:tc>
          <w:tcPr>
            <w:tcW w:w="56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36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(19.5)%</w:t>
            </w:r>
          </w:p>
        </w:tc>
      </w:tr>
      <w:tr>
        <w:trPr>
          <w:trHeight w:val="280"/>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(Loss) income from discontinued operations, net of taxes</w:t>
            </w:r>
          </w:p>
        </w:tc>
        <w:tc>
          <w:tcPr>
            <w:tcW w:w="360" w:type="dxa"/>
            <w:vAlign w:val="bottom"/>
            <w:tcBorders>
              <w:bottom w:val="single" w:sz="8" w:color="auto"/>
            </w:tcBorders>
            <w:shd w:val="clear" w:color="auto" w:fill="DCE2EF"/>
          </w:tcPr>
          <w:p>
            <w:pPr>
              <w:spacing w:after="0"/>
              <w:rPr>
                <w:sz w:val="24"/>
                <w:szCs w:val="24"/>
                <w:color w:val="auto"/>
              </w:rPr>
            </w:pPr>
          </w:p>
        </w:tc>
        <w:tc>
          <w:tcPr>
            <w:tcW w:w="12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CE2EF"/>
          </w:tcPr>
          <w:p>
            <w:pPr>
              <w:spacing w:after="0"/>
              <w:rPr>
                <w:sz w:val="24"/>
                <w:szCs w:val="24"/>
                <w:color w:val="auto"/>
              </w:rPr>
            </w:pPr>
          </w:p>
        </w:tc>
        <w:tc>
          <w:tcPr>
            <w:tcW w:w="360" w:type="dxa"/>
            <w:vAlign w:val="bottom"/>
            <w:tcBorders>
              <w:bottom w:val="single" w:sz="8" w:color="auto"/>
            </w:tcBorders>
            <w:shd w:val="clear" w:color="auto" w:fill="DCE2EF"/>
          </w:tcPr>
          <w:p>
            <w:pPr>
              <w:spacing w:after="0"/>
              <w:rPr>
                <w:sz w:val="24"/>
                <w:szCs w:val="24"/>
                <w:color w:val="auto"/>
              </w:rPr>
            </w:pPr>
          </w:p>
        </w:tc>
        <w:tc>
          <w:tcPr>
            <w:tcW w:w="11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24"/>
                <w:szCs w:val="24"/>
                <w:color w:val="auto"/>
              </w:rPr>
            </w:pPr>
          </w:p>
        </w:tc>
        <w:tc>
          <w:tcPr>
            <w:tcW w:w="260" w:type="dxa"/>
            <w:vAlign w:val="bottom"/>
            <w:tcBorders>
              <w:bottom w:val="single" w:sz="8" w:color="auto"/>
            </w:tcBorders>
            <w:shd w:val="clear" w:color="auto" w:fill="DCE2EF"/>
          </w:tcPr>
          <w:p>
            <w:pPr>
              <w:spacing w:after="0"/>
              <w:rPr>
                <w:sz w:val="24"/>
                <w:szCs w:val="24"/>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44"/>
        </w:trPr>
        <w:tc>
          <w:tcPr>
            <w:tcW w:w="566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DCE2E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DCE2E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40" w:type="dxa"/>
            <w:vAlign w:val="bottom"/>
            <w:tcBorders>
              <w:bottom w:val="single" w:sz="8" w:color="DCE2EF"/>
            </w:tcBorders>
          </w:tcPr>
          <w:p>
            <w:pPr>
              <w:jc w:val="center"/>
              <w:ind w:left="19"/>
              <w:spacing w:after="0"/>
              <w:rPr>
                <w:sz w:val="20"/>
                <w:szCs w:val="20"/>
                <w:color w:val="auto"/>
              </w:rPr>
            </w:pPr>
            <w:r>
              <w:rPr>
                <w:rFonts w:ascii="Arial" w:cs="Arial" w:eastAsia="Arial" w:hAnsi="Arial"/>
                <w:sz w:val="16"/>
                <w:szCs w:val="16"/>
                <w:color w:val="auto"/>
              </w:rPr>
              <w:t>(21.6)%</w:t>
            </w:r>
          </w:p>
        </w:tc>
      </w:tr>
      <w:tr>
        <w:trPr>
          <w:trHeight w:val="270"/>
        </w:trPr>
        <w:tc>
          <w:tcPr>
            <w:tcW w:w="56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shd w:val="clear" w:color="auto" w:fill="DCE2EF"/>
          </w:tcPr>
          <w:p>
            <w:pPr>
              <w:spacing w:after="0"/>
              <w:rPr>
                <w:sz w:val="23"/>
                <w:szCs w:val="23"/>
                <w:color w:val="auto"/>
              </w:rPr>
            </w:pPr>
          </w:p>
        </w:tc>
        <w:tc>
          <w:tcPr>
            <w:tcW w:w="128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60" w:type="dxa"/>
            <w:vAlign w:val="bottom"/>
            <w:shd w:val="clear" w:color="auto" w:fill="DCE2EF"/>
          </w:tcPr>
          <w:p>
            <w:pPr>
              <w:spacing w:after="0"/>
              <w:rPr>
                <w:sz w:val="23"/>
                <w:szCs w:val="23"/>
                <w:color w:val="auto"/>
              </w:rPr>
            </w:pPr>
          </w:p>
        </w:tc>
        <w:tc>
          <w:tcPr>
            <w:tcW w:w="118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88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620" w:type="dxa"/>
            <w:vAlign w:val="bottom"/>
            <w:gridSpan w:val="2"/>
          </w:tcPr>
          <w:p>
            <w:pPr>
              <w:ind w:left="320"/>
              <w:spacing w:after="0"/>
              <w:rPr>
                <w:sz w:val="20"/>
                <w:szCs w:val="20"/>
                <w:color w:val="auto"/>
              </w:rPr>
            </w:pPr>
            <w:r>
              <w:rPr>
                <w:rFonts w:ascii="Arial" w:cs="Arial" w:eastAsia="Arial" w:hAnsi="Arial"/>
                <w:sz w:val="16"/>
                <w:szCs w:val="16"/>
                <w:color w:val="auto"/>
              </w:rPr>
              <w:t>Interest rate swaps</w:t>
            </w:r>
          </w:p>
        </w:tc>
        <w:tc>
          <w:tcPr>
            <w:tcW w:w="3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6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Foreign currency translation</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DCE2EF"/>
          </w:tcPr>
          <w:p>
            <w:pPr>
              <w:spacing w:after="0"/>
              <w:rPr>
                <w:sz w:val="24"/>
                <w:szCs w:val="24"/>
                <w:color w:val="auto"/>
              </w:rPr>
            </w:pPr>
          </w:p>
        </w:tc>
        <w:tc>
          <w:tcPr>
            <w:tcW w:w="36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(56.7)%</w:t>
            </w:r>
          </w:p>
        </w:tc>
      </w:tr>
      <w:tr>
        <w:trPr>
          <w:trHeight w:val="264"/>
        </w:trPr>
        <w:tc>
          <w:tcPr>
            <w:tcW w:w="40" w:type="dxa"/>
            <w:vAlign w:val="bottom"/>
            <w:tcBorders>
              <w:bottom w:val="single" w:sz="8" w:color="DCE2EF"/>
            </w:tcBorders>
          </w:tcPr>
          <w:p>
            <w:pPr>
              <w:spacing w:after="0"/>
              <w:rPr>
                <w:sz w:val="22"/>
                <w:szCs w:val="22"/>
                <w:color w:val="auto"/>
              </w:rPr>
            </w:pPr>
          </w:p>
        </w:tc>
        <w:tc>
          <w:tcPr>
            <w:tcW w:w="562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DCE2E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40"/>
        </w:trPr>
        <w:tc>
          <w:tcPr>
            <w:tcW w:w="566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Borders>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DCE2EF"/>
            </w:tcBorders>
            <w:shd w:val="clear" w:color="auto" w:fill="DCE2EF"/>
          </w:tcPr>
          <w:p>
            <w:pPr>
              <w:spacing w:after="0"/>
              <w:rPr>
                <w:sz w:val="20"/>
                <w:szCs w:val="20"/>
                <w:color w:val="auto"/>
              </w:rPr>
            </w:pPr>
          </w:p>
        </w:tc>
        <w:tc>
          <w:tcPr>
            <w:tcW w:w="360" w:type="dxa"/>
            <w:vAlign w:val="bottom"/>
            <w:tcBorders>
              <w:bottom w:val="single" w:sz="8" w:color="auto"/>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(40.3)</w:t>
            </w:r>
          </w:p>
        </w:tc>
        <w:tc>
          <w:tcPr>
            <w:tcW w:w="1240" w:type="dxa"/>
            <w:vAlign w:val="bottom"/>
            <w:tcBorders>
              <w:bottom w:val="single" w:sz="8" w:color="DCE2EF"/>
            </w:tcBorders>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Revenues increased by $33.4 million, or 1.1%, during the six months ended April 30, 2019, as compared to the six months ended April 30, 2018. The increase in revenues was primarily attributable to organic growth in our U.S. Technical Solutions business and in B&amp;I. This increase was partially offset by a reclassification of $23.6 million of rent expense related to service concession arrangements, primarily within Aviation. This expense was previously recorded as an operating expense but is now recorded as a reduction of revenues, due to the adoption of Topic 853. Additionally, we lost certain accounts in Aviation, our U.K. Technical Solutions business, Healthcare, and Education.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expenses increased by $25.1 million, or 0.9%, during the six months ended April 30, 2019, as compared to the six months ended April 30, 2018. The increase was partially offset by the reclassification of $23.6 million of rent expense related to service concession arrangements to revenue, as noted above. Gross margin increased by 15 bps to 10.7% in the six months ended April 30, 2019 from 10.5% in the six months ended April 30, 2018. The increase in gross margin was primarily associated with improved margins within T&amp;M, B&amp;I, and our U.S. Technical Solutions business.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$4.3 million, or 2.0%, during the six months ended April 30, 2019, as compared to the six months ended April 30, 2018.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$9.7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a $4.3 million reimbursement of previously expensed legal settlement costs received in the prior year;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of a $2.8 million benefit resulting from actuarial evaluations performed on our medical and dental self-insurance plans in the three months ended April 30,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Offsetting this increase was:</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$5.8 million decrease in compensation and related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$5.0 million decrease in legal settlement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Restructuring and related expenses decreased by $13.1 million, or 66.8%, during the six months ended April 30, 2019, as compared to the six months ended April 30, 2018 due to restructuring expenses, primarily severance, incurred in the prior year following the acquisition of GCA, partially offset by other restructuring expenses incurred in the current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six months ended April 30, 2019, we had an income tax provision of $17.3 million, compared with an income tax benefit of $15.1 million during the six months ended April 30, 2018. Our income taxes for the six months ended April 30, 2019 were negatively impacted by a $1.4 million reduction in prior year WOTC and by certain reserves of $1.4 million; they were favorably impacted by $0.8 million of excess tax benefits related to the vesting of share-based compensation awards. Comparatively, the 2018 period benefited from a net discrete tax benefit of $21.7 million related to the enactment of the Tax Act, $ 2.3 million related to tax deductions on energy efficient government buildings, and $1.5 million of excess tax benefits related to the vesting of share-based compensation awards. These benefits were partially offset by a $1.5 million reduction in certain tax credits, including the prior year WOTC for new hires.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six months ended April 30, 2019, we recognized as a component of our comprehensive income a loss of $12.2 million related to our interest rate swaps, compared with a gain of $23.2 million during the six months ended April 30, 2018, primarily due to underlying changes in the fair value of the interest rate swaps. Additionally, during the current period we amortized $2.1 million, net of taxes of $0.8 million, of the gain we realized in 2018 from the termination of our prior interest rate swaps.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Foreign currency translation gain decreased by $2.8 million during the six months ended April 30, 2019, as compared to the six months ended April 30, 2018. This decrease was related to the greater relative weakening of USD against the GBP during the six months ended April 30, 2018. Future gains and losses on foreign currency translation will be dependent upon changes in the relative value of foreign currencies to the USD and the extent of our foreign assets and liabilities.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2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7"/>
          </w:tcPr>
          <w:p>
            <w:pPr>
              <w:jc w:val="right"/>
              <w:ind w:right="760"/>
              <w:spacing w:after="0"/>
              <w:rPr>
                <w:sz w:val="20"/>
                <w:szCs w:val="20"/>
                <w:color w:val="auto"/>
              </w:rPr>
            </w:pPr>
            <w:r>
              <w:rPr>
                <w:rFonts w:ascii="Arial" w:cs="Arial" w:eastAsia="Arial" w:hAnsi="Arial"/>
                <w:sz w:val="16"/>
                <w:szCs w:val="16"/>
                <w:b w:val="1"/>
                <w:bCs w:val="1"/>
                <w:color w:val="auto"/>
              </w:rPr>
              <w:t>Six Months Ended April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568"/>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3"/>
          </w:tcPr>
          <w:p>
            <w:pPr>
              <w:ind w:left="38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106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62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1460" w:type="dxa"/>
            <w:vAlign w:val="bottom"/>
            <w:shd w:val="clear" w:color="auto" w:fill="DCE2EF"/>
          </w:tcPr>
          <w:p>
            <w:pPr>
              <w:spacing w:after="0"/>
              <w:rPr>
                <w:sz w:val="22"/>
                <w:szCs w:val="22"/>
                <w:color w:val="auto"/>
              </w:rPr>
            </w:pPr>
          </w:p>
        </w:tc>
        <w:tc>
          <w:tcPr>
            <w:tcW w:w="2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4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1,527.9</w:t>
            </w:r>
          </w:p>
        </w:tc>
        <w:tc>
          <w:tcPr>
            <w:tcW w:w="7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1,511.3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16.6</w:t>
            </w:r>
          </w:p>
        </w:tc>
        <w:tc>
          <w:tcPr>
            <w:tcW w:w="1460" w:type="dxa"/>
            <w:vAlign w:val="bottom"/>
          </w:tcPr>
          <w:p>
            <w:pPr>
              <w:jc w:val="center"/>
              <w:ind w:left="58"/>
              <w:spacing w:after="0"/>
              <w:rPr>
                <w:sz w:val="20"/>
                <w:szCs w:val="20"/>
                <w:color w:val="auto"/>
              </w:rPr>
            </w:pPr>
            <w:r>
              <w:rPr>
                <w:rFonts w:ascii="Arial" w:cs="Arial" w:eastAsia="Arial" w:hAnsi="Arial"/>
                <w:sz w:val="16"/>
                <w:szCs w:val="16"/>
                <w:color w:val="auto"/>
                <w:w w:val="98"/>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502.4</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509.2</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(6.8)</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rPr>
              <w:t>(1.3)%</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460.4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460.0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460" w:type="dxa"/>
            <w:vAlign w:val="bottom"/>
          </w:tcPr>
          <w:p>
            <w:pPr>
              <w:jc w:val="center"/>
              <w:ind w:left="58"/>
              <w:spacing w:after="0"/>
              <w:rPr>
                <w:sz w:val="20"/>
                <w:szCs w:val="20"/>
                <w:color w:val="auto"/>
              </w:rPr>
            </w:pPr>
            <w:r>
              <w:rPr>
                <w:rFonts w:ascii="Arial" w:cs="Arial" w:eastAsia="Arial" w:hAnsi="Arial"/>
                <w:sz w:val="16"/>
                <w:szCs w:val="16"/>
                <w:color w:val="auto"/>
                <w:w w:val="98"/>
              </w:rPr>
              <w:t>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410.3</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413.8</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(3.5)</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rPr>
              <w:t>(0.8)%</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235.5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23.0</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133.0</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137.6</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(4.6)</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rPr>
              <w:t>(3.4)%</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Elimination of inter-segment revenues</w:t>
            </w:r>
          </w:p>
        </w:tc>
        <w:tc>
          <w:tcPr>
            <w:tcW w:w="420" w:type="dxa"/>
            <w:vAlign w:val="bottom"/>
            <w:tcBorders>
              <w:bottom w:val="single" w:sz="8" w:color="DCE2EF"/>
            </w:tcBorders>
          </w:tcPr>
          <w:p>
            <w:pPr>
              <w:spacing w:after="0"/>
              <w:rPr>
                <w:sz w:val="22"/>
                <w:szCs w:val="22"/>
                <w:color w:val="auto"/>
              </w:rPr>
            </w:pPr>
          </w:p>
        </w:tc>
        <w:tc>
          <w:tcPr>
            <w:tcW w:w="1060" w:type="dxa"/>
            <w:vAlign w:val="bottom"/>
            <w:tcBorders>
              <w:bottom w:val="single" w:sz="8" w:color="DCE2E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DCE2E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w:t>
            </w:r>
          </w:p>
        </w:tc>
        <w:tc>
          <w:tcPr>
            <w:tcW w:w="1460" w:type="dxa"/>
            <w:vAlign w:val="bottom"/>
            <w:tcBorders>
              <w:bottom w:val="single" w:sz="8" w:color="DCE2EF"/>
            </w:tcBorders>
          </w:tcPr>
          <w:p>
            <w:pPr>
              <w:jc w:val="center"/>
              <w:ind w:left="38"/>
              <w:spacing w:after="0"/>
              <w:rPr>
                <w:sz w:val="20"/>
                <w:szCs w:val="20"/>
                <w:color w:val="auto"/>
              </w:rPr>
            </w:pPr>
            <w:r>
              <w:rPr>
                <w:rFonts w:ascii="Arial" w:cs="Arial" w:eastAsia="Arial" w:hAnsi="Arial"/>
                <w:sz w:val="16"/>
                <w:szCs w:val="16"/>
                <w:color w:val="auto"/>
              </w:rPr>
              <w:t>11.1%</w:t>
            </w:r>
          </w:p>
        </w:tc>
        <w:tc>
          <w:tcPr>
            <w:tcW w:w="20" w:type="dxa"/>
            <w:vAlign w:val="bottom"/>
            <w:tcBorders>
              <w:bottom w:val="single" w:sz="8" w:color="DCE2E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CE2EF"/>
          </w:tcPr>
          <w:p>
            <w:pPr>
              <w:spacing w:after="0"/>
              <w:rPr>
                <w:sz w:val="20"/>
                <w:szCs w:val="20"/>
                <w:color w:val="auto"/>
              </w:rPr>
            </w:pPr>
          </w:p>
        </w:tc>
        <w:tc>
          <w:tcPr>
            <w:tcW w:w="820" w:type="dxa"/>
            <w:vAlign w:val="bottom"/>
            <w:shd w:val="clear" w:color="auto" w:fill="DCE2EF"/>
          </w:tcPr>
          <w:p>
            <w:pPr>
              <w:spacing w:after="0"/>
              <w:rPr>
                <w:sz w:val="20"/>
                <w:szCs w:val="20"/>
                <w:color w:val="auto"/>
              </w:rPr>
            </w:pPr>
          </w:p>
        </w:tc>
        <w:tc>
          <w:tcPr>
            <w:tcW w:w="2840" w:type="dxa"/>
            <w:vAlign w:val="bottom"/>
            <w:shd w:val="clear" w:color="auto" w:fill="DCE2EF"/>
          </w:tcPr>
          <w:p>
            <w:pPr>
              <w:spacing w:after="0"/>
              <w:rPr>
                <w:sz w:val="20"/>
                <w:szCs w:val="20"/>
                <w:color w:val="auto"/>
              </w:rPr>
            </w:pPr>
          </w:p>
        </w:tc>
        <w:tc>
          <w:tcPr>
            <w:tcW w:w="420" w:type="dxa"/>
            <w:vAlign w:val="bottom"/>
            <w:shd w:val="clear" w:color="auto" w:fill="DCE2EF"/>
          </w:tcPr>
          <w:p>
            <w:pPr>
              <w:spacing w:after="0"/>
              <w:rPr>
                <w:sz w:val="20"/>
                <w:szCs w:val="20"/>
                <w:color w:val="auto"/>
              </w:rPr>
            </w:pPr>
          </w:p>
        </w:tc>
        <w:tc>
          <w:tcPr>
            <w:tcW w:w="1460" w:type="dxa"/>
            <w:vAlign w:val="bottom"/>
            <w:gridSpan w:val="2"/>
            <w:shd w:val="clear" w:color="auto" w:fill="DCE2E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0"/>
                <w:szCs w:val="20"/>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3,202.6</w:t>
            </w:r>
          </w:p>
        </w:tc>
        <w:tc>
          <w:tcPr>
            <w:tcW w:w="760" w:type="dxa"/>
            <w:vAlign w:val="bottom"/>
            <w:gridSpan w:val="3"/>
            <w:shd w:val="clear" w:color="auto" w:fill="DCE2EF"/>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3,169.2</w:t>
            </w:r>
          </w:p>
        </w:tc>
        <w:tc>
          <w:tcPr>
            <w:tcW w:w="120" w:type="dxa"/>
            <w:vAlign w:val="bottom"/>
            <w:shd w:val="clear" w:color="auto" w:fill="DCE2EF"/>
          </w:tcPr>
          <w:p>
            <w:pPr>
              <w:spacing w:after="0"/>
              <w:rPr>
                <w:sz w:val="20"/>
                <w:szCs w:val="20"/>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33.4</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w w:val="98"/>
              </w:rPr>
              <w:t>1.1%</w:t>
            </w:r>
          </w:p>
        </w:tc>
        <w:tc>
          <w:tcPr>
            <w:tcW w:w="2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DCE2EF"/>
              <w:bottom w:val="single" w:sz="8" w:color="DCE2EF"/>
            </w:tcBorders>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DCE2EF"/>
            </w:tcBorders>
          </w:tcPr>
          <w:p>
            <w:pPr>
              <w:spacing w:after="0" w:line="20" w:lineRule="exact"/>
              <w:rPr>
                <w:sz w:val="1"/>
                <w:szCs w:val="1"/>
                <w:color w:val="auto"/>
              </w:rPr>
            </w:pPr>
          </w:p>
        </w:tc>
        <w:tc>
          <w:tcPr>
            <w:tcW w:w="1060" w:type="dxa"/>
            <w:vAlign w:val="bottom"/>
            <w:tcBorders>
              <w:top w:val="single" w:sz="8" w:color="DCE2E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DCE2EF"/>
            </w:tcBorders>
          </w:tcPr>
          <w:p>
            <w:pPr>
              <w:spacing w:after="0" w:line="20" w:lineRule="exact"/>
              <w:rPr>
                <w:sz w:val="1"/>
                <w:szCs w:val="1"/>
                <w:color w:val="auto"/>
              </w:rPr>
            </w:pPr>
          </w:p>
        </w:tc>
        <w:tc>
          <w:tcPr>
            <w:tcW w:w="2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0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DCE2EF"/>
          </w:tcPr>
          <w:p>
            <w:pPr>
              <w:spacing w:after="0"/>
              <w:rPr>
                <w:sz w:val="24"/>
                <w:szCs w:val="24"/>
                <w:color w:val="auto"/>
              </w:rPr>
            </w:pPr>
          </w:p>
        </w:tc>
        <w:tc>
          <w:tcPr>
            <w:tcW w:w="1460" w:type="dxa"/>
            <w:vAlign w:val="bottom"/>
            <w:gridSpan w:val="2"/>
            <w:shd w:val="clear" w:color="auto" w:fill="DCE2E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84.2</w:t>
            </w:r>
          </w:p>
        </w:tc>
        <w:tc>
          <w:tcPr>
            <w:tcW w:w="760" w:type="dxa"/>
            <w:vAlign w:val="bottom"/>
            <w:gridSpan w:val="3"/>
            <w:shd w:val="clear" w:color="auto" w:fill="DCE2EF"/>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72.0</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12.2</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16.9%</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4"/>
                <w:szCs w:val="14"/>
                <w:i w:val="1"/>
                <w:iCs w:val="1"/>
                <w:color w:val="auto"/>
              </w:rPr>
              <w:t>75 bps</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8.7</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w w:val="99"/>
              </w:rPr>
              <w:t>(20.3)%</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i w:val="1"/>
                <w:iCs w:val="1"/>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4"/>
                <w:szCs w:val="14"/>
                <w:i w:val="1"/>
                <w:iCs w:val="1"/>
                <w:color w:val="auto"/>
              </w:rPr>
              <w:t>(41) bps</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37.4</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4.5</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13.6%</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8.1%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i w:val="1"/>
                <w:iCs w:val="1"/>
                <w:color w:val="auto"/>
              </w:rPr>
              <w:t>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4"/>
                <w:szCs w:val="14"/>
                <w:i w:val="1"/>
                <w:iCs w:val="1"/>
                <w:color w:val="auto"/>
              </w:rPr>
              <w:t>97 bps</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20.6</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0.8</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w w:val="98"/>
              </w:rPr>
              <w:t>4.3%</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4"/>
                <w:szCs w:val="14"/>
                <w:i w:val="1"/>
                <w:iCs w:val="1"/>
                <w:color w:val="auto"/>
              </w:rPr>
              <w:t>25 bps</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15.5</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2.5</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18.7%</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6.6%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i w:val="1"/>
                <w:iCs w:val="1"/>
                <w:color w:val="auto"/>
              </w:rPr>
              <w:t>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4"/>
                <w:szCs w:val="14"/>
                <w:i w:val="1"/>
                <w:iCs w:val="1"/>
                <w:color w:val="auto"/>
              </w:rPr>
              <w:t>44 bps</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60"/>
              <w:spacing w:after="0"/>
              <w:rPr>
                <w:sz w:val="20"/>
                <w:szCs w:val="20"/>
                <w:color w:val="auto"/>
              </w:rPr>
            </w:pPr>
            <w:r>
              <w:rPr>
                <w:rFonts w:ascii="Arial" w:cs="Arial" w:eastAsia="Arial" w:hAnsi="Arial"/>
                <w:sz w:val="16"/>
                <w:szCs w:val="16"/>
                <w:color w:val="auto"/>
              </w:rPr>
              <w:t>3.8</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88"/>
              <w:spacing w:after="0"/>
              <w:rPr>
                <w:sz w:val="20"/>
                <w:szCs w:val="20"/>
                <w:color w:val="auto"/>
              </w:rPr>
            </w:pPr>
            <w:r>
              <w:rPr>
                <w:rFonts w:ascii="Arial" w:cs="Arial" w:eastAsia="Arial" w:hAnsi="Arial"/>
                <w:sz w:val="16"/>
                <w:szCs w:val="16"/>
                <w:color w:val="auto"/>
              </w:rPr>
              <w:t>5.4</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w w:val="99"/>
              </w:rPr>
              <w:t>(30.2)%</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2.8%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i w:val="1"/>
                <w:iCs w:val="1"/>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4"/>
                <w:szCs w:val="14"/>
                <w:i w:val="1"/>
                <w:iCs w:val="1"/>
                <w:color w:val="auto"/>
              </w:rPr>
              <w:t>(109) bps</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28"/>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0.7</w:t>
            </w:r>
          </w:p>
        </w:tc>
        <w:tc>
          <w:tcPr>
            <w:tcW w:w="1480" w:type="dxa"/>
            <w:vAlign w:val="bottom"/>
            <w:gridSpan w:val="2"/>
            <w:shd w:val="clear" w:color="auto" w:fill="DCE2EF"/>
          </w:tcPr>
          <w:p>
            <w:pPr>
              <w:ind w:left="6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ind w:right="60"/>
              <w:spacing w:after="0"/>
              <w:rPr>
                <w:sz w:val="20"/>
                <w:szCs w:val="20"/>
                <w:color w:val="auto"/>
              </w:rPr>
            </w:pPr>
            <w:r>
              <w:rPr>
                <w:rFonts w:ascii="Arial" w:cs="Arial" w:eastAsia="Arial" w:hAnsi="Arial"/>
                <w:sz w:val="14"/>
                <w:szCs w:val="14"/>
                <w:i w:val="1"/>
                <w:iCs w:val="1"/>
                <w:color w:val="auto"/>
              </w:rPr>
              <w:t>NM*</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ind w:left="480"/>
              <w:spacing w:after="0"/>
              <w:rPr>
                <w:sz w:val="20"/>
                <w:szCs w:val="20"/>
                <w:color w:val="auto"/>
              </w:rPr>
            </w:pPr>
            <w:r>
              <w:rPr>
                <w:rFonts w:ascii="Arial" w:cs="Arial" w:eastAsia="Arial" w:hAnsi="Arial"/>
                <w:sz w:val="14"/>
                <w:szCs w:val="14"/>
                <w:i w:val="1"/>
                <w:iCs w:val="1"/>
                <w:color w:val="auto"/>
              </w:rPr>
              <w:t>NM*</w:t>
            </w:r>
          </w:p>
        </w:tc>
        <w:tc>
          <w:tcPr>
            <w:tcW w:w="18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4"/>
                <w:szCs w:val="14"/>
                <w:i w:val="1"/>
                <w:iCs w:val="1"/>
                <w:color w:val="auto"/>
              </w:rPr>
              <w:t>NM*</w:t>
            </w: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(83.6)</w:t>
            </w:r>
          </w:p>
        </w:tc>
        <w:tc>
          <w:tcPr>
            <w:tcW w:w="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28"/>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0.9</w:t>
            </w:r>
          </w:p>
        </w:tc>
        <w:tc>
          <w:tcPr>
            <w:tcW w:w="1460" w:type="dxa"/>
            <w:vAlign w:val="bottom"/>
            <w:shd w:val="clear" w:color="auto" w:fill="DCE2EF"/>
          </w:tcPr>
          <w:p>
            <w:pPr>
              <w:jc w:val="center"/>
              <w:ind w:left="58"/>
              <w:spacing w:after="0"/>
              <w:rPr>
                <w:sz w:val="20"/>
                <w:szCs w:val="20"/>
                <w:color w:val="auto"/>
              </w:rPr>
            </w:pPr>
            <w:r>
              <w:rPr>
                <w:rFonts w:ascii="Arial" w:cs="Arial" w:eastAsia="Arial" w:hAnsi="Arial"/>
                <w:sz w:val="16"/>
                <w:szCs w:val="16"/>
                <w:color w:val="auto"/>
                <w:w w:val="98"/>
              </w:rPr>
              <w:t>1.1%</w:t>
            </w:r>
          </w:p>
        </w:tc>
        <w:tc>
          <w:tcPr>
            <w:tcW w:w="2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680" w:type="dxa"/>
            <w:vAlign w:val="bottom"/>
            <w:gridSpan w:val="7"/>
          </w:tcPr>
          <w:p>
            <w:pPr>
              <w:ind w:left="40"/>
              <w:spacing w:after="0"/>
              <w:rPr>
                <w:sz w:val="20"/>
                <w:szCs w:val="20"/>
                <w:color w:val="auto"/>
              </w:rPr>
            </w:pPr>
            <w:r>
              <w:rPr>
                <w:rFonts w:ascii="Arial" w:cs="Arial" w:eastAsia="Arial" w:hAnsi="Arial"/>
                <w:sz w:val="16"/>
                <w:szCs w:val="16"/>
                <w:color w:val="auto"/>
              </w:rPr>
              <w:t>Adjustment for income from unconsolidated affiliates, included 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Aviation</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1460" w:type="dxa"/>
            <w:vAlign w:val="bottom"/>
          </w:tcPr>
          <w:p>
            <w:pPr>
              <w:jc w:val="center"/>
              <w:ind w:left="58"/>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680" w:type="dxa"/>
            <w:vAlign w:val="bottom"/>
            <w:gridSpan w:val="7"/>
            <w:shd w:val="clear" w:color="auto" w:fill="DCE2EF"/>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112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62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8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DCE2EF"/>
          </w:tcPr>
          <w:p>
            <w:pPr>
              <w:spacing w:after="0"/>
              <w:rPr>
                <w:sz w:val="18"/>
                <w:szCs w:val="18"/>
                <w:color w:val="auto"/>
              </w:rPr>
            </w:pPr>
          </w:p>
        </w:tc>
        <w:tc>
          <w:tcPr>
            <w:tcW w:w="366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420" w:type="dxa"/>
            <w:vAlign w:val="bottom"/>
            <w:shd w:val="clear" w:color="auto" w:fill="DCE2EF"/>
          </w:tcPr>
          <w:p>
            <w:pPr>
              <w:spacing w:after="0"/>
              <w:rPr>
                <w:sz w:val="18"/>
                <w:szCs w:val="18"/>
                <w:color w:val="auto"/>
              </w:rPr>
            </w:pPr>
          </w:p>
        </w:tc>
        <w:tc>
          <w:tcPr>
            <w:tcW w:w="1060" w:type="dxa"/>
            <w:vAlign w:val="bottom"/>
            <w:shd w:val="clear" w:color="auto" w:fill="DCE2EF"/>
          </w:tcPr>
          <w:p>
            <w:pPr>
              <w:spacing w:after="0"/>
              <w:rPr>
                <w:sz w:val="18"/>
                <w:szCs w:val="18"/>
                <w:color w:val="auto"/>
              </w:rPr>
            </w:pPr>
          </w:p>
        </w:tc>
        <w:tc>
          <w:tcPr>
            <w:tcW w:w="40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spacing w:after="0"/>
              <w:rPr>
                <w:sz w:val="18"/>
                <w:szCs w:val="18"/>
                <w:color w:val="auto"/>
              </w:rPr>
            </w:pPr>
          </w:p>
        </w:tc>
        <w:tc>
          <w:tcPr>
            <w:tcW w:w="1120" w:type="dxa"/>
            <w:vAlign w:val="bottom"/>
            <w:tcBorders>
              <w:bottom w:val="single" w:sz="8" w:color="auto"/>
            </w:tcBorders>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DCE2EF"/>
          </w:tcPr>
          <w:p>
            <w:pPr>
              <w:spacing w:after="0"/>
              <w:rPr>
                <w:sz w:val="18"/>
                <w:szCs w:val="18"/>
                <w:color w:val="auto"/>
              </w:rPr>
            </w:pPr>
          </w:p>
        </w:tc>
        <w:tc>
          <w:tcPr>
            <w:tcW w:w="120" w:type="dxa"/>
            <w:vAlign w:val="bottom"/>
            <w:shd w:val="clear" w:color="auto" w:fill="DCE2EF"/>
          </w:tcPr>
          <w:p>
            <w:pPr>
              <w:spacing w:after="0"/>
              <w:rPr>
                <w:sz w:val="18"/>
                <w:szCs w:val="18"/>
                <w:color w:val="auto"/>
              </w:rPr>
            </w:pPr>
          </w:p>
        </w:tc>
        <w:tc>
          <w:tcPr>
            <w:tcW w:w="62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gridSpan w:val="2"/>
            <w:shd w:val="clear" w:color="auto" w:fill="DCE2EF"/>
          </w:tcPr>
          <w:p>
            <w:pPr>
              <w:jc w:val="right"/>
              <w:ind w:right="28"/>
              <w:spacing w:after="0"/>
              <w:rPr>
                <w:sz w:val="20"/>
                <w:szCs w:val="20"/>
                <w:color w:val="auto"/>
              </w:rPr>
            </w:pPr>
            <w:r>
              <w:rPr>
                <w:rFonts w:ascii="Arial" w:cs="Arial" w:eastAsia="Arial" w:hAnsi="Arial"/>
                <w:sz w:val="16"/>
                <w:szCs w:val="16"/>
                <w:color w:val="auto"/>
              </w:rPr>
              <w:t>(2.3)</w:t>
            </w:r>
          </w:p>
        </w:tc>
        <w:tc>
          <w:tcPr>
            <w:tcW w:w="120" w:type="dxa"/>
            <w:vAlign w:val="bottom"/>
            <w:shd w:val="clear" w:color="auto" w:fill="DCE2EF"/>
          </w:tcPr>
          <w:p>
            <w:pPr>
              <w:spacing w:after="0"/>
              <w:rPr>
                <w:sz w:val="18"/>
                <w:szCs w:val="18"/>
                <w:color w:val="auto"/>
              </w:rPr>
            </w:pPr>
          </w:p>
        </w:tc>
        <w:tc>
          <w:tcPr>
            <w:tcW w:w="18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color w:val="auto"/>
              </w:rPr>
              <w:t>2.3</w:t>
            </w:r>
          </w:p>
        </w:tc>
        <w:tc>
          <w:tcPr>
            <w:tcW w:w="1480" w:type="dxa"/>
            <w:vAlign w:val="bottom"/>
            <w:gridSpan w:val="2"/>
            <w:shd w:val="clear" w:color="auto" w:fill="DCE2EF"/>
          </w:tcPr>
          <w:p>
            <w:pPr>
              <w:ind w:left="6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84.8</w:t>
            </w:r>
          </w:p>
        </w:tc>
        <w:tc>
          <w:tcPr>
            <w:tcW w:w="7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8"/>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30.9%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ind w:left="40"/>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8"/>
                <w:szCs w:val="18"/>
                <w:b w:val="1"/>
                <w:bCs w:val="1"/>
                <w:color w:val="auto"/>
              </w:rPr>
              <w:t>Six Months Ended April 30,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060" w:type="dxa"/>
            <w:vAlign w:val="bottom"/>
          </w:tcPr>
          <w:p>
            <w:pPr>
              <w:jc w:val="right"/>
              <w:ind w:right="256"/>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Increase</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DCE2EF"/>
          </w:tcPr>
          <w:p>
            <w:pPr>
              <w:jc w:val="right"/>
              <w:ind w:right="160"/>
              <w:spacing w:after="0"/>
              <w:rPr>
                <w:sz w:val="20"/>
                <w:szCs w:val="20"/>
                <w:color w:val="auto"/>
              </w:rPr>
            </w:pPr>
            <w:r>
              <w:rPr>
                <w:rFonts w:ascii="Arial" w:cs="Arial" w:eastAsia="Arial" w:hAnsi="Arial"/>
                <w:sz w:val="18"/>
                <w:szCs w:val="18"/>
                <w:color w:val="auto"/>
              </w:rPr>
              <w:t>1,527.9</w:t>
            </w:r>
          </w:p>
        </w:tc>
        <w:tc>
          <w:tcPr>
            <w:tcW w:w="100" w:type="dxa"/>
            <w:vAlign w:val="bottom"/>
            <w:shd w:val="clear" w:color="auto" w:fill="DCE2EF"/>
          </w:tcPr>
          <w:p>
            <w:pPr>
              <w:spacing w:after="0"/>
              <w:rPr>
                <w:sz w:val="22"/>
                <w:szCs w:val="22"/>
                <w:color w:val="auto"/>
              </w:rPr>
            </w:pPr>
          </w:p>
        </w:tc>
        <w:tc>
          <w:tcPr>
            <w:tcW w:w="1120" w:type="dxa"/>
            <w:vAlign w:val="bottom"/>
            <w:shd w:val="clear" w:color="auto" w:fill="DCE2EF"/>
          </w:tcPr>
          <w:p>
            <w:pPr>
              <w:jc w:val="right"/>
              <w:ind w:right="9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DCE2EF"/>
          </w:tcPr>
          <w:p>
            <w:pPr>
              <w:jc w:val="right"/>
              <w:ind w:right="160"/>
              <w:spacing w:after="0"/>
              <w:rPr>
                <w:sz w:val="20"/>
                <w:szCs w:val="20"/>
                <w:color w:val="auto"/>
              </w:rPr>
            </w:pPr>
            <w:r>
              <w:rPr>
                <w:rFonts w:ascii="Arial" w:cs="Arial" w:eastAsia="Arial" w:hAnsi="Arial"/>
                <w:sz w:val="18"/>
                <w:szCs w:val="18"/>
                <w:color w:val="auto"/>
                <w:w w:val="96"/>
              </w:rPr>
              <w:t>1,511.3</w:t>
            </w:r>
          </w:p>
        </w:tc>
        <w:tc>
          <w:tcPr>
            <w:tcW w:w="1020" w:type="dxa"/>
            <w:vAlign w:val="bottom"/>
            <w:gridSpan w:val="2"/>
            <w:shd w:val="clear" w:color="auto" w:fill="DCE2EF"/>
          </w:tcPr>
          <w:p>
            <w:pPr>
              <w:jc w:val="right"/>
              <w:ind w:right="708"/>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2"/>
                <w:szCs w:val="22"/>
                <w:color w:val="auto"/>
              </w:rPr>
            </w:pPr>
          </w:p>
        </w:tc>
        <w:tc>
          <w:tcPr>
            <w:tcW w:w="180" w:type="dxa"/>
            <w:vAlign w:val="bottom"/>
            <w:shd w:val="clear" w:color="auto" w:fill="DCE2EF"/>
          </w:tcPr>
          <w:p>
            <w:pPr>
              <w:spacing w:after="0"/>
              <w:rPr>
                <w:sz w:val="22"/>
                <w:szCs w:val="22"/>
                <w:color w:val="auto"/>
              </w:rPr>
            </w:pPr>
          </w:p>
        </w:tc>
        <w:tc>
          <w:tcPr>
            <w:tcW w:w="1060" w:type="dxa"/>
            <w:vAlign w:val="bottom"/>
            <w:shd w:val="clear" w:color="auto" w:fill="DCE2EF"/>
          </w:tcPr>
          <w:p>
            <w:pPr>
              <w:jc w:val="right"/>
              <w:ind w:right="480"/>
              <w:spacing w:after="0"/>
              <w:rPr>
                <w:sz w:val="20"/>
                <w:szCs w:val="20"/>
                <w:color w:val="auto"/>
              </w:rPr>
            </w:pPr>
            <w:r>
              <w:rPr>
                <w:rFonts w:ascii="Arial" w:cs="Arial" w:eastAsia="Arial" w:hAnsi="Arial"/>
                <w:sz w:val="18"/>
                <w:szCs w:val="18"/>
                <w:color w:val="auto"/>
              </w:rPr>
              <w:t>16.6</w:t>
            </w:r>
          </w:p>
        </w:tc>
        <w:tc>
          <w:tcPr>
            <w:tcW w:w="1460" w:type="dxa"/>
            <w:vAlign w:val="bottom"/>
            <w:shd w:val="clear" w:color="auto" w:fill="DCE2EF"/>
          </w:tcPr>
          <w:p>
            <w:pPr>
              <w:jc w:val="right"/>
              <w:ind w:right="618"/>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0"/>
              <w:spacing w:after="0"/>
              <w:rPr>
                <w:sz w:val="20"/>
                <w:szCs w:val="20"/>
                <w:color w:val="auto"/>
              </w:rPr>
            </w:pPr>
            <w:r>
              <w:rPr>
                <w:rFonts w:ascii="Arial" w:cs="Arial" w:eastAsia="Arial" w:hAnsi="Arial"/>
                <w:sz w:val="18"/>
                <w:szCs w:val="18"/>
                <w:color w:val="auto"/>
              </w:rPr>
              <w:t>12.2</w:t>
            </w:r>
          </w:p>
        </w:tc>
        <w:tc>
          <w:tcPr>
            <w:tcW w:w="1460" w:type="dxa"/>
            <w:vAlign w:val="bottom"/>
          </w:tcPr>
          <w:p>
            <w:pPr>
              <w:jc w:val="right"/>
              <w:ind w:right="558"/>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460" w:type="dxa"/>
            <w:vAlign w:val="bottom"/>
            <w:gridSpan w:val="2"/>
            <w:shd w:val="clear" w:color="auto" w:fill="DCE2EF"/>
          </w:tcPr>
          <w:p>
            <w:pPr>
              <w:ind w:left="1100"/>
              <w:spacing w:after="0"/>
              <w:rPr>
                <w:sz w:val="20"/>
                <w:szCs w:val="20"/>
                <w:color w:val="auto"/>
              </w:rPr>
            </w:pPr>
            <w:r>
              <w:rPr>
                <w:rFonts w:ascii="Arial" w:cs="Arial" w:eastAsia="Arial" w:hAnsi="Arial"/>
                <w:sz w:val="14"/>
                <w:szCs w:val="14"/>
                <w:i w:val="1"/>
                <w:iCs w:val="1"/>
                <w:color w:val="auto"/>
              </w:rPr>
              <w:t>5.5%</w:t>
            </w:r>
          </w:p>
        </w:tc>
        <w:tc>
          <w:tcPr>
            <w:tcW w:w="100" w:type="dxa"/>
            <w:vAlign w:val="bottom"/>
            <w:shd w:val="clear" w:color="auto" w:fill="DCE2EF"/>
          </w:tcPr>
          <w:p>
            <w:pPr>
              <w:spacing w:after="0"/>
              <w:rPr>
                <w:sz w:val="24"/>
                <w:szCs w:val="24"/>
                <w:color w:val="auto"/>
              </w:rPr>
            </w:pPr>
          </w:p>
        </w:tc>
        <w:tc>
          <w:tcPr>
            <w:tcW w:w="1120" w:type="dxa"/>
            <w:vAlign w:val="bottom"/>
            <w:shd w:val="clear" w:color="auto" w:fill="DCE2EF"/>
          </w:tcPr>
          <w:p>
            <w:pPr>
              <w:spacing w:after="0"/>
              <w:rPr>
                <w:sz w:val="24"/>
                <w:szCs w:val="24"/>
                <w:color w:val="auto"/>
              </w:rPr>
            </w:pPr>
          </w:p>
        </w:tc>
        <w:tc>
          <w:tcPr>
            <w:tcW w:w="760" w:type="dxa"/>
            <w:vAlign w:val="bottom"/>
            <w:gridSpan w:val="3"/>
            <w:shd w:val="clear" w:color="auto" w:fill="DCE2EF"/>
          </w:tcPr>
          <w:p>
            <w:pPr>
              <w:jc w:val="right"/>
              <w:ind w:right="40"/>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480"/>
              <w:spacing w:after="0"/>
              <w:rPr>
                <w:sz w:val="20"/>
                <w:szCs w:val="20"/>
                <w:color w:val="auto"/>
              </w:rPr>
            </w:pPr>
            <w:r>
              <w:rPr>
                <w:rFonts w:ascii="Arial" w:cs="Arial" w:eastAsia="Arial" w:hAnsi="Arial"/>
                <w:sz w:val="14"/>
                <w:szCs w:val="14"/>
                <w:i w:val="1"/>
                <w:iCs w:val="1"/>
                <w:color w:val="auto"/>
              </w:rPr>
              <w:t>75 bps</w:t>
            </w:r>
          </w:p>
        </w:tc>
        <w:tc>
          <w:tcPr>
            <w:tcW w:w="1460" w:type="dxa"/>
            <w:vAlign w:val="bottom"/>
            <w:shd w:val="clear" w:color="auto" w:fill="DCE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$16.6 million, or 1.1%, during the six months ended April 30, 2019, as compared to the six months ended April 30, 2018. The increase was primarily attributable to organic growth, including the expansion of a contract that started in 2018 in our U.K. business and the targeted expansion of certain key clients within our U.S. business. Management reimbursement revenues for this segment totaled $130.5 million and $126.5 million for the six months ended April 30, 2019 and 2018, respectively.</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360" w:right="239" w:bottom="1440" w:gutter="0" w:footer="0" w:header="0"/>
          <w:type w:val="continuous"/>
        </w:sectPr>
      </w:pPr>
    </w:p>
    <w:bookmarkStart w:id="44" w:name="page45"/>
    <w:bookmarkEnd w:id="44"/>
    <w:p>
      <w:pPr>
        <w:jc w:val="both"/>
        <w:ind w:firstLine="648"/>
        <w:spacing w:after="0" w:line="252" w:lineRule="auto"/>
        <w:rPr>
          <w:sz w:val="20"/>
          <w:szCs w:val="20"/>
          <w:color w:val="auto"/>
        </w:rPr>
      </w:pPr>
      <w:r>
        <w:rPr>
          <w:rFonts w:ascii="Arial" w:cs="Arial" w:eastAsia="Arial" w:hAnsi="Arial"/>
          <w:sz w:val="18"/>
          <w:szCs w:val="18"/>
          <w:color w:val="auto"/>
        </w:rPr>
        <w:t>Operating profit increased by $12.2 million, or 16.9%, during the six months ended April 30, 2019, as compared to the six months ended April 30, 2018. Operating profit margin increased by 75 bps to 5.5% in the six months ended April 30, 2019 from 4.8% in the six months ended April 30, 2018. The increase in operating profit margin was primarily associated with higher margins on certain accounts in our U.S. business and a decrease in unemployment taxes in certain states. This increase was partially offset by lower margins on certain accounts in our U.K. business and a provision for the settlement of a union health and welfare benefits audit. While labor challenges are present in certain areas of our B&amp;I business, it is our most mature business and has the highest proportion of unionized labor.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509.2</w:t>
            </w:r>
          </w:p>
        </w:tc>
        <w:tc>
          <w:tcPr>
            <w:tcW w:w="100" w:type="dxa"/>
            <w:vAlign w:val="bottom"/>
            <w:tcBorders>
              <w:bottom w:val="single" w:sz="8" w:color="DCE2EF"/>
            </w:tcBorders>
            <w:shd w:val="clear" w:color="auto" w:fill="DCE2EF"/>
          </w:tcPr>
          <w:p>
            <w:pPr>
              <w:spacing w:after="0"/>
              <w:rPr>
                <w:sz w:val="21"/>
                <w:szCs w:val="21"/>
                <w:color w:val="auto"/>
              </w:rPr>
            </w:pPr>
          </w:p>
        </w:tc>
        <w:tc>
          <w:tcPr>
            <w:tcW w:w="660" w:type="dxa"/>
            <w:vAlign w:val="bottom"/>
            <w:tcBorders>
              <w:bottom w:val="single" w:sz="8" w:color="DCE2EF"/>
            </w:tcBorders>
            <w:shd w:val="clear" w:color="auto" w:fill="DCE2E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DCE2EF"/>
            </w:tcBorders>
            <w:shd w:val="clear" w:color="auto" w:fill="DCE2EF"/>
          </w:tcPr>
          <w:p>
            <w:pPr>
              <w:jc w:val="right"/>
              <w:ind w:right="534"/>
              <w:spacing w:after="0"/>
              <w:rPr>
                <w:sz w:val="20"/>
                <w:szCs w:val="20"/>
                <w:color w:val="auto"/>
              </w:rPr>
            </w:pPr>
            <w:r>
              <w:rPr>
                <w:rFonts w:ascii="Arial" w:cs="Arial" w:eastAsia="Arial" w:hAnsi="Arial"/>
                <w:sz w:val="18"/>
                <w:szCs w:val="18"/>
                <w:color w:val="auto"/>
              </w:rPr>
              <w:t>(6.8)</w:t>
            </w:r>
          </w:p>
        </w:tc>
        <w:tc>
          <w:tcPr>
            <w:tcW w:w="134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(1.3)%</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40" w:type="dxa"/>
            <w:vAlign w:val="bottom"/>
          </w:tcPr>
          <w:p>
            <w:pPr>
              <w:jc w:val="right"/>
              <w:ind w:right="534"/>
              <w:spacing w:after="0"/>
              <w:rPr>
                <w:sz w:val="20"/>
                <w:szCs w:val="20"/>
                <w:color w:val="auto"/>
              </w:rPr>
            </w:pPr>
            <w:r>
              <w:rPr>
                <w:rFonts w:ascii="Arial" w:cs="Arial" w:eastAsia="Arial" w:hAnsi="Arial"/>
                <w:sz w:val="18"/>
                <w:szCs w:val="18"/>
                <w:color w:val="auto"/>
              </w:rPr>
              <w:t>(2.2)</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(20.3)%</w:t>
            </w:r>
          </w:p>
        </w:tc>
      </w:tr>
      <w:tr>
        <w:trPr>
          <w:trHeight w:val="250"/>
        </w:trPr>
        <w:tc>
          <w:tcPr>
            <w:tcW w:w="4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1.7%</w:t>
            </w:r>
          </w:p>
        </w:tc>
        <w:tc>
          <w:tcPr>
            <w:tcW w:w="100" w:type="dxa"/>
            <w:vAlign w:val="bottom"/>
            <w:shd w:val="clear" w:color="auto" w:fill="DCE2EF"/>
          </w:tcPr>
          <w:p>
            <w:pPr>
              <w:spacing w:after="0"/>
              <w:rPr>
                <w:sz w:val="21"/>
                <w:szCs w:val="21"/>
                <w:color w:val="auto"/>
              </w:rPr>
            </w:pP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shd w:val="clear" w:color="auto" w:fill="DCE2EF"/>
          </w:tcPr>
          <w:p>
            <w:pPr>
              <w:spacing w:after="0"/>
              <w:rPr>
                <w:sz w:val="21"/>
                <w:szCs w:val="21"/>
                <w:color w:val="auto"/>
              </w:rPr>
            </w:pPr>
          </w:p>
        </w:tc>
        <w:tc>
          <w:tcPr>
            <w:tcW w:w="660" w:type="dxa"/>
            <w:vAlign w:val="bottom"/>
            <w:shd w:val="clear" w:color="auto" w:fill="DCE2EF"/>
          </w:tcPr>
          <w:p>
            <w:pPr>
              <w:spacing w:after="0"/>
              <w:rPr>
                <w:sz w:val="21"/>
                <w:szCs w:val="21"/>
                <w:color w:val="auto"/>
              </w:rPr>
            </w:pPr>
          </w:p>
        </w:tc>
        <w:tc>
          <w:tcPr>
            <w:tcW w:w="174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(41) bps</w:t>
            </w:r>
          </w:p>
        </w:tc>
        <w:tc>
          <w:tcPr>
            <w:tcW w:w="134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60" w:type="dxa"/>
            <w:vAlign w:val="bottom"/>
            <w:shd w:val="clear" w:color="auto" w:fill="DCE2EF"/>
          </w:tcPr>
          <w:p>
            <w:pPr>
              <w:spacing w:after="0"/>
              <w:rPr>
                <w:sz w:val="2"/>
                <w:szCs w:val="2"/>
                <w:color w:val="auto"/>
              </w:rPr>
            </w:pPr>
          </w:p>
        </w:tc>
        <w:tc>
          <w:tcPr>
            <w:tcW w:w="174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Aviation revenues decreased by $6.8 million, or 1.3%, during the six months ended April 30, 2019, as compared to the six months ended April 30, 2018. The decrease was primarily attributable to a reclassification of $22.9 million of rent expense related to service concession arrangements due to the adoption of Topic 853. This expense is now recorded as a reduction of revenues, but had previously been recorded as an operating expense. The decrease was also due to the loss of certain facility services and passenger services accounts, partially offset by organic growth in catering logistics and janitorial accounts. Management reimbursement revenues for this segment totaled $47.6 million and $53.1 million for the six months ended April 30, 2019 and 2018, respectively.</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$2.2 million, or 20.3%, during the six months ended April 30, 2019, as compared to the six months ended April 30, 2018. Operating profit margin decreased by 41 bps to 1.7% in the six months ended April 30, 2019 from 2.1% in the six months ended April 30, 2018. The decrease in operating profit margin was primarily attributable to operational issues on certain accounts and higher labor costs, but was partially offset by higher margins on certain new contracts.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460.4</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460.0</w:t>
            </w:r>
          </w:p>
        </w:tc>
        <w:tc>
          <w:tcPr>
            <w:tcW w:w="100" w:type="dxa"/>
            <w:vAlign w:val="bottom"/>
            <w:tcBorders>
              <w:bottom w:val="single" w:sz="8" w:color="DCE2EF"/>
            </w:tcBorders>
            <w:shd w:val="clear" w:color="auto" w:fill="DCE2EF"/>
          </w:tcPr>
          <w:p>
            <w:pPr>
              <w:spacing w:after="0"/>
              <w:rPr>
                <w:sz w:val="21"/>
                <w:szCs w:val="21"/>
                <w:color w:val="auto"/>
              </w:rPr>
            </w:pPr>
          </w:p>
        </w:tc>
        <w:tc>
          <w:tcPr>
            <w:tcW w:w="70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CE2EF"/>
            </w:tcBorders>
            <w:shd w:val="clear" w:color="auto" w:fill="DCE2EF"/>
          </w:tcPr>
          <w:p>
            <w:pPr>
              <w:jc w:val="right"/>
              <w:ind w:right="614"/>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DCE2EF"/>
            </w:tcBorders>
            <w:shd w:val="clear" w:color="auto" w:fill="DCE2EF"/>
          </w:tcPr>
          <w:p>
            <w:pPr>
              <w:jc w:val="right"/>
              <w:ind w:right="610"/>
              <w:spacing w:after="0"/>
              <w:rPr>
                <w:sz w:val="20"/>
                <w:szCs w:val="20"/>
                <w:color w:val="auto"/>
              </w:rPr>
            </w:pPr>
            <w:r>
              <w:rPr>
                <w:rFonts w:ascii="Arial" w:cs="Arial" w:eastAsia="Arial" w:hAnsi="Arial"/>
                <w:sz w:val="18"/>
                <w:szCs w:val="18"/>
                <w:color w:val="auto"/>
              </w:rPr>
              <w:t>0.1%</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4.5</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13.6%</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8.1%</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7.1%</w:t>
            </w:r>
          </w:p>
        </w:tc>
        <w:tc>
          <w:tcPr>
            <w:tcW w:w="100" w:type="dxa"/>
            <w:vAlign w:val="bottom"/>
            <w:shd w:val="clear" w:color="auto" w:fill="DCE2EF"/>
          </w:tcPr>
          <w:p>
            <w:pPr>
              <w:spacing w:after="0"/>
              <w:rPr>
                <w:sz w:val="21"/>
                <w:szCs w:val="21"/>
                <w:color w:val="auto"/>
              </w:rPr>
            </w:pPr>
          </w:p>
        </w:tc>
        <w:tc>
          <w:tcPr>
            <w:tcW w:w="700" w:type="dxa"/>
            <w:vAlign w:val="bottom"/>
            <w:shd w:val="clear" w:color="auto" w:fill="DCE2EF"/>
          </w:tcPr>
          <w:p>
            <w:pPr>
              <w:spacing w:after="0"/>
              <w:rPr>
                <w:sz w:val="21"/>
                <w:szCs w:val="21"/>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97 bps</w:t>
            </w:r>
          </w:p>
        </w:tc>
        <w:tc>
          <w:tcPr>
            <w:tcW w:w="134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700" w:type="dxa"/>
            <w:vAlign w:val="bottom"/>
            <w:shd w:val="clear" w:color="auto" w:fill="DCE2EF"/>
          </w:tcPr>
          <w:p>
            <w:pPr>
              <w:spacing w:after="0"/>
              <w:rPr>
                <w:sz w:val="2"/>
                <w:szCs w:val="2"/>
                <w:color w:val="auto"/>
              </w:rPr>
            </w:pPr>
          </w:p>
        </w:tc>
        <w:tc>
          <w:tcPr>
            <w:tcW w:w="17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T&amp;M revenues increased slightly by $0.4 million, or 0.1%, during the six months ended April 30, 2019, as compared to the six months ended April 30, 2018. The increase was primarily related to the expansion of existing accounts and new business, offset by the loss of certain accounts.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$ 4.5 million, or 13.6%, during the six months ended April 30, 2019, as compared to the six months ended April 30, 2018. Operating profit margin increased by 97 bps to 8.1% in the six months ended April 30, 2019 from 7.1% in the six months ended April 30, 2018. The increase in operating profit margin was primarily attributable to improved margins on certain accounts and the loss of a low margin account in the prior year, partially offset by specific reserves established for client receivables.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44" w:right="23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3EF"/>
            </w:tcBorders>
          </w:tcPr>
          <w:p>
            <w:pPr>
              <w:spacing w:after="0" w:line="20" w:lineRule="exact"/>
              <w:rPr>
                <w:sz w:val="1"/>
                <w:szCs w:val="1"/>
                <w:color w:val="auto"/>
              </w:rPr>
            </w:pPr>
          </w:p>
        </w:tc>
        <w:tc>
          <w:tcPr>
            <w:tcW w:w="820" w:type="dxa"/>
            <w:vAlign w:val="bottom"/>
            <w:tcBorders>
              <w:top w:val="single" w:sz="8" w:color="auto"/>
              <w:bottom w:val="single" w:sz="8" w:color="DCE3EF"/>
            </w:tcBorders>
          </w:tcPr>
          <w:p>
            <w:pPr>
              <w:spacing w:after="0" w:line="20" w:lineRule="exact"/>
              <w:rPr>
                <w:sz w:val="1"/>
                <w:szCs w:val="1"/>
                <w:color w:val="auto"/>
              </w:rPr>
            </w:pPr>
          </w:p>
        </w:tc>
        <w:tc>
          <w:tcPr>
            <w:tcW w:w="2840" w:type="dxa"/>
            <w:vAlign w:val="bottom"/>
            <w:tcBorders>
              <w:bottom w:val="single" w:sz="8" w:color="DCE3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3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3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3E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DCE3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3EF"/>
          </w:tcPr>
          <w:p>
            <w:pPr>
              <w:jc w:val="right"/>
              <w:ind w:right="74"/>
              <w:spacing w:after="0"/>
              <w:rPr>
                <w:sz w:val="20"/>
                <w:szCs w:val="20"/>
                <w:color w:val="auto"/>
              </w:rPr>
            </w:pPr>
            <w:r>
              <w:rPr>
                <w:rFonts w:ascii="Arial" w:cs="Arial" w:eastAsia="Arial" w:hAnsi="Arial"/>
                <w:sz w:val="18"/>
                <w:szCs w:val="18"/>
                <w:color w:val="auto"/>
              </w:rPr>
              <w:t>410.3</w:t>
            </w:r>
          </w:p>
        </w:tc>
        <w:tc>
          <w:tcPr>
            <w:tcW w:w="120" w:type="dxa"/>
            <w:vAlign w:val="bottom"/>
            <w:shd w:val="clear" w:color="auto" w:fill="DCE3EF"/>
          </w:tcPr>
          <w:p>
            <w:pPr>
              <w:spacing w:after="0"/>
              <w:rPr>
                <w:sz w:val="22"/>
                <w:szCs w:val="22"/>
                <w:color w:val="auto"/>
              </w:rPr>
            </w:pPr>
          </w:p>
        </w:tc>
        <w:tc>
          <w:tcPr>
            <w:tcW w:w="420" w:type="dxa"/>
            <w:vAlign w:val="bottom"/>
            <w:shd w:val="clear" w:color="auto" w:fill="DCE3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3EF"/>
          </w:tcPr>
          <w:p>
            <w:pPr>
              <w:jc w:val="right"/>
              <w:ind w:right="94"/>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CE3EF"/>
          </w:tcPr>
          <w:p>
            <w:pPr>
              <w:spacing w:after="0"/>
              <w:rPr>
                <w:sz w:val="22"/>
                <w:szCs w:val="22"/>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(3.5)</w:t>
            </w:r>
          </w:p>
        </w:tc>
        <w:tc>
          <w:tcPr>
            <w:tcW w:w="1920" w:type="dxa"/>
            <w:vAlign w:val="bottom"/>
            <w:shd w:val="clear" w:color="auto" w:fill="DCE3EF"/>
          </w:tcPr>
          <w:p>
            <w:pPr>
              <w:jc w:val="right"/>
              <w:ind w:right="550"/>
              <w:spacing w:after="0"/>
              <w:rPr>
                <w:sz w:val="20"/>
                <w:szCs w:val="20"/>
                <w:color w:val="auto"/>
              </w:rPr>
            </w:pPr>
            <w:r>
              <w:rPr>
                <w:rFonts w:ascii="Arial" w:cs="Arial" w:eastAsia="Arial" w:hAnsi="Arial"/>
                <w:sz w:val="18"/>
                <w:szCs w:val="18"/>
                <w:color w:val="auto"/>
              </w:rPr>
              <w:t>(0.8)%</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920" w:type="dxa"/>
            <w:vAlign w:val="bottom"/>
          </w:tcPr>
          <w:p>
            <w:pPr>
              <w:jc w:val="right"/>
              <w:ind w:right="610"/>
              <w:spacing w:after="0"/>
              <w:rPr>
                <w:sz w:val="20"/>
                <w:szCs w:val="20"/>
                <w:color w:val="auto"/>
              </w:rPr>
            </w:pPr>
            <w:r>
              <w:rPr>
                <w:rFonts w:ascii="Arial" w:cs="Arial" w:eastAsia="Arial" w:hAnsi="Arial"/>
                <w:sz w:val="18"/>
                <w:szCs w:val="18"/>
                <w:color w:val="auto"/>
              </w:rPr>
              <w:t>4.3%</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DCE2EF"/>
          </w:tcPr>
          <w:p>
            <w:pPr>
              <w:spacing w:after="0"/>
              <w:rPr>
                <w:sz w:val="21"/>
                <w:szCs w:val="21"/>
                <w:color w:val="auto"/>
              </w:rPr>
            </w:pPr>
          </w:p>
        </w:tc>
        <w:tc>
          <w:tcPr>
            <w:tcW w:w="540" w:type="dxa"/>
            <w:vAlign w:val="bottom"/>
            <w:shd w:val="clear" w:color="auto" w:fill="DCE2EF"/>
          </w:tcPr>
          <w:p>
            <w:pPr>
              <w:spacing w:after="0"/>
              <w:rPr>
                <w:sz w:val="21"/>
                <w:szCs w:val="21"/>
                <w:color w:val="auto"/>
              </w:rPr>
            </w:pPr>
          </w:p>
        </w:tc>
        <w:tc>
          <w:tcPr>
            <w:tcW w:w="1280" w:type="dxa"/>
            <w:vAlign w:val="bottom"/>
            <w:shd w:val="clear" w:color="auto" w:fill="DCE2EF"/>
          </w:tcPr>
          <w:p>
            <w:pPr>
              <w:jc w:val="right"/>
              <w:ind w:right="34"/>
              <w:spacing w:after="0"/>
              <w:rPr>
                <w:sz w:val="20"/>
                <w:szCs w:val="20"/>
                <w:color w:val="auto"/>
              </w:rPr>
            </w:pPr>
            <w:r>
              <w:rPr>
                <w:rFonts w:ascii="Arial" w:cs="Arial" w:eastAsia="Arial" w:hAnsi="Arial"/>
                <w:sz w:val="14"/>
                <w:szCs w:val="14"/>
                <w:i w:val="1"/>
                <w:iCs w:val="1"/>
                <w:color w:val="auto"/>
              </w:rPr>
              <w:t>25 bps</w:t>
            </w:r>
          </w:p>
        </w:tc>
        <w:tc>
          <w:tcPr>
            <w:tcW w:w="192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40" w:type="dxa"/>
            <w:vAlign w:val="bottom"/>
            <w:shd w:val="clear" w:color="auto" w:fill="DCE2EF"/>
          </w:tcPr>
          <w:p>
            <w:pPr>
              <w:spacing w:after="0"/>
              <w:rPr>
                <w:sz w:val="2"/>
                <w:szCs w:val="2"/>
                <w:color w:val="auto"/>
              </w:rPr>
            </w:pPr>
          </w:p>
        </w:tc>
        <w:tc>
          <w:tcPr>
            <w:tcW w:w="1280" w:type="dxa"/>
            <w:vAlign w:val="bottom"/>
            <w:shd w:val="clear" w:color="auto" w:fill="DCE2EF"/>
          </w:tcPr>
          <w:p>
            <w:pPr>
              <w:spacing w:after="0"/>
              <w:rPr>
                <w:sz w:val="2"/>
                <w:szCs w:val="2"/>
                <w:color w:val="auto"/>
              </w:rPr>
            </w:pPr>
          </w:p>
        </w:tc>
        <w:tc>
          <w:tcPr>
            <w:tcW w:w="192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Education revenues decreased by $3.5 million, or 0.8%, during the six months ended April 30, 2019, as compared to the six months ended April 30, 2018. The decrease was attributable to the loss of certain accounts that primarily occurred in the prior year, partially offset by new business.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$0.8 million, or 4.3%, during the six months ended April 30, 2019, as compared to the six months ended April 30, 2018. Operating profit margin increased by 25 bps to 5.0% in the six months ended April 30, 2019 from 4.8% in the six months ended April 30, 2018. The increase in operating profit margin was primarily attributable to the timing of certain synergies and lower reserves established for client receivables, including collections of previously written off receivables, partially offset by the loss of certain higher margin accounts and an increase in wages and related personnel costs.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Technical Solutions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DCE2EF"/>
            </w:tcBorders>
            <w:shd w:val="clear" w:color="auto" w:fill="DCE2EF"/>
          </w:tcPr>
          <w:p>
            <w:pPr>
              <w:spacing w:after="0"/>
              <w:rPr>
                <w:sz w:val="21"/>
                <w:szCs w:val="21"/>
                <w:color w:val="auto"/>
              </w:rPr>
            </w:pPr>
          </w:p>
        </w:tc>
        <w:tc>
          <w:tcPr>
            <w:tcW w:w="70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CE2EF"/>
            </w:tcBorders>
            <w:shd w:val="clear" w:color="auto" w:fill="DCE2EF"/>
          </w:tcPr>
          <w:p>
            <w:pPr>
              <w:jc w:val="right"/>
              <w:ind w:right="614"/>
              <w:spacing w:after="0"/>
              <w:rPr>
                <w:sz w:val="20"/>
                <w:szCs w:val="20"/>
                <w:color w:val="auto"/>
              </w:rPr>
            </w:pPr>
            <w:r>
              <w:rPr>
                <w:rFonts w:ascii="Arial" w:cs="Arial" w:eastAsia="Arial" w:hAnsi="Arial"/>
                <w:sz w:val="18"/>
                <w:szCs w:val="18"/>
                <w:color w:val="auto"/>
              </w:rPr>
              <w:t>23.0</w:t>
            </w:r>
          </w:p>
        </w:tc>
        <w:tc>
          <w:tcPr>
            <w:tcW w:w="1340" w:type="dxa"/>
            <w:vAlign w:val="bottom"/>
            <w:tcBorders>
              <w:bottom w:val="single" w:sz="8" w:color="DCE2EF"/>
            </w:tcBorders>
            <w:shd w:val="clear" w:color="auto" w:fill="DCE2EF"/>
          </w:tcPr>
          <w:p>
            <w:pPr>
              <w:jc w:val="right"/>
              <w:ind w:right="570"/>
              <w:spacing w:after="0"/>
              <w:rPr>
                <w:sz w:val="20"/>
                <w:szCs w:val="20"/>
                <w:color w:val="auto"/>
              </w:rPr>
            </w:pPr>
            <w:r>
              <w:rPr>
                <w:rFonts w:ascii="Arial" w:cs="Arial" w:eastAsia="Arial" w:hAnsi="Arial"/>
                <w:sz w:val="18"/>
                <w:szCs w:val="18"/>
                <w:color w:val="auto"/>
              </w:rPr>
              <w:t>10.8%</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2.5</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18.7%</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6.6%</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6.1%</w:t>
            </w:r>
          </w:p>
        </w:tc>
        <w:tc>
          <w:tcPr>
            <w:tcW w:w="100" w:type="dxa"/>
            <w:vAlign w:val="bottom"/>
            <w:shd w:val="clear" w:color="auto" w:fill="DCE2EF"/>
          </w:tcPr>
          <w:p>
            <w:pPr>
              <w:spacing w:after="0"/>
              <w:rPr>
                <w:sz w:val="21"/>
                <w:szCs w:val="21"/>
                <w:color w:val="auto"/>
              </w:rPr>
            </w:pPr>
          </w:p>
        </w:tc>
        <w:tc>
          <w:tcPr>
            <w:tcW w:w="700" w:type="dxa"/>
            <w:vAlign w:val="bottom"/>
            <w:shd w:val="clear" w:color="auto" w:fill="DCE2EF"/>
          </w:tcPr>
          <w:p>
            <w:pPr>
              <w:spacing w:after="0"/>
              <w:rPr>
                <w:sz w:val="21"/>
                <w:szCs w:val="21"/>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44 bps</w:t>
            </w:r>
          </w:p>
        </w:tc>
        <w:tc>
          <w:tcPr>
            <w:tcW w:w="134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700" w:type="dxa"/>
            <w:vAlign w:val="bottom"/>
            <w:shd w:val="clear" w:color="auto" w:fill="DCE2EF"/>
          </w:tcPr>
          <w:p>
            <w:pPr>
              <w:spacing w:after="0"/>
              <w:rPr>
                <w:sz w:val="2"/>
                <w:szCs w:val="2"/>
                <w:color w:val="auto"/>
              </w:rPr>
            </w:pPr>
          </w:p>
        </w:tc>
        <w:tc>
          <w:tcPr>
            <w:tcW w:w="17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increased by $23.0 million, or 10.8%, during the six months ended April 30, 2019, as compared to the six months ended April 30, 2018. This increase was primarily attributable to growth in our U.S. business related to bundled energy solutions projects and power projects, partially offset by the contraction of certain accounts in our U.K. business.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$ 2.5 million, or 18.7%, during the six months ended April 30, 2019, as compared to the six months ended April 30, 2018. Operating profit margin increased by 44 bps to 6.6% in the six months ended April 30, 2019 from 6.1% in the six months ended April 30, 2018. The increase in operating profit margin was primarily attributable to the contribution of higher project revenues, lower amortization expense following the impairment recognized at the end of 2018, and lower sales commissions expense in the current year due to the deferral of commissions following the adoption of Topic 606. The increase was partially offset by lower margins on certain projects in our U.S. business, the loss of certain higher margin contracts in our U.K. business, and the absence of tax deductions taken in the prior year for energy efficient government buildings.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DCE2EF"/>
          </w:tcPr>
          <w:p>
            <w:pPr>
              <w:spacing w:after="0"/>
              <w:rPr>
                <w:sz w:val="22"/>
                <w:szCs w:val="22"/>
                <w:color w:val="auto"/>
              </w:rPr>
            </w:pPr>
          </w:p>
        </w:tc>
        <w:tc>
          <w:tcPr>
            <w:tcW w:w="620" w:type="dxa"/>
            <w:vAlign w:val="bottom"/>
            <w:shd w:val="clear" w:color="auto" w:fill="DCE2EF"/>
          </w:tcPr>
          <w:p>
            <w:pPr>
              <w:jc w:val="right"/>
              <w:ind w:right="3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534"/>
              <w:spacing w:after="0"/>
              <w:rPr>
                <w:sz w:val="20"/>
                <w:szCs w:val="20"/>
                <w:color w:val="auto"/>
              </w:rPr>
            </w:pPr>
            <w:r>
              <w:rPr>
                <w:rFonts w:ascii="Arial" w:cs="Arial" w:eastAsia="Arial" w:hAnsi="Arial"/>
                <w:sz w:val="18"/>
                <w:szCs w:val="18"/>
                <w:color w:val="auto"/>
              </w:rPr>
              <w:t>(4.6)</w:t>
            </w:r>
          </w:p>
        </w:tc>
        <w:tc>
          <w:tcPr>
            <w:tcW w:w="134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(3.4)%</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80" w:type="dxa"/>
            <w:vAlign w:val="bottom"/>
          </w:tcPr>
          <w:p>
            <w:pPr>
              <w:jc w:val="right"/>
              <w:ind w:right="534"/>
              <w:spacing w:after="0"/>
              <w:rPr>
                <w:sz w:val="20"/>
                <w:szCs w:val="20"/>
                <w:color w:val="auto"/>
              </w:rPr>
            </w:pPr>
            <w:r>
              <w:rPr>
                <w:rFonts w:ascii="Arial" w:cs="Arial" w:eastAsia="Arial" w:hAnsi="Arial"/>
                <w:sz w:val="18"/>
                <w:szCs w:val="18"/>
                <w:color w:val="auto"/>
              </w:rPr>
              <w:t>(1.6)</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(30.2)%</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2.8%</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3.9%</w:t>
            </w:r>
          </w:p>
        </w:tc>
        <w:tc>
          <w:tcPr>
            <w:tcW w:w="10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(109) bps</w:t>
            </w:r>
          </w:p>
        </w:tc>
        <w:tc>
          <w:tcPr>
            <w:tcW w:w="134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Healthcare revenues decreased by $4.6 million, or 3.4%, during the six months ended April 30, 2019, as compared to the six months ended April 30, 2018. This decrease was primarily attributable to the loss of certain accounts, partially offset by new business.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$1.6 million, or 30.2%, during the six months ended April 30, 2019, as compared to the six months ended April 30, 2018. Operating profit margin decreased by 109 bps to 2.8% in the six months ended April 30, 2019 from 3.9% in the six months ended April 30, 2018. This decrease was primarily attributable to the loss of certain higher margin contracts, partially offset by lower selling, general and administrative expenses.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9" w:right="239" w:bottom="1440" w:gutter="0" w:footer="0" w:header="0"/>
        </w:sectPr>
      </w:pPr>
    </w:p>
    <w:bookmarkStart w:id="46" w:name="page47"/>
    <w:bookmarkEnd w:id="46"/>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 April 30,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9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DCE2EF"/>
          </w:tcPr>
          <w:p>
            <w:pPr>
              <w:spacing w:after="0"/>
              <w:rPr>
                <w:sz w:val="22"/>
                <w:szCs w:val="22"/>
                <w:color w:val="auto"/>
              </w:rPr>
            </w:pPr>
          </w:p>
        </w:tc>
        <w:tc>
          <w:tcPr>
            <w:tcW w:w="7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(0.9)</w:t>
            </w:r>
          </w:p>
        </w:tc>
        <w:tc>
          <w:tcPr>
            <w:tcW w:w="134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rPr>
              <w:t>(1.1)%</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decreased slightly by $0.9 million, or 1.1%, during the six months ended April 30, 2019, as compared to the six months ended April 30, 2018. The slight decrease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$13.1 million decrease in restructuring and related expenses as a result of restructuring expenses incurred in the prior year following the acquisition of GCA, partially offset by other restructuring expenses incurred in the current year;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$4.4 million decrease in legal settlement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$1.2 million of acquisition costs related to the GCA acquisition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Offsetting this decrease was:</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$9.7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a $4.3 million reimbursement of previously expensed legal settlement costs received in the prior year;</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a $2.8 million benefit resulting from actuarial evaluations performed on our medical and dental self-insurance plans in the three months ended April 30, 2018;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 million higher adjustment to self-insurance reserves related to prior year claims as a result of an actuarial review and update completed in the current year.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7" w:right="239"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integration costs related to the GCA acquisition. We anticipate long-term cash uses will also include strategic acquisitions and share repurchases.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credit facility for any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2019, we expect accelerated cash tax savings related to coverage provided by IFM to be approximately $5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Initial borrowings under the Credit Facility were used to finance, in part, the cash portion of the purchase price related to the GCA acquisition, to refinance certain existing indebtedness of ABM, and to pay transaction costs.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draw down available capacity under the Credit Facility, as amended, is subject to, and limited by, compliance with certain financial covenants, which include a maximum leverage ratio of 4.50 to 1.0, which steps down to 3.50 to 1.0 by July 2021, and a minimum fixed charge coverage ratio of 1.50 to 1.0. Other covenants under the Credit Facility include limitations on liens, dispositions, fundamental changes, investments, and certain transactions and payments. At April 30, 2019, we were in compliance with these covenants and expect to be in compliance in the foreseeable future.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and six months ended April 30, 2019, we made principal payments under the term loan of $10.0 million and $20.0 million, respectively. At April 30, 2019, the total outstanding borrowings under our Credit Facility in the form of cash borrowings and standby letters of credit were $961.0 million and $152.4 million, respectively. At April 30, 2019, we had up to $437.2 million of borrowing capacity under the Credit Facility; however, covenant restrictions limited our actual borrowing capacity to $405.1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Act, no deferred tax liabilities with respect to federal and state income taxes or foreign withholding taxes have been recognized.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There were no share repurchases during the six months ended April 30, 2019. At April 30, 2019, authorization for $134.1 million of repurchases remained under our share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was $56.3 million during the six months ended April 30, 2019.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92"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28575</wp:posOffset>
            </wp:positionV>
            <wp:extent cx="2324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70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772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w:t>
            </w:r>
          </w:p>
        </w:tc>
        <w:tc>
          <w:tcPr>
            <w:tcW w:w="40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133.3</w:t>
            </w:r>
          </w:p>
        </w:tc>
      </w:tr>
      <w:tr>
        <w:trPr>
          <w:trHeight w:val="263"/>
        </w:trPr>
        <w:tc>
          <w:tcPr>
            <w:tcW w:w="77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7"/>
        </w:trPr>
        <w:tc>
          <w:tcPr>
            <w:tcW w:w="77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DCE2EF"/>
          </w:tcPr>
          <w:p>
            <w:pPr>
              <w:spacing w:after="0"/>
              <w:rPr>
                <w:sz w:val="24"/>
                <w:szCs w:val="24"/>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(102.7)</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decreased by $77.0 million during the six months ended April 30, 2019, as compared to the six months ended April 30, 2018. This decrease was primarily related to the timing of client receivable collections and the absence of proceeds from the termination of our interest rate swaps in the prior year, partially offset by the timing of vendor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investing activities increased by $2.7 million during the six months ended April 30, 2019, as compared to the six months ended April 30, 2018. The increase was primarily related to higher additions to property, plant and equipment in the current year.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financing activities decreased by $87.7 million during the six months ended April 30, 2019, as compared to the six months ended April 30, 2018. This decrease was primarily related to higher repayments of our borrowings in the prior year.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22" w:right="239" w:bottom="1440" w:gutter="0" w:footer="0" w:header="0"/>
        </w:sectPr>
      </w:pPr>
    </w:p>
    <w:bookmarkStart w:id="49" w:name="page50"/>
    <w:bookmarkEnd w:id="49"/>
    <w:p>
      <w:pPr>
        <w:ind w:left="40"/>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April 30, 2019, the total amount accrued for all probable litigation losses where a reasonable estimate of the loss could be made was $11.7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$7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additional information about our contingencies, see Note 9, “Commitments and Contingencies,” in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4" w:right="239" w:bottom="1440" w:gutter="0" w:footer="0" w:header="0"/>
        </w:sectPr>
      </w:pPr>
    </w:p>
    <w:bookmarkStart w:id="50" w:name="page51"/>
    <w:bookmarkEnd w:id="50"/>
    <w:p>
      <w:pPr>
        <w:ind w:left="40"/>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Our accompanying Financial Statements are prepared in accordance with United States generally accepted accounting principles (“U.S. GAAP”), which require us to make certain estimates in the application of our accounting policies based on the best assumptions, judgments, and opinions of our management. On November 1, 2018,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606) </w:t>
      </w:r>
      <w:r>
        <w:rPr>
          <w:rFonts w:ascii="Arial" w:cs="Arial" w:eastAsia="Arial" w:hAnsi="Arial"/>
          <w:sz w:val="18"/>
          <w:szCs w:val="18"/>
          <w:color w:val="auto"/>
        </w:rPr>
        <w:t>and ASU 2017-10,</w:t>
      </w:r>
      <w:r>
        <w:rPr>
          <w:rFonts w:ascii="Arial" w:cs="Arial" w:eastAsia="Arial" w:hAnsi="Arial"/>
          <w:sz w:val="18"/>
          <w:szCs w:val="18"/>
          <w:i w:val="1"/>
          <w:iCs w:val="1"/>
          <w:color w:val="auto"/>
        </w:rPr>
        <w:t xml:space="preserve"> Service Concession Arrangements (Topic 853): Determining the Customer of the Operation Services. </w:t>
      </w:r>
      <w:r>
        <w:rPr>
          <w:rFonts w:ascii="Arial" w:cs="Arial" w:eastAsia="Arial" w:hAnsi="Arial"/>
          <w:sz w:val="18"/>
          <w:szCs w:val="18"/>
          <w:color w:val="auto"/>
        </w:rPr>
        <w:t>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Note 2, “Basis of Presentation and Significant Accounting Policies,” and Note 3, “Revenue,” in the Financial Statements for additional information regarding the impact of adopting these standards. Additionally, refer to Note 2, “Basis of Presentation and Significant Accounting Policies,” for other standards adopted during the first quarter of 2019, none of which had a material impact on our consolidated financial statements. There have been no other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 Accounting Pronouncements</w:t>
      </w:r>
    </w:p>
    <w:p>
      <w:pPr>
        <w:sectPr>
          <w:pgSz w:w="11900" w:h="16838" w:orient="portrait"/>
          <w:cols w:equalWidth="0" w:num="1">
            <w:col w:w="11420"/>
          </w:cols>
          <w:pgMar w:left="240" w:top="684" w:right="239" w:bottom="1440" w:gutter="0" w:footer="0" w:header="0"/>
        </w:sect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457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59" w:lineRule="exact"/>
        <w:rPr>
          <w:sz w:val="20"/>
          <w:szCs w:val="20"/>
          <w:color w:val="auto"/>
        </w:rPr>
      </w:pPr>
    </w:p>
    <w:p>
      <w:pPr>
        <w:ind w:left="40"/>
        <w:spacing w:after="0" w:line="246" w:lineRule="auto"/>
        <w:rPr>
          <w:sz w:val="20"/>
          <w:szCs w:val="20"/>
          <w:color w:val="auto"/>
        </w:rPr>
      </w:pPr>
      <w:r>
        <w:rPr>
          <w:rFonts w:ascii="Arial" w:cs="Arial" w:eastAsia="Arial" w:hAnsi="Arial"/>
          <w:sz w:val="15"/>
          <w:szCs w:val="15"/>
          <w:color w:val="auto"/>
        </w:rPr>
        <w:t xml:space="preserve">In April 2019, the Financial Accounting Standards Board (“FASB”) issued ASU 2019-04, </w:t>
      </w:r>
      <w:r>
        <w:rPr>
          <w:rFonts w:ascii="Arial" w:cs="Arial" w:eastAsia="Arial" w:hAnsi="Arial"/>
          <w:sz w:val="15"/>
          <w:szCs w:val="15"/>
          <w:i w:val="1"/>
          <w:iCs w:val="1"/>
          <w:color w:val="auto"/>
        </w:rPr>
        <w:t>Codification Improvements to Topic 326: Financial Instruments—Credit Losses; Topic 815: Derivatives and Hedging; and Topic 825: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1457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20320</wp:posOffset>
            </wp:positionV>
            <wp:extent cx="23926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ind w:left="8" w:right="80"/>
        <w:spacing w:after="0" w:line="254" w:lineRule="auto"/>
        <w:rPr>
          <w:sz w:val="20"/>
          <w:szCs w:val="20"/>
          <w:color w:val="auto"/>
        </w:rPr>
      </w:pPr>
      <w:r>
        <w:rPr>
          <w:rFonts w:ascii="Arial" w:cs="Arial" w:eastAsia="Arial" w:hAnsi="Arial"/>
          <w:sz w:val="15"/>
          <w:szCs w:val="15"/>
          <w:color w:val="auto"/>
        </w:rPr>
        <w:t>This ASU provides narrow-scope amendments designed to assist in the application of the following updates and the related accounting standards:</w:t>
      </w:r>
    </w:p>
    <w:p>
      <w:pPr>
        <w:spacing w:after="0" w:line="98" w:lineRule="exact"/>
        <w:rPr>
          <w:sz w:val="20"/>
          <w:szCs w:val="20"/>
          <w:color w:val="auto"/>
        </w:rPr>
      </w:pPr>
    </w:p>
    <w:p>
      <w:pPr>
        <w:ind w:left="8" w:right="120" w:hanging="8"/>
        <w:spacing w:after="0" w:line="241"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Statements</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ind w:left="8" w:right="220" w:hanging="8"/>
        <w:spacing w:after="0" w:line="241"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ASU 2017-12, </w:t>
      </w:r>
      <w:r>
        <w:rPr>
          <w:rFonts w:ascii="Arial" w:cs="Arial" w:eastAsia="Arial" w:hAnsi="Arial"/>
          <w:sz w:val="16"/>
          <w:szCs w:val="16"/>
          <w:i w:val="1"/>
          <w:iCs w:val="1"/>
          <w:color w:val="auto"/>
        </w:rPr>
        <w:t>Derivatives and Hedging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815): Targeted Improvements to Accounting for Hedging Activities</w:t>
      </w:r>
      <w:r>
        <w:rPr>
          <w:rFonts w:ascii="Arial" w:cs="Arial" w:eastAsia="Arial" w:hAnsi="Arial"/>
          <w:sz w:val="16"/>
          <w:szCs w:val="16"/>
          <w:color w:val="auto"/>
        </w:rPr>
        <w:t>; and</w:t>
      </w:r>
    </w:p>
    <w:p>
      <w:pPr>
        <w:spacing w:after="0" w:line="107" w:lineRule="exact"/>
        <w:rPr>
          <w:rFonts w:ascii="Arial" w:cs="Arial" w:eastAsia="Arial" w:hAnsi="Arial"/>
          <w:sz w:val="16"/>
          <w:szCs w:val="16"/>
          <w:color w:val="auto"/>
        </w:rPr>
      </w:pPr>
    </w:p>
    <w:p>
      <w:pPr>
        <w:ind w:left="8" w:hanging="8"/>
        <w:spacing w:after="0" w:line="241"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2016-01, </w:t>
      </w:r>
      <w:r>
        <w:rPr>
          <w:rFonts w:ascii="Arial" w:cs="Arial" w:eastAsia="Arial" w:hAnsi="Arial"/>
          <w:sz w:val="16"/>
          <w:szCs w:val="16"/>
          <w:i w:val="1"/>
          <w:iCs w:val="1"/>
          <w:color w:val="auto"/>
        </w:rPr>
        <w:t>Financial Instruments—Overall</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825-10): Recognition and Measurement of Financial Assets and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451485</wp:posOffset>
            </wp:positionV>
            <wp:extent cx="23926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-3810</wp:posOffset>
            </wp:positionV>
            <wp:extent cx="1586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jc w:val="both"/>
        <w:ind w:right="240" w:firstLine="2"/>
        <w:spacing w:after="0" w:line="233" w:lineRule="auto"/>
        <w:tabs>
          <w:tab w:leader="none" w:pos="2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amendments related to ASU 2016-13 will be adopted in conjunction with that ASU, as further described below.</w:t>
      </w:r>
    </w:p>
    <w:p>
      <w:pPr>
        <w:spacing w:after="0" w:line="122" w:lineRule="exact"/>
        <w:rPr>
          <w:rFonts w:ascii="Arial" w:cs="Arial" w:eastAsia="Arial" w:hAnsi="Arial"/>
          <w:sz w:val="16"/>
          <w:szCs w:val="16"/>
          <w:color w:val="auto"/>
        </w:rPr>
      </w:pPr>
    </w:p>
    <w:p>
      <w:pPr>
        <w:ind w:firstLine="2"/>
        <w:spacing w:after="0" w:line="232" w:lineRule="auto"/>
        <w:tabs>
          <w:tab w:leader="none" w:pos="2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Since we early adopted ASU 2017-12, the related amendments are effective for us on November 1, 2019 and can be applied either retrospectively or prospectively.</w:t>
      </w:r>
    </w:p>
    <w:p>
      <w:pPr>
        <w:spacing w:after="0" w:line="123" w:lineRule="exact"/>
        <w:rPr>
          <w:rFonts w:ascii="Arial" w:cs="Arial" w:eastAsia="Arial" w:hAnsi="Arial"/>
          <w:sz w:val="16"/>
          <w:szCs w:val="16"/>
          <w:color w:val="auto"/>
        </w:rPr>
      </w:pPr>
    </w:p>
    <w:p>
      <w:pPr>
        <w:ind w:firstLine="2"/>
        <w:spacing w:after="0" w:line="247" w:lineRule="auto"/>
        <w:tabs>
          <w:tab w:leader="none" w:pos="2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Since we already adopted ASU 2016-01, the related amendments are effective for us on November 1, 2020 and will be applied using a modified-retrospective adoption approach with a cumulative-effect adjustment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90170</wp:posOffset>
            </wp:positionV>
            <wp:extent cx="15862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15862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jc w:val="both"/>
        <w:ind w:right="260"/>
        <w:spacing w:after="0" w:line="233" w:lineRule="auto"/>
        <w:rPr>
          <w:sz w:val="20"/>
          <w:szCs w:val="20"/>
          <w:color w:val="auto"/>
        </w:rPr>
      </w:pPr>
      <w:r>
        <w:rPr>
          <w:rFonts w:ascii="Arial" w:cs="Arial" w:eastAsia="Arial" w:hAnsi="Arial"/>
          <w:sz w:val="16"/>
          <w:szCs w:val="16"/>
          <w:color w:val="auto"/>
        </w:rPr>
        <w:t>We are currently evaluating the impact of implementing all three aspects of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1600200</wp:posOffset>
            </wp:positionV>
            <wp:extent cx="1586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567" w:lineRule="exact"/>
        <w:rPr>
          <w:sz w:val="20"/>
          <w:szCs w:val="20"/>
          <w:color w:val="auto"/>
        </w:rPr>
      </w:pPr>
    </w:p>
    <w:p>
      <w:pPr>
        <w:sectPr>
          <w:pgSz w:w="11900" w:h="16838" w:orient="portrait"/>
          <w:cols w:equalWidth="0" w:num="4">
            <w:col w:w="2160" w:space="292"/>
            <w:col w:w="3648" w:space="240"/>
            <w:col w:w="2440" w:space="160"/>
            <w:col w:w="2480"/>
          </w:cols>
          <w:pgMar w:left="240" w:top="684" w:right="239" w:bottom="1440" w:gutter="0" w:footer="0" w:header="0"/>
          <w:type w:val="continuous"/>
        </w:sectPr>
      </w:pPr>
    </w:p>
    <w:p>
      <w:pPr>
        <w:ind w:left="40" w:right="160"/>
        <w:spacing w:after="0" w:line="229" w:lineRule="auto"/>
        <w:rPr>
          <w:sz w:val="20"/>
          <w:szCs w:val="20"/>
          <w:color w:val="auto"/>
        </w:rPr>
      </w:pPr>
      <w:r>
        <w:rPr>
          <w:rFonts w:ascii="Arial" w:cs="Arial" w:eastAsia="Arial" w:hAnsi="Arial"/>
          <w:sz w:val="16"/>
          <w:szCs w:val="16"/>
          <w:color w:val="auto"/>
        </w:rPr>
        <w:t>In November 2018, the FASB issued ASU 2018-</w:t>
      </w:r>
    </w:p>
    <w:p>
      <w:pPr>
        <w:ind w:left="40"/>
        <w:spacing w:after="0" w:line="251"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808): Clarifying the Interaction between Topic 808 and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643890</wp:posOffset>
            </wp:positionV>
            <wp:extent cx="14579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auto"/>
        <w:rPr>
          <w:sz w:val="20"/>
          <w:szCs w:val="20"/>
          <w:color w:val="auto"/>
        </w:rPr>
      </w:pPr>
      <w:r>
        <w:rPr>
          <w:rFonts w:ascii="Arial" w:cs="Arial" w:eastAsia="Arial" w:hAnsi="Arial"/>
          <w:sz w:val="16"/>
          <w:szCs w:val="16"/>
          <w:color w:val="auto"/>
        </w:rPr>
        <w:t>This ASU provides guidance on whether certain transactions between collaborative arrangement participants should be accounted for as revenue under Topic 606. It specifically addresses when the participant is a customer in the context of a unit of account, adds unit of account guidance in Topic 808 to align with guidance in Topic 606, and precludes presenting the collaborative arrangement transaction together with revenue recognized under Topic 606 if the collaborative arrangement participant is not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93345</wp:posOffset>
            </wp:positionV>
            <wp:extent cx="23926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This update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897890</wp:posOffset>
            </wp:positionV>
            <wp:extent cx="1586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871220</wp:posOffset>
            </wp:positionV>
            <wp:extent cx="1586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419" w:lineRule="exact"/>
        <w:rPr>
          <w:sz w:val="20"/>
          <w:szCs w:val="20"/>
          <w:color w:val="auto"/>
        </w:rPr>
      </w:pPr>
    </w:p>
    <w:p>
      <w:pPr>
        <w:sectPr>
          <w:pgSz w:w="11900" w:h="16838" w:orient="portrait"/>
          <w:cols w:equalWidth="0" w:num="4">
            <w:col w:w="2240" w:space="220"/>
            <w:col w:w="3640" w:space="240"/>
            <w:col w:w="1880" w:space="720"/>
            <w:col w:w="2480"/>
          </w:cols>
          <w:pgMar w:left="240" w:top="684" w:right="239" w:bottom="1440" w:gutter="0" w:footer="0" w:header="0"/>
          <w:type w:val="continuous"/>
        </w:sectPr>
      </w:pPr>
    </w:p>
    <w:p>
      <w:pPr>
        <w:ind w:left="40" w:right="200"/>
        <w:spacing w:after="0" w:line="229" w:lineRule="auto"/>
        <w:rPr>
          <w:sz w:val="20"/>
          <w:szCs w:val="20"/>
          <w:color w:val="auto"/>
        </w:rPr>
      </w:pPr>
      <w:r>
        <w:rPr>
          <w:rFonts w:ascii="Arial" w:cs="Arial" w:eastAsia="Arial" w:hAnsi="Arial"/>
          <w:sz w:val="16"/>
          <w:szCs w:val="16"/>
          <w:color w:val="auto"/>
        </w:rPr>
        <w:t>In October 2018, the FASB issued ASU 2018-</w:t>
      </w:r>
    </w:p>
    <w:p>
      <w:pPr>
        <w:ind w:left="40"/>
        <w:spacing w:after="0" w:line="251"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i w:val="1"/>
          <w:iCs w:val="1"/>
          <w:color w:val="auto"/>
        </w:rPr>
        <w:t>Consolidation (Topic 810):</w:t>
      </w:r>
      <w:r>
        <w:rPr>
          <w:rFonts w:ascii="Arial" w:cs="Arial" w:eastAsia="Arial" w:hAnsi="Arial"/>
          <w:sz w:val="15"/>
          <w:szCs w:val="15"/>
          <w:color w:val="auto"/>
        </w:rPr>
        <w:t xml:space="preserve"> </w:t>
      </w:r>
      <w:r>
        <w:rPr>
          <w:rFonts w:ascii="Arial" w:cs="Arial" w:eastAsia="Arial" w:hAnsi="Arial"/>
          <w:sz w:val="15"/>
          <w:szCs w:val="15"/>
          <w:i w:val="1"/>
          <w:iCs w:val="1"/>
          <w:color w:val="auto"/>
        </w:rPr>
        <w:t>Targeted Improvements to Related Party Guidance for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457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5"/>
          <w:szCs w:val="15"/>
          <w:color w:val="auto"/>
        </w:rPr>
        <w:t>This ASU provides that indirect interests held through related parties in common control arrangements should be considered on a proportional basis for determining whether fees paid to decision makers and service providers are variable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113665</wp:posOffset>
            </wp:positionV>
            <wp:extent cx="23926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This update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254635</wp:posOffset>
            </wp:positionV>
            <wp:extent cx="15862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227965</wp:posOffset>
            </wp:positionV>
            <wp:extent cx="15862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4">
            <w:col w:w="2100" w:space="360"/>
            <w:col w:w="3700" w:space="180"/>
            <w:col w:w="1880" w:space="720"/>
            <w:col w:w="2480"/>
          </w:cols>
          <w:pgMar w:left="240" w:top="684" w:right="239" w:bottom="1440" w:gutter="0" w:footer="0" w:header="0"/>
          <w:type w:val="continuous"/>
        </w:sectPr>
      </w:pP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684" w:right="239" w:bottom="1440" w:gutter="0" w:footer="0" w:header="0"/>
          <w:type w:val="continuous"/>
        </w:sectPr>
      </w:pPr>
    </w:p>
    <w:bookmarkStart w:id="51" w:name="page52"/>
    <w:bookmarkEnd w:id="51"/>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20320</wp:posOffset>
            </wp:positionV>
            <wp:extent cx="1457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59" w:lineRule="exact"/>
        <w:rPr>
          <w:sz w:val="20"/>
          <w:szCs w:val="20"/>
          <w:color w:val="auto"/>
        </w:rPr>
      </w:pPr>
    </w:p>
    <w:p>
      <w:pPr>
        <w:ind w:right="200"/>
        <w:spacing w:after="0" w:line="229" w:lineRule="auto"/>
        <w:rPr>
          <w:sz w:val="20"/>
          <w:szCs w:val="20"/>
          <w:color w:val="auto"/>
        </w:rPr>
      </w:pPr>
      <w:r>
        <w:rPr>
          <w:rFonts w:ascii="Arial" w:cs="Arial" w:eastAsia="Arial" w:hAnsi="Arial"/>
          <w:sz w:val="16"/>
          <w:szCs w:val="16"/>
          <w:color w:val="auto"/>
        </w:rPr>
        <w:t>In October 2018, the FASB issued ASU 2018-</w:t>
      </w:r>
    </w:p>
    <w:p>
      <w:pPr>
        <w:spacing w:after="0" w:line="247"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w:t>
      </w:r>
      <w:r>
        <w:rPr>
          <w:rFonts w:ascii="Arial" w:cs="Arial" w:eastAsia="Arial" w:hAnsi="Arial"/>
          <w:sz w:val="15"/>
          <w:szCs w:val="15"/>
          <w:i w:val="1"/>
          <w:iCs w:val="1"/>
          <w:color w:val="auto"/>
        </w:rPr>
        <w:t>(Topic 815): Inclusion of the Secured Overnight Financing Rate (SOFR) Overnight Index Swap (OIS) Rate as a Benchmark Interest Rate for Hedge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424180</wp:posOffset>
            </wp:positionV>
            <wp:extent cx="1457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20320</wp:posOffset>
            </wp:positionV>
            <wp:extent cx="23926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9"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This ASU adds the Overnight Index Swap (“OIS”) rate based on the Secured Overnight Financing Rate (“SOFR”) (a swap rate based on the underlying overnight SOFR rate) as an eligible benchmark interest rate for purposes of applying hedge accounting. SOFR is a volume-weighted median interest rate that is calculated daily based on overnight transactions from the prior day’s trading activity in specified segments of the U.S. Treasury repo market. SOFR was selected by the Alternative Reference Rates Committee as its preferred alternative reference rate to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92710</wp:posOffset>
            </wp:positionV>
            <wp:extent cx="239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20"/>
        <w:spacing w:after="0" w:line="260"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-3810</wp:posOffset>
            </wp:positionV>
            <wp:extent cx="1586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Since we early adopted ASU 2017-12, this update will be effective for us on November 1, 2020 on a prospective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982980</wp:posOffset>
            </wp:positionV>
            <wp:extent cx="15862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60"/>
        <w:spacing w:after="0" w:line="260"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-3810</wp:posOffset>
            </wp:positionV>
            <wp:extent cx="1586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p>
    <w:p>
      <w:pPr>
        <w:ind w:right="26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982980</wp:posOffset>
            </wp:positionV>
            <wp:extent cx="1586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595" w:lineRule="exact"/>
        <w:rPr>
          <w:sz w:val="20"/>
          <w:szCs w:val="20"/>
          <w:color w:val="auto"/>
        </w:rPr>
      </w:pPr>
    </w:p>
    <w:p>
      <w:pPr>
        <w:sectPr>
          <w:pgSz w:w="11900" w:h="16838" w:orient="portrait"/>
          <w:cols w:equalWidth="0" w:num="4">
            <w:col w:w="2060" w:space="360"/>
            <w:col w:w="3660" w:space="220"/>
            <w:col w:w="2440" w:space="160"/>
            <w:col w:w="2440"/>
          </w:cols>
          <w:pgMar w:left="280" w:top="693" w:right="279" w:bottom="1440" w:gutter="0" w:footer="0" w:header="0"/>
        </w:sectPr>
      </w:pPr>
    </w:p>
    <w:p>
      <w:pPr>
        <w:spacing w:after="0" w:line="230"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8255</wp:posOffset>
            </wp:positionV>
            <wp:extent cx="14579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1"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 xml:space="preserve">In August 2018, the FASB issued ASU 2018-14, </w:t>
      </w:r>
      <w:r>
        <w:rPr>
          <w:rFonts w:ascii="Arial" w:cs="Arial" w:eastAsia="Arial" w:hAnsi="Arial"/>
          <w:sz w:val="15"/>
          <w:szCs w:val="15"/>
          <w:i w:val="1"/>
          <w:iCs w:val="1"/>
          <w:color w:val="auto"/>
        </w:rPr>
        <w:t>Compensation—Retirement Benefits—General (Topic 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14579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5"/>
          <w:szCs w:val="15"/>
          <w:color w:val="auto"/>
        </w:rPr>
        <w:t>This ASU aligns the requirements for capitalizing implementation costs incurred in a hosting arrangement that is a service contract with the requirements for capitalizing implementation costs incurred to develop or obtain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448310</wp:posOffset>
            </wp:positionV>
            <wp:extent cx="23926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This ASU modifies the disclosure requirements on company-sponsored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288925</wp:posOffset>
            </wp:positionV>
            <wp:extent cx="23926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update will be applied either prospectively or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577215</wp:posOffset>
            </wp:positionV>
            <wp:extent cx="15862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ind w:right="440"/>
        <w:spacing w:after="0" w:line="236" w:lineRule="auto"/>
        <w:rPr>
          <w:sz w:val="20"/>
          <w:szCs w:val="20"/>
          <w:color w:val="auto"/>
        </w:rPr>
      </w:pPr>
      <w:r>
        <w:rPr>
          <w:rFonts w:ascii="Arial" w:cs="Arial" w:eastAsia="Arial" w:hAnsi="Arial"/>
          <w:sz w:val="16"/>
          <w:szCs w:val="16"/>
          <w:color w:val="auto"/>
        </w:rPr>
        <w:t>This update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92075</wp:posOffset>
            </wp:positionV>
            <wp:extent cx="15862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562610</wp:posOffset>
            </wp:positionV>
            <wp:extent cx="15862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15862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41" w:lineRule="exact"/>
        <w:rPr>
          <w:sz w:val="20"/>
          <w:szCs w:val="20"/>
          <w:color w:val="auto"/>
        </w:rPr>
      </w:pPr>
    </w:p>
    <w:p>
      <w:pPr>
        <w:sectPr>
          <w:pgSz w:w="11900" w:h="16838" w:orient="portrait"/>
          <w:cols w:equalWidth="0" w:num="4">
            <w:col w:w="2220" w:space="200"/>
            <w:col w:w="3520" w:space="360"/>
            <w:col w:w="2280" w:space="320"/>
            <w:col w:w="2440"/>
          </w:cols>
          <w:pgMar w:left="280" w:top="693" w:right="279" w:bottom="1440" w:gutter="0" w:footer="0" w:header="0"/>
          <w:type w:val="continuous"/>
        </w:sectPr>
      </w:pPr>
    </w:p>
    <w:p>
      <w:pPr>
        <w:spacing w:after="0"/>
        <w:tabs>
          <w:tab w:leader="none" w:pos="2400" w:val="left"/>
        </w:tabs>
        <w:rPr>
          <w:sz w:val="20"/>
          <w:szCs w:val="20"/>
          <w:color w:val="auto"/>
        </w:rPr>
      </w:pPr>
      <w:r>
        <w:rPr>
          <w:rFonts w:ascii="Arial" w:cs="Arial" w:eastAsia="Arial" w:hAnsi="Arial"/>
          <w:sz w:val="16"/>
          <w:szCs w:val="16"/>
          <w:color w:val="auto"/>
        </w:rPr>
        <w:t>In August 2018, the FASB</w:t>
      </w:r>
      <w:r>
        <w:rPr>
          <w:sz w:val="20"/>
          <w:szCs w:val="20"/>
          <w:color w:val="auto"/>
        </w:rPr>
        <w:tab/>
      </w:r>
      <w:r>
        <w:rPr>
          <w:rFonts w:ascii="Arial" w:cs="Arial" w:eastAsia="Arial" w:hAnsi="Arial"/>
          <w:sz w:val="15"/>
          <w:szCs w:val="15"/>
          <w:color w:val="auto"/>
        </w:rPr>
        <w:t>This ASU modifies the disclosure requirements on</w:t>
      </w:r>
    </w:p>
    <w:p>
      <w:pPr>
        <w:spacing w:after="0"/>
        <w:tabs>
          <w:tab w:leader="none" w:pos="2400" w:val="left"/>
        </w:tabs>
        <w:rPr>
          <w:sz w:val="20"/>
          <w:szCs w:val="20"/>
          <w:color w:val="auto"/>
        </w:rPr>
      </w:pPr>
      <w:r>
        <w:rPr>
          <w:rFonts w:ascii="Arial" w:cs="Arial" w:eastAsia="Arial" w:hAnsi="Arial"/>
          <w:sz w:val="16"/>
          <w:szCs w:val="16"/>
          <w:color w:val="auto"/>
        </w:rPr>
        <w:t xml:space="preserve">issued ASU 2018-13, </w:t>
      </w:r>
      <w:r>
        <w:rPr>
          <w:rFonts w:ascii="Arial" w:cs="Arial" w:eastAsia="Arial" w:hAnsi="Arial"/>
          <w:sz w:val="16"/>
          <w:szCs w:val="16"/>
          <w:i w:val="1"/>
          <w:iCs w:val="1"/>
          <w:color w:val="auto"/>
        </w:rPr>
        <w:t>Fair Value</w:t>
      </w:r>
      <w:r>
        <w:rPr>
          <w:sz w:val="20"/>
          <w:szCs w:val="20"/>
          <w:color w:val="auto"/>
        </w:rPr>
        <w:tab/>
      </w:r>
      <w:r>
        <w:rPr>
          <w:rFonts w:ascii="Arial" w:cs="Arial" w:eastAsia="Arial" w:hAnsi="Arial"/>
          <w:sz w:val="15"/>
          <w:szCs w:val="15"/>
          <w:color w:val="auto"/>
        </w:rPr>
        <w:t>fair value measurements by removing certain</w:t>
      </w:r>
    </w:p>
    <w:p>
      <w:pPr>
        <w:spacing w:after="0"/>
        <w:tabs>
          <w:tab w:leader="none" w:pos="2400" w:val="left"/>
        </w:tabs>
        <w:rPr>
          <w:sz w:val="20"/>
          <w:szCs w:val="20"/>
          <w:color w:val="auto"/>
        </w:rPr>
      </w:pPr>
      <w:r>
        <w:rPr>
          <w:rFonts w:ascii="Arial" w:cs="Arial" w:eastAsia="Arial" w:hAnsi="Arial"/>
          <w:sz w:val="16"/>
          <w:szCs w:val="16"/>
          <w:i w:val="1"/>
          <w:iCs w:val="1"/>
          <w:color w:val="auto"/>
        </w:rPr>
        <w:t>Measurement (Topic 820):</w:t>
      </w:r>
      <w:r>
        <w:rPr>
          <w:sz w:val="20"/>
          <w:szCs w:val="20"/>
          <w:color w:val="auto"/>
        </w:rPr>
        <w:tab/>
      </w:r>
      <w:r>
        <w:rPr>
          <w:rFonts w:ascii="Arial" w:cs="Arial" w:eastAsia="Arial" w:hAnsi="Arial"/>
          <w:sz w:val="15"/>
          <w:szCs w:val="15"/>
          <w:color w:val="auto"/>
        </w:rPr>
        <w:t>disclosure requirements related to the fair value</w:t>
      </w:r>
    </w:p>
    <w:p>
      <w:pPr>
        <w:spacing w:after="0"/>
        <w:tabs>
          <w:tab w:leader="none" w:pos="2400" w:val="left"/>
        </w:tabs>
        <w:rPr>
          <w:sz w:val="20"/>
          <w:szCs w:val="20"/>
          <w:color w:val="auto"/>
        </w:rPr>
      </w:pPr>
      <w:r>
        <w:rPr>
          <w:rFonts w:ascii="Arial" w:cs="Arial" w:eastAsia="Arial" w:hAnsi="Arial"/>
          <w:sz w:val="16"/>
          <w:szCs w:val="16"/>
          <w:i w:val="1"/>
          <w:iCs w:val="1"/>
          <w:color w:val="auto"/>
        </w:rPr>
        <w:t>Disclosure Framework</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hierarchy, modifying existing disclosure requirements</w:t>
      </w:r>
    </w:p>
    <w:p>
      <w:pPr>
        <w:ind w:left="2420" w:right="20"/>
        <w:spacing w:after="0" w:line="236" w:lineRule="auto"/>
        <w:rPr>
          <w:sz w:val="20"/>
          <w:szCs w:val="20"/>
          <w:color w:val="auto"/>
        </w:rPr>
      </w:pPr>
      <w:r>
        <w:rPr>
          <w:rFonts w:ascii="Arial" w:cs="Arial" w:eastAsia="Arial" w:hAnsi="Arial"/>
          <w:sz w:val="16"/>
          <w:szCs w:val="16"/>
          <w:color w:val="auto"/>
        </w:rPr>
        <w:t>related to measurement uncertainty, and adding new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288925</wp:posOffset>
            </wp:positionV>
            <wp:extent cx="3927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27"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The amendments related to disclosure requirements within this update will be applied prospectively and the other amendments will be applied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92710</wp:posOffset>
            </wp:positionV>
            <wp:extent cx="15862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6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511175</wp:posOffset>
            </wp:positionV>
            <wp:extent cx="15862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51" w:lineRule="exact"/>
        <w:rPr>
          <w:sz w:val="20"/>
          <w:szCs w:val="20"/>
          <w:color w:val="auto"/>
        </w:rPr>
      </w:pPr>
    </w:p>
    <w:p>
      <w:pPr>
        <w:sectPr>
          <w:pgSz w:w="11900" w:h="16838" w:orient="portrait"/>
          <w:cols w:equalWidth="0" w:num="3">
            <w:col w:w="6080" w:space="220"/>
            <w:col w:w="2400" w:space="200"/>
            <w:col w:w="2440"/>
          </w:cols>
          <w:pgMar w:left="280" w:top="693" w:right="279" w:bottom="1440" w:gutter="0" w:footer="0" w:header="0"/>
          <w:type w:val="continuous"/>
        </w:sectPr>
      </w:pPr>
    </w:p>
    <w:p>
      <w:pPr>
        <w:spacing w:after="0" w:line="248"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Instruments—Credit Losses (Topic 326): Measurement of Credit Losses on Financial Statements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448945</wp:posOffset>
            </wp:positionV>
            <wp:extent cx="1457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w:t>
      </w:r>
      <w:r>
        <w:rPr>
          <w:rFonts w:ascii="Arial" w:cs="Arial" w:eastAsia="Arial" w:hAnsi="Arial"/>
          <w:sz w:val="15"/>
          <w:szCs w:val="15"/>
          <w:color w:val="auto"/>
        </w:rPr>
        <w:t>. The FASB has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issued several updates to ASU 2016-02, including ASU 2018-10, </w:t>
      </w:r>
      <w:r>
        <w:rPr>
          <w:rFonts w:ascii="Arial" w:cs="Arial" w:eastAsia="Arial" w:hAnsi="Arial"/>
          <w:sz w:val="15"/>
          <w:szCs w:val="15"/>
          <w:i w:val="1"/>
          <w:iCs w:val="1"/>
          <w:color w:val="auto"/>
        </w:rPr>
        <w:t>Codification Improvements</w:t>
      </w:r>
      <w:r>
        <w:rPr>
          <w:rFonts w:ascii="Arial" w:cs="Arial" w:eastAsia="Arial" w:hAnsi="Arial"/>
          <w:sz w:val="15"/>
          <w:szCs w:val="15"/>
          <w:color w:val="auto"/>
        </w:rPr>
        <w:t xml:space="preserve"> </w:t>
      </w:r>
      <w:r>
        <w:rPr>
          <w:rFonts w:ascii="Arial" w:cs="Arial" w:eastAsia="Arial" w:hAnsi="Arial"/>
          <w:sz w:val="15"/>
          <w:szCs w:val="15"/>
          <w:i w:val="1"/>
          <w:iCs w:val="1"/>
          <w:color w:val="auto"/>
        </w:rPr>
        <w:t>to Topic 842, Leases</w:t>
      </w:r>
      <w:r>
        <w:rPr>
          <w:rFonts w:ascii="Arial" w:cs="Arial" w:eastAsia="Arial" w:hAnsi="Arial"/>
          <w:sz w:val="15"/>
          <w:szCs w:val="15"/>
          <w:color w:val="auto"/>
        </w:rPr>
        <w:t>, and ASU</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 xml:space="preserve">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Targeted Improvements, </w:t>
      </w:r>
      <w:r>
        <w:rPr>
          <w:rFonts w:ascii="Arial" w:cs="Arial" w:eastAsia="Arial" w:hAnsi="Arial"/>
          <w:sz w:val="15"/>
          <w:szCs w:val="15"/>
          <w:color w:val="auto"/>
        </w:rPr>
        <w:t>which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were issued in July 2018, as well as ASU 2019-01,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 Codification Improvements</w:t>
      </w:r>
      <w:r>
        <w:rPr>
          <w:rFonts w:ascii="Arial" w:cs="Arial" w:eastAsia="Arial" w:hAnsi="Arial"/>
          <w:sz w:val="15"/>
          <w:szCs w:val="15"/>
          <w:color w:val="auto"/>
        </w:rPr>
        <w:t>, which was</w:t>
      </w:r>
      <w:r>
        <w:rPr>
          <w:rFonts w:ascii="Arial" w:cs="Arial" w:eastAsia="Arial" w:hAnsi="Arial"/>
          <w:sz w:val="15"/>
          <w:szCs w:val="15"/>
          <w:i w:val="1"/>
          <w:iCs w:val="1"/>
          <w:color w:val="auto"/>
        </w:rPr>
        <w:t xml:space="preserve"> </w:t>
      </w:r>
      <w:r>
        <w:rPr>
          <w:rFonts w:ascii="Arial" w:cs="Arial" w:eastAsia="Arial" w:hAnsi="Arial"/>
          <w:sz w:val="15"/>
          <w:szCs w:val="15"/>
          <w:color w:val="auto"/>
        </w:rPr>
        <w:t>issued in March 2019.</w:t>
      </w:r>
    </w:p>
    <w:p>
      <w:pPr>
        <w:spacing w:after="0" w:line="20" w:lineRule="exact"/>
        <w:rPr>
          <w:sz w:val="20"/>
          <w:szCs w:val="20"/>
          <w:color w:val="auto"/>
        </w:rPr>
      </w:pPr>
      <w:r>
        <w:rPr>
          <w:sz w:val="20"/>
          <w:szCs w:val="20"/>
          <w:color w:val="auto"/>
        </w:rPr>
        <w:br w:type="column"/>
      </w:r>
    </w:p>
    <w:p>
      <w:pPr>
        <w:ind w:right="460"/>
        <w:spacing w:after="0" w:line="251" w:lineRule="auto"/>
        <w:rPr>
          <w:sz w:val="20"/>
          <w:szCs w:val="20"/>
          <w:color w:val="auto"/>
        </w:rPr>
      </w:pPr>
      <w:r>
        <w:rPr>
          <w:rFonts w:ascii="Arial" w:cs="Arial" w:eastAsia="Arial" w:hAnsi="Arial"/>
          <w:sz w:val="15"/>
          <w:szCs w:val="15"/>
          <w:color w:val="auto"/>
        </w:rPr>
        <w:t>This ASU replaces the existing incurred loss impairment model with a methodology that incorporates all expected credit loss estimates, resulting in more timely recognition of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669290</wp:posOffset>
            </wp:positionV>
            <wp:extent cx="23926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ASU 2016-02 improves transparency and comparability among organizations by requiring lessees to recognize lease assets and lease liabilities on the balance sheet and to disclose key information about leasing arrangements. ASU 2018-11 and ASU 2018-10 amend various aspects of Topic 842, including an additional transition method. ASU 2019-01, among other issues, addresses determination of the fair value of the underlying asset by lessors that are not manufacturers or dealers and clarifies interim period transition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561975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 2020</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This standard will be applied using a modified retrospective adoption approach with a cumulative-effect adjustment to retained earnings as of the beginning of the year of adoption, except for certain provisions that are required to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wp:posOffset>
            </wp:positionV>
            <wp:extent cx="15862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167"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This guidance may be applied through a modified retrospective transition approach for leases existing at, or entered into after, the beginning of the earliest comparative period presented in the financial statements with certain practical expedients available. Alternatively, this guidance may be applied at the adoption date by recognizing a cumulative-effect adjustment to the opening balance of retained earnings in the period of adoption.</w:t>
      </w:r>
    </w:p>
    <w:p>
      <w:pPr>
        <w:spacing w:after="0" w:line="20" w:lineRule="exact"/>
        <w:rPr>
          <w:sz w:val="20"/>
          <w:szCs w:val="20"/>
          <w:color w:val="auto"/>
        </w:rPr>
      </w:pPr>
      <w:r>
        <w:rPr>
          <w:sz w:val="20"/>
          <w:szCs w:val="20"/>
          <w:color w:val="auto"/>
        </w:rPr>
        <w:br w:type="column"/>
      </w:r>
    </w:p>
    <w:p>
      <w:pPr>
        <w:ind w:right="260"/>
        <w:spacing w:after="0" w:line="233" w:lineRule="auto"/>
        <w:rPr>
          <w:sz w:val="20"/>
          <w:szCs w:val="20"/>
          <w:color w:val="auto"/>
        </w:rPr>
      </w:pPr>
      <w:r>
        <w:rPr>
          <w:rFonts w:ascii="Arial" w:cs="Arial" w:eastAsia="Arial" w:hAnsi="Arial"/>
          <w:sz w:val="16"/>
          <w:szCs w:val="16"/>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673735</wp:posOffset>
            </wp:positionV>
            <wp:extent cx="15862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We are currently evaluating the impact of implementing this guidance on our financial statements. Refer to Note 2, “Basis of Presentation and Significant Accounting Policies,” in the Financial Statements for additional information.</w:t>
      </w:r>
    </w:p>
    <w:p>
      <w:pPr>
        <w:spacing w:after="0" w:line="1602" w:lineRule="exact"/>
        <w:rPr>
          <w:sz w:val="20"/>
          <w:szCs w:val="20"/>
          <w:color w:val="auto"/>
        </w:rPr>
      </w:pPr>
    </w:p>
    <w:p>
      <w:pPr>
        <w:sectPr>
          <w:pgSz w:w="11900" w:h="16838" w:orient="portrait"/>
          <w:cols w:equalWidth="0" w:num="4">
            <w:col w:w="2140" w:space="280"/>
            <w:col w:w="3700" w:space="180"/>
            <w:col w:w="2420" w:space="180"/>
            <w:col w:w="2440"/>
          </w:cols>
          <w:pgMar w:left="280" w:top="693" w:right="279" w:bottom="1440" w:gutter="0" w:footer="0" w:header="0"/>
          <w:type w:val="continuous"/>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40"/>
          </w:cols>
          <w:pgMar w:left="280" w:top="693" w:right="2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are no other material changes related to market risk from the disclosures in our Annual Report on Form 10-K for the year ended October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continue to migrate many of our financial reporting and other processes to the ABM enterprise service center along with integrating GCA. These are enhancements of ongoing activities to support the growth of our financial shared service capabilities and standardize our financial systems. We also continue to update several key platforms, including our human resources information systems, enterprise resource planning system, and labor management system. Both the migration of GCA’s back-office functions to the ABM enterprise service center and the implementation of several key platforms involve changes in the systems that include internal controls. Although the transitions have proceeded to date without material adverse effects, the possibility exists that they could adversely affect our internal controls over financial reporting and procedures.</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second quarter of 2019 identified in connection with the evaluation required by Rules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9,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2018, in response to Item 1A., “Risk Factors,” of Part I of the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During the six months ended April 30, 2019, there were no share repurchases. At April 30, 2019, authorization for $134.1 million of repurchases remained under our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2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9"/>
        </w:trPr>
        <w:tc>
          <w:tcPr>
            <w:tcW w:w="11400" w:type="dxa"/>
            <w:vAlign w:val="bottom"/>
            <w:gridSpan w:val="7"/>
          </w:tcPr>
          <w:p>
            <w:pPr>
              <w:spacing w:after="0"/>
              <w:rPr>
                <w:sz w:val="20"/>
                <w:szCs w:val="20"/>
                <w:color w:val="auto"/>
              </w:rPr>
            </w:pPr>
            <w:r>
              <w:rPr>
                <w:rFonts w:ascii="Arial" w:cs="Arial" w:eastAsia="Arial" w:hAnsi="Arial"/>
                <w:sz w:val="18"/>
                <w:szCs w:val="18"/>
                <w:b w:val="1"/>
                <w:bCs w:val="1"/>
                <w:color w:val="0046AD"/>
              </w:rPr>
              <w:t>ITEM 6. EXHIBITS.</w:t>
            </w:r>
          </w:p>
        </w:tc>
      </w:tr>
      <w:tr>
        <w:trPr>
          <w:trHeight w:val="378"/>
        </w:trPr>
        <w:tc>
          <w:tcPr>
            <w:tcW w:w="11400" w:type="dxa"/>
            <w:vAlign w:val="bottom"/>
            <w:gridSpan w:val="7"/>
          </w:tcPr>
          <w:p>
            <w:pPr>
              <w:ind w:left="660"/>
              <w:spacing w:after="0"/>
              <w:rPr>
                <w:sz w:val="20"/>
                <w:szCs w:val="20"/>
                <w:color w:val="auto"/>
              </w:rPr>
            </w:pPr>
            <w:r>
              <w:rPr>
                <w:rFonts w:ascii="Arial" w:cs="Arial" w:eastAsia="Arial" w:hAnsi="Arial"/>
                <w:sz w:val="18"/>
                <w:szCs w:val="18"/>
                <w:color w:val="auto"/>
              </w:rPr>
              <w:t>(a) Exhibits</w:t>
            </w:r>
          </w:p>
        </w:tc>
      </w:tr>
      <w:tr>
        <w:trPr>
          <w:trHeight w:val="378"/>
        </w:trPr>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880" w:type="dxa"/>
            <w:vAlign w:val="bottom"/>
            <w:gridSpan w:val="4"/>
          </w:tcPr>
          <w:p>
            <w:pPr>
              <w:ind w:left="41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0"/>
        </w:trPr>
        <w:tc>
          <w:tcPr>
            <w:tcW w:w="1500" w:type="dxa"/>
            <w:vAlign w:val="bottom"/>
            <w:tcBorders>
              <w:bottom w:val="single" w:sz="8" w:color="DCE2EF"/>
            </w:tcBorders>
            <w:gridSpan w:val="2"/>
            <w:shd w:val="clear" w:color="auto" w:fill="DCE2EF"/>
          </w:tcPr>
          <w:p>
            <w:pPr>
              <w:ind w:left="40"/>
              <w:spacing w:after="0" w:line="196" w:lineRule="exact"/>
              <w:rPr>
                <w:sz w:val="20"/>
                <w:szCs w:val="20"/>
                <w:color w:val="auto"/>
              </w:rPr>
            </w:pPr>
            <w:r>
              <w:rPr>
                <w:rFonts w:ascii="Arial" w:cs="Arial" w:eastAsia="Arial" w:hAnsi="Arial"/>
                <w:sz w:val="18"/>
                <w:szCs w:val="18"/>
                <w:color w:val="auto"/>
              </w:rPr>
              <w:t>31.1†</w:t>
            </w:r>
          </w:p>
        </w:tc>
        <w:tc>
          <w:tcPr>
            <w:tcW w:w="20" w:type="dxa"/>
            <w:vAlign w:val="bottom"/>
            <w:tcBorders>
              <w:bottom w:val="single" w:sz="8" w:color="DCE2EF"/>
            </w:tcBorders>
            <w:shd w:val="clear" w:color="auto" w:fill="DCE2EF"/>
          </w:tcPr>
          <w:p>
            <w:pPr>
              <w:spacing w:after="0"/>
              <w:rPr>
                <w:sz w:val="20"/>
                <w:szCs w:val="20"/>
                <w:color w:val="auto"/>
              </w:rPr>
            </w:pPr>
          </w:p>
        </w:tc>
        <w:tc>
          <w:tcPr>
            <w:tcW w:w="8060" w:type="dxa"/>
            <w:vAlign w:val="bottom"/>
            <w:tcBorders>
              <w:bottom w:val="single" w:sz="8" w:color="0000FF"/>
            </w:tcBorders>
            <w:gridSpan w:val="2"/>
            <w:shd w:val="clear" w:color="auto" w:fill="DCE2EF"/>
          </w:tcPr>
          <w:p>
            <w:pPr>
              <w:spacing w:after="0" w:line="196" w:lineRule="exact"/>
              <w:rPr>
                <w:rFonts w:ascii="Arial" w:cs="Arial" w:eastAsia="Arial" w:hAnsi="Arial"/>
                <w:sz w:val="18"/>
                <w:szCs w:val="18"/>
                <w:color w:val="0000FF"/>
                <w:w w:val="99"/>
              </w:rPr>
            </w:pPr>
            <w:hyperlink w:anchor="page56">
              <w:r>
                <w:rPr>
                  <w:rFonts w:ascii="Arial" w:cs="Arial" w:eastAsia="Arial" w:hAnsi="Arial"/>
                  <w:sz w:val="18"/>
                  <w:szCs w:val="18"/>
                  <w:color w:val="0000FF"/>
                  <w:w w:val="99"/>
                </w:rPr>
                <w:t>Certification of Principal Executive Officer pursuant to Section 302 of the Sarbanes-Oxley Act of 2002</w:t>
              </w:r>
            </w:hyperlink>
          </w:p>
        </w:tc>
        <w:tc>
          <w:tcPr>
            <w:tcW w:w="1820" w:type="dxa"/>
            <w:vAlign w:val="bottom"/>
            <w:tcBorders>
              <w:bottom w:val="single" w:sz="8" w:color="DCE2EF"/>
            </w:tcBorders>
            <w:gridSpan w:val="2"/>
            <w:shd w:val="clear" w:color="auto" w:fill="DCE2EF"/>
          </w:tcPr>
          <w:p>
            <w:pPr>
              <w:spacing w:after="0"/>
              <w:rPr>
                <w:sz w:val="20"/>
                <w:szCs w:val="20"/>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9900" w:type="dxa"/>
            <w:vAlign w:val="bottom"/>
            <w:gridSpan w:val="5"/>
          </w:tcPr>
          <w:p>
            <w:pPr>
              <w:ind w:lef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Certification of Principal Financial Officer pursuant to Section 302 of the Sarbanes-Oxley Act of 2002</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line="202" w:lineRule="exact"/>
              <w:rPr>
                <w:sz w:val="20"/>
                <w:szCs w:val="20"/>
                <w:color w:val="auto"/>
              </w:rPr>
            </w:pPr>
            <w:r>
              <w:rPr>
                <w:rFonts w:ascii="Arial" w:cs="Arial" w:eastAsia="Arial" w:hAnsi="Arial"/>
                <w:sz w:val="18"/>
                <w:szCs w:val="18"/>
                <w:color w:val="auto"/>
              </w:rPr>
              <w:t>32‡</w:t>
            </w:r>
          </w:p>
        </w:tc>
        <w:tc>
          <w:tcPr>
            <w:tcW w:w="20" w:type="dxa"/>
            <w:vAlign w:val="bottom"/>
            <w:tcBorders>
              <w:bottom w:val="single" w:sz="8" w:color="DCE2EF"/>
            </w:tcBorders>
            <w:shd w:val="clear" w:color="auto" w:fill="DCE2EF"/>
          </w:tcPr>
          <w:p>
            <w:pPr>
              <w:spacing w:after="0"/>
              <w:rPr>
                <w:sz w:val="21"/>
                <w:szCs w:val="21"/>
                <w:color w:val="auto"/>
              </w:rPr>
            </w:pPr>
          </w:p>
        </w:tc>
        <w:tc>
          <w:tcPr>
            <w:tcW w:w="9580" w:type="dxa"/>
            <w:vAlign w:val="bottom"/>
            <w:tcBorders>
              <w:bottom w:val="single" w:sz="8" w:color="0000FF"/>
            </w:tcBorders>
            <w:gridSpan w:val="3"/>
            <w:shd w:val="clear" w:color="auto" w:fill="DCE2EF"/>
          </w:tcPr>
          <w:p>
            <w:pPr>
              <w:spacing w:after="0" w:line="202"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Certification pursuant to 18 U.S.C. Section 1350, as adopted pursuant to Section 906 of the Sarbanes-Oxley Act of 2002</w:t>
              </w:r>
            </w:hyperlink>
          </w:p>
        </w:tc>
        <w:tc>
          <w:tcPr>
            <w:tcW w:w="300" w:type="dxa"/>
            <w:vAlign w:val="bottom"/>
            <w:tcBorders>
              <w:bottom w:val="single" w:sz="8" w:color="DCE2EF"/>
            </w:tcBorders>
            <w:shd w:val="clear" w:color="auto" w:fill="DCE2EF"/>
          </w:tcPr>
          <w:p>
            <w:pPr>
              <w:spacing w:after="0"/>
              <w:rPr>
                <w:sz w:val="21"/>
                <w:szCs w:val="21"/>
                <w:color w:val="auto"/>
              </w:rPr>
            </w:pP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XBRL Report Instance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101.SCH†</w:t>
            </w:r>
          </w:p>
        </w:tc>
        <w:tc>
          <w:tcPr>
            <w:tcW w:w="9900" w:type="dxa"/>
            <w:vAlign w:val="bottom"/>
            <w:tcBorders>
              <w:bottom w:val="single" w:sz="8" w:color="DCE2EF"/>
            </w:tcBorders>
            <w:gridSpan w:val="5"/>
            <w:shd w:val="clear" w:color="auto" w:fill="DCE2EF"/>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XBRL Taxonomy Calculation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101.DEF†</w:t>
            </w:r>
          </w:p>
        </w:tc>
        <w:tc>
          <w:tcPr>
            <w:tcW w:w="9900" w:type="dxa"/>
            <w:vAlign w:val="bottom"/>
            <w:tcBorders>
              <w:bottom w:val="single" w:sz="8" w:color="DCE2EF"/>
            </w:tcBorders>
            <w:gridSpan w:val="5"/>
            <w:shd w:val="clear" w:color="auto" w:fill="DCE2EF"/>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150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101.PRE†</w:t>
            </w:r>
          </w:p>
        </w:tc>
        <w:tc>
          <w:tcPr>
            <w:tcW w:w="9900" w:type="dxa"/>
            <w:vAlign w:val="bottom"/>
            <w:gridSpan w:val="5"/>
            <w:shd w:val="clear" w:color="auto" w:fill="DCE2EF"/>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38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20" w:type="dxa"/>
            <w:vAlign w:val="bottom"/>
            <w:shd w:val="clear" w:color="auto" w:fill="DCE2EF"/>
          </w:tcPr>
          <w:p>
            <w:pPr>
              <w:spacing w:after="0"/>
              <w:rPr>
                <w:sz w:val="2"/>
                <w:szCs w:val="2"/>
                <w:color w:val="auto"/>
              </w:rPr>
            </w:pPr>
          </w:p>
        </w:tc>
        <w:tc>
          <w:tcPr>
            <w:tcW w:w="8000" w:type="dxa"/>
            <w:vAlign w:val="bottom"/>
            <w:shd w:val="clear" w:color="auto" w:fill="DCE2EF"/>
          </w:tcPr>
          <w:p>
            <w:pPr>
              <w:spacing w:after="0"/>
              <w:rPr>
                <w:sz w:val="2"/>
                <w:szCs w:val="2"/>
                <w:color w:val="auto"/>
              </w:rPr>
            </w:pPr>
          </w:p>
        </w:tc>
        <w:tc>
          <w:tcPr>
            <w:tcW w:w="6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c>
          <w:tcPr>
            <w:tcW w:w="30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ind w:left="740" w:hanging="69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71" w:lineRule="exact"/>
        <w:rPr>
          <w:sz w:val="20"/>
          <w:szCs w:val="20"/>
          <w:color w:val="auto"/>
        </w:rPr>
      </w:pPr>
    </w:p>
    <w:p>
      <w:pPr>
        <w:ind w:left="740" w:hanging="69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22"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20"/>
        <w:spacing w:after="0"/>
        <w:tabs>
          <w:tab w:leader="none" w:pos="6520" w:val="left"/>
        </w:tabs>
        <w:rPr>
          <w:sz w:val="20"/>
          <w:szCs w:val="20"/>
          <w:color w:val="auto"/>
        </w:rPr>
      </w:pPr>
      <w:r>
        <w:rPr>
          <w:rFonts w:ascii="Arial" w:cs="Arial" w:eastAsia="Arial" w:hAnsi="Arial"/>
          <w:sz w:val="18"/>
          <w:szCs w:val="18"/>
          <w:u w:val="single" w:color="auto"/>
          <w:color w:val="auto"/>
        </w:rPr>
        <w:t>June 6,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20"/>
        <w:spacing w:after="0"/>
        <w:tabs>
          <w:tab w:leader="none" w:pos="6520" w:val="left"/>
        </w:tabs>
        <w:rPr>
          <w:sz w:val="20"/>
          <w:szCs w:val="20"/>
          <w:color w:val="auto"/>
        </w:rPr>
      </w:pPr>
      <w:r>
        <w:rPr>
          <w:rFonts w:ascii="Arial" w:cs="Arial" w:eastAsia="Arial" w:hAnsi="Arial"/>
          <w:sz w:val="18"/>
          <w:szCs w:val="18"/>
          <w:u w:val="single" w:color="auto"/>
          <w:color w:val="auto"/>
        </w:rPr>
        <w:t>June 6, 2019</w:t>
      </w:r>
      <w:r>
        <w:rPr>
          <w:sz w:val="20"/>
          <w:szCs w:val="20"/>
          <w:color w:val="auto"/>
        </w:rPr>
        <w:tab/>
      </w:r>
      <w:r>
        <w:rPr>
          <w:rFonts w:ascii="Arial" w:cs="Arial" w:eastAsia="Arial" w:hAnsi="Arial"/>
          <w:sz w:val="18"/>
          <w:szCs w:val="18"/>
          <w:u w:val="single" w:color="auto"/>
          <w:color w:val="auto"/>
        </w:rPr>
        <w:t>/s/ Dean A. Chin</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22"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1540"/>
        <w:spacing w:after="0"/>
        <w:tabs>
          <w:tab w:leader="none" w:pos="6800" w:val="left"/>
        </w:tabs>
        <w:rPr>
          <w:sz w:val="20"/>
          <w:szCs w:val="20"/>
          <w:color w:val="auto"/>
        </w:rPr>
      </w:pPr>
      <w:r>
        <w:rPr>
          <w:rFonts w:ascii="Arial" w:cs="Arial" w:eastAsia="Arial" w:hAnsi="Arial"/>
          <w:sz w:val="18"/>
          <w:szCs w:val="18"/>
          <w:color w:val="auto"/>
        </w:rPr>
        <w:t>June 6, 2019</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Scott Salmirs</w:t>
      </w:r>
    </w:p>
    <w:p>
      <w:pPr>
        <w:ind w:left="68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6,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April 30, 2019,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6, 2019</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6, 2019</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606"/>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853"/>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2019-12-28T11:26:05Z</dcterms:created>
  <dcterms:modified xsi:type="dcterms:W3CDTF">2019-12-28T11:26:05Z</dcterms:modified>
</cp:coreProperties>
</file>