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843280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right="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 w:lineRule="exact"/>
        <w:rPr>
          <w:sz w:val="24"/>
          <w:szCs w:val="24"/>
          <w:color w:val="auto"/>
        </w:rPr>
      </w:pPr>
    </w:p>
    <w:p>
      <w:pPr>
        <w:jc w:val="center"/>
        <w:ind w:left="560"/>
        <w:spacing w:after="0"/>
        <w:rPr>
          <w:sz w:val="20"/>
          <w:szCs w:val="20"/>
          <w:color w:val="auto"/>
        </w:rPr>
      </w:pPr>
      <w:r>
        <w:rPr>
          <w:rFonts w:ascii="Arial" w:cs="Arial" w:eastAsia="Arial" w:hAnsi="Arial"/>
          <w:sz w:val="22"/>
          <w:szCs w:val="22"/>
          <w:b w:val="1"/>
          <w:bCs w:val="1"/>
          <w:color w:val="auto"/>
        </w:rPr>
        <w:t xml:space="preserve">For the fiscal year ended </w:t>
      </w:r>
      <w:r>
        <w:rPr>
          <w:rFonts w:ascii="Arial" w:cs="Arial" w:eastAsia="Arial" w:hAnsi="Arial"/>
          <w:sz w:val="22"/>
          <w:szCs w:val="22"/>
          <w:b w:val="1"/>
          <w:bCs w:val="1"/>
          <w:u w:val="single" w:color="auto"/>
          <w:color w:val="auto"/>
        </w:rPr>
        <w:t>October 31, 2018</w:t>
      </w:r>
    </w:p>
    <w:p>
      <w:pPr>
        <w:spacing w:after="0" w:line="28" w:lineRule="exact"/>
        <w:rPr>
          <w:sz w:val="24"/>
          <w:szCs w:val="24"/>
          <w:color w:val="auto"/>
        </w:rPr>
      </w:pPr>
    </w:p>
    <w:p>
      <w:pPr>
        <w:jc w:val="center"/>
        <w:ind w:left="56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right="4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8"/>
              </w:rPr>
              <w:t>Delaware</w:t>
            </w:r>
          </w:p>
        </w:tc>
        <w:tc>
          <w:tcPr>
            <w:tcW w:w="7100" w:type="dxa"/>
            <w:vAlign w:val="bottom"/>
            <w:gridSpan w:val="5"/>
          </w:tcPr>
          <w:p>
            <w:pPr>
              <w:jc w:val="center"/>
              <w:ind w:left="3930"/>
              <w:spacing w:after="0"/>
              <w:rPr>
                <w:sz w:val="20"/>
                <w:szCs w:val="20"/>
                <w:color w:val="auto"/>
              </w:rPr>
            </w:pPr>
            <w:r>
              <w:rPr>
                <w:rFonts w:ascii="Arial" w:cs="Arial" w:eastAsia="Arial" w:hAnsi="Arial"/>
                <w:sz w:val="18"/>
                <w:szCs w:val="18"/>
                <w:b w:val="1"/>
                <w:bCs w:val="1"/>
                <w:color w:val="auto"/>
                <w:w w:val="99"/>
              </w:rPr>
              <w:t>94-1369354</w:t>
            </w:r>
          </w:p>
        </w:tc>
      </w:tr>
      <w:tr>
        <w:trPr>
          <w:trHeight w:val="350"/>
        </w:trPr>
        <w:tc>
          <w:tcPr>
            <w:tcW w:w="4320" w:type="dxa"/>
            <w:vAlign w:val="bottom"/>
          </w:tcPr>
          <w:p>
            <w:pPr>
              <w:jc w:val="center"/>
              <w:ind w:right="1010"/>
              <w:spacing w:after="0"/>
              <w:rPr>
                <w:sz w:val="20"/>
                <w:szCs w:val="20"/>
                <w:color w:val="auto"/>
              </w:rPr>
            </w:pPr>
            <w:r>
              <w:rPr>
                <w:rFonts w:ascii="Arial" w:cs="Arial" w:eastAsia="Arial" w:hAnsi="Arial"/>
                <w:sz w:val="18"/>
                <w:szCs w:val="18"/>
                <w:color w:val="auto"/>
              </w:rPr>
              <w:t>(State or other jurisdiction of</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jc w:val="center"/>
              <w:ind w:left="1930"/>
              <w:spacing w:after="0"/>
              <w:rPr>
                <w:sz w:val="20"/>
                <w:szCs w:val="20"/>
                <w:color w:val="auto"/>
              </w:rPr>
            </w:pPr>
            <w:r>
              <w:rPr>
                <w:rFonts w:ascii="Arial" w:cs="Arial" w:eastAsia="Arial" w:hAnsi="Arial"/>
                <w:sz w:val="18"/>
                <w:szCs w:val="18"/>
                <w:color w:val="auto"/>
                <w:w w:val="99"/>
              </w:rPr>
              <w:t>(I.R.S. Employer</w:t>
            </w:r>
          </w:p>
        </w:tc>
      </w:tr>
      <w:tr>
        <w:trPr>
          <w:trHeight w:val="217"/>
        </w:trPr>
        <w:tc>
          <w:tcPr>
            <w:tcW w:w="4320" w:type="dxa"/>
            <w:vAlign w:val="bottom"/>
          </w:tcPr>
          <w:p>
            <w:pPr>
              <w:jc w:val="center"/>
              <w:ind w:right="1010"/>
              <w:spacing w:after="0"/>
              <w:rPr>
                <w:sz w:val="20"/>
                <w:szCs w:val="20"/>
                <w:color w:val="auto"/>
              </w:rPr>
            </w:pPr>
            <w:r>
              <w:rPr>
                <w:rFonts w:ascii="Arial" w:cs="Arial" w:eastAsia="Arial" w:hAnsi="Arial"/>
                <w:sz w:val="18"/>
                <w:szCs w:val="18"/>
                <w:color w:val="auto"/>
                <w:w w:val="99"/>
              </w:rPr>
              <w:t>incorporation or organization)</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00" w:type="dxa"/>
            <w:vAlign w:val="bottom"/>
          </w:tcPr>
          <w:p>
            <w:pPr>
              <w:jc w:val="center"/>
              <w:ind w:left="1930"/>
              <w:spacing w:after="0"/>
              <w:rPr>
                <w:sz w:val="20"/>
                <w:szCs w:val="20"/>
                <w:color w:val="auto"/>
              </w:rPr>
            </w:pPr>
            <w:r>
              <w:rPr>
                <w:rFonts w:ascii="Arial" w:cs="Arial" w:eastAsia="Arial" w:hAnsi="Arial"/>
                <w:sz w:val="18"/>
                <w:szCs w:val="18"/>
                <w:color w:val="auto"/>
                <w:w w:val="99"/>
              </w:rPr>
              <w:t>Identification No.)</w:t>
            </w:r>
          </w:p>
        </w:tc>
      </w:tr>
      <w:tr>
        <w:trPr>
          <w:trHeight w:val="409"/>
        </w:trPr>
        <w:tc>
          <w:tcPr>
            <w:tcW w:w="4320" w:type="dxa"/>
            <w:vAlign w:val="bottom"/>
          </w:tcPr>
          <w:p>
            <w:pPr>
              <w:spacing w:after="0"/>
              <w:rPr>
                <w:sz w:val="24"/>
                <w:szCs w:val="24"/>
                <w:color w:val="auto"/>
              </w:rPr>
            </w:pPr>
          </w:p>
        </w:tc>
        <w:tc>
          <w:tcPr>
            <w:tcW w:w="7100" w:type="dxa"/>
            <w:vAlign w:val="bottom"/>
            <w:gridSpan w:val="5"/>
          </w:tcPr>
          <w:p>
            <w:pPr>
              <w:jc w:val="right"/>
              <w:ind w:right="4310"/>
              <w:spacing w:after="0"/>
              <w:rPr>
                <w:sz w:val="20"/>
                <w:szCs w:val="20"/>
                <w:color w:val="auto"/>
              </w:rPr>
            </w:pPr>
            <w:r>
              <w:rPr>
                <w:rFonts w:ascii="Arial" w:cs="Arial" w:eastAsia="Arial" w:hAnsi="Arial"/>
                <w:sz w:val="18"/>
                <w:szCs w:val="18"/>
                <w:color w:val="auto"/>
              </w:rPr>
              <w:t>__________________________</w:t>
            </w:r>
          </w:p>
        </w:tc>
      </w:tr>
      <w:tr>
        <w:trPr>
          <w:trHeight w:val="216"/>
        </w:trPr>
        <w:tc>
          <w:tcPr>
            <w:tcW w:w="4320" w:type="dxa"/>
            <w:vAlign w:val="bottom"/>
          </w:tcPr>
          <w:p>
            <w:pPr>
              <w:spacing w:after="0"/>
              <w:rPr>
                <w:sz w:val="18"/>
                <w:szCs w:val="18"/>
                <w:color w:val="auto"/>
              </w:rPr>
            </w:pPr>
          </w:p>
        </w:tc>
        <w:tc>
          <w:tcPr>
            <w:tcW w:w="7100" w:type="dxa"/>
            <w:vAlign w:val="bottom"/>
            <w:gridSpan w:val="5"/>
          </w:tcPr>
          <w:p>
            <w:pPr>
              <w:jc w:val="center"/>
              <w:ind w:right="4210"/>
              <w:spacing w:after="0" w:line="216" w:lineRule="exact"/>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39"/>
        </w:trPr>
        <w:tc>
          <w:tcPr>
            <w:tcW w:w="4320" w:type="dxa"/>
            <w:vAlign w:val="bottom"/>
          </w:tcPr>
          <w:p>
            <w:pPr>
              <w:spacing w:after="0"/>
              <w:rPr>
                <w:sz w:val="20"/>
                <w:szCs w:val="20"/>
                <w:color w:val="auto"/>
              </w:rPr>
            </w:pPr>
          </w:p>
        </w:tc>
        <w:tc>
          <w:tcPr>
            <w:tcW w:w="7100" w:type="dxa"/>
            <w:vAlign w:val="bottom"/>
            <w:gridSpan w:val="5"/>
          </w:tcPr>
          <w:p>
            <w:pPr>
              <w:jc w:val="center"/>
              <w:ind w:right="423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24"/>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9"/>
              </w:rPr>
              <w:t>(Address of principal executive offices)</w:t>
            </w:r>
          </w:p>
        </w:tc>
      </w:tr>
      <w:tr>
        <w:trPr>
          <w:trHeight w:val="500"/>
        </w:trPr>
        <w:tc>
          <w:tcPr>
            <w:tcW w:w="432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b w:val="1"/>
                <w:bCs w:val="1"/>
                <w:color w:val="auto"/>
              </w:rPr>
              <w:t>(212) 297-0200</w:t>
            </w:r>
          </w:p>
        </w:tc>
        <w:tc>
          <w:tcPr>
            <w:tcW w:w="5100" w:type="dxa"/>
            <w:vAlign w:val="bottom"/>
          </w:tcPr>
          <w:p>
            <w:pPr>
              <w:spacing w:after="0"/>
              <w:rPr>
                <w:sz w:val="24"/>
                <w:szCs w:val="24"/>
                <w:color w:val="auto"/>
              </w:rPr>
            </w:pPr>
          </w:p>
        </w:tc>
      </w:tr>
      <w:tr>
        <w:trPr>
          <w:trHeight w:val="20"/>
        </w:trPr>
        <w:tc>
          <w:tcPr>
            <w:tcW w:w="5100" w:type="dxa"/>
            <w:vAlign w:val="bottom"/>
            <w:gridSpan w:val="2"/>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91"/>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378"/>
        </w:trPr>
        <w:tc>
          <w:tcPr>
            <w:tcW w:w="4320" w:type="dxa"/>
            <w:vAlign w:val="bottom"/>
          </w:tcPr>
          <w:p>
            <w:pPr>
              <w:spacing w:after="0"/>
              <w:rPr>
                <w:sz w:val="24"/>
                <w:szCs w:val="24"/>
                <w:color w:val="auto"/>
              </w:rPr>
            </w:pPr>
          </w:p>
        </w:tc>
        <w:tc>
          <w:tcPr>
            <w:tcW w:w="7100" w:type="dxa"/>
            <w:vAlign w:val="bottom"/>
            <w:gridSpan w:val="5"/>
          </w:tcPr>
          <w:p>
            <w:pPr>
              <w:jc w:val="right"/>
              <w:ind w:right="4710"/>
              <w:spacing w:after="0"/>
              <w:rPr>
                <w:sz w:val="20"/>
                <w:szCs w:val="20"/>
                <w:color w:val="auto"/>
              </w:rPr>
            </w:pPr>
            <w:r>
              <w:rPr>
                <w:rFonts w:ascii="Arial" w:cs="Arial" w:eastAsia="Arial" w:hAnsi="Arial"/>
                <w:sz w:val="18"/>
                <w:szCs w:val="18"/>
                <w:color w:val="auto"/>
              </w:rPr>
              <w:t>__________________</w:t>
            </w:r>
          </w:p>
        </w:tc>
      </w:tr>
      <w:tr>
        <w:trPr>
          <w:trHeight w:val="378"/>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85"/>
        </w:trPr>
        <w:tc>
          <w:tcPr>
            <w:tcW w:w="432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9"/>
              </w:rPr>
              <w:t>Title of each class</w:t>
            </w: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Name of each exchange on which registered</w:t>
            </w:r>
          </w:p>
        </w:tc>
      </w:tr>
      <w:tr>
        <w:trPr>
          <w:trHeight w:val="243"/>
        </w:trPr>
        <w:tc>
          <w:tcPr>
            <w:tcW w:w="4320" w:type="dxa"/>
            <w:vAlign w:val="bottom"/>
          </w:tcPr>
          <w:p>
            <w:pPr>
              <w:jc w:val="center"/>
              <w:ind w:left="1310"/>
              <w:spacing w:after="0"/>
              <w:rPr>
                <w:sz w:val="20"/>
                <w:szCs w:val="20"/>
                <w:color w:val="auto"/>
              </w:rPr>
            </w:pPr>
            <w:r>
              <w:rPr>
                <w:rFonts w:ascii="Arial" w:cs="Arial" w:eastAsia="Arial" w:hAnsi="Arial"/>
                <w:sz w:val="18"/>
                <w:szCs w:val="18"/>
                <w:b w:val="1"/>
                <w:bCs w:val="1"/>
                <w:color w:val="auto"/>
              </w:rPr>
              <w:t>Common Stock, $0.01 par value</w:t>
            </w: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10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-2658110</wp:posOffset>
            </wp:positionV>
            <wp:extent cx="60896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965" cy="617220"/>
                    </a:xfrm>
                    <a:prstGeom prst="rect">
                      <a:avLst/>
                    </a:prstGeom>
                    <a:noFill/>
                  </pic:spPr>
                </pic:pic>
              </a:graphicData>
            </a:graphic>
          </wp:anchor>
        </w:drawing>
      </w:r>
    </w:p>
    <w:p>
      <w:pPr>
        <w:spacing w:after="0" w:line="209"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ectPr>
          <w:pgSz w:w="11900" w:h="16838" w:orient="portrait"/>
          <w:cols w:equalWidth="0" w:num="1">
            <w:col w:w="11420"/>
          </w:cols>
          <w:pgMar w:left="240" w:top="1440" w:right="239" w:bottom="1440" w:gutter="0" w:footer="0" w:header="0"/>
        </w:sectPr>
      </w:pPr>
    </w:p>
    <w:bookmarkStart w:id="1" w:name="page2"/>
    <w:bookmarkEnd w:id="1"/>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4" w:lineRule="exact"/>
        <w:rPr>
          <w:sz w:val="20"/>
          <w:szCs w:val="20"/>
          <w:color w:val="auto"/>
        </w:rPr>
      </w:pPr>
    </w:p>
    <w:p>
      <w:pPr>
        <w:sectPr>
          <w:pgSz w:w="11900" w:h="16838" w:orient="portrait"/>
          <w:cols w:equalWidth="0" w:num="5">
            <w:col w:w="9300" w:space="200"/>
            <w:col w:w="300" w:space="100"/>
            <w:col w:w="160" w:space="200"/>
            <w:col w:w="220" w:space="100"/>
            <w:col w:w="840"/>
          </w:cols>
          <w:pgMar w:left="240" w:top="714" w:right="2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9420" w:space="180"/>
            <w:col w:w="300" w:space="100"/>
            <w:col w:w="100" w:space="200"/>
            <w:col w:w="220" w:space="100"/>
            <w:col w:w="800"/>
          </w:cols>
          <w:pgMar w:left="240" w:top="714" w:right="239" w:bottom="1440" w:gutter="0" w:footer="0" w:header="0"/>
          <w:type w:val="continuous"/>
        </w:sectPr>
      </w:pPr>
    </w:p>
    <w:p>
      <w:pPr>
        <w:spacing w:after="0" w:line="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rPr>
              <w:t>Accelerated</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o</w:t>
            </w:r>
          </w:p>
        </w:tc>
        <w:tc>
          <w:tcPr>
            <w:tcW w:w="2320" w:type="dxa"/>
            <w:vAlign w:val="bottom"/>
            <w:vMerge w:val="restart"/>
          </w:tcPr>
          <w:p>
            <w:pPr>
              <w:ind w:left="100"/>
              <w:spacing w:after="0"/>
              <w:rPr>
                <w:sz w:val="20"/>
                <w:szCs w:val="20"/>
                <w:color w:val="auto"/>
              </w:rPr>
            </w:pPr>
            <w:r>
              <w:rPr>
                <w:rFonts w:ascii="Arial" w:cs="Arial" w:eastAsia="Arial" w:hAnsi="Arial"/>
                <w:sz w:val="18"/>
                <w:szCs w:val="18"/>
                <w:color w:val="auto"/>
              </w:rPr>
              <w:t>Non-accelerated filer  o</w:t>
            </w:r>
          </w:p>
        </w:tc>
        <w:tc>
          <w:tcPr>
            <w:tcW w:w="1960" w:type="dxa"/>
            <w:vAlign w:val="bottom"/>
          </w:tcPr>
          <w:p>
            <w:pPr>
              <w:jc w:val="center"/>
              <w:spacing w:after="0"/>
              <w:rPr>
                <w:sz w:val="20"/>
                <w:szCs w:val="20"/>
                <w:color w:val="auto"/>
              </w:rPr>
            </w:pPr>
            <w:r>
              <w:rPr>
                <w:rFonts w:ascii="Arial" w:cs="Arial" w:eastAsia="Arial" w:hAnsi="Arial"/>
                <w:sz w:val="18"/>
                <w:szCs w:val="18"/>
                <w:color w:val="auto"/>
              </w:rPr>
              <w:t>Smaller reporting</w:t>
            </w:r>
          </w:p>
        </w:tc>
        <w:tc>
          <w:tcPr>
            <w:tcW w:w="480" w:type="dxa"/>
            <w:vAlign w:val="bottom"/>
            <w:vMerge w:val="restart"/>
          </w:tcPr>
          <w:p>
            <w:pPr>
              <w:ind w:left="300"/>
              <w:spacing w:after="0"/>
              <w:rPr>
                <w:sz w:val="20"/>
                <w:szCs w:val="20"/>
                <w:color w:val="auto"/>
              </w:rPr>
            </w:pPr>
            <w:r>
              <w:rPr>
                <w:rFonts w:ascii="Arial" w:cs="Arial" w:eastAsia="Arial" w:hAnsi="Arial"/>
                <w:sz w:val="18"/>
                <w:szCs w:val="18"/>
                <w:color w:val="auto"/>
              </w:rPr>
              <w:t>o</w:t>
            </w:r>
          </w:p>
        </w:tc>
        <w:tc>
          <w:tcPr>
            <w:tcW w:w="2500" w:type="dxa"/>
            <w:vAlign w:val="bottom"/>
            <w:vMerge w:val="restart"/>
          </w:tcPr>
          <w:p>
            <w:pPr>
              <w:ind w:left="80"/>
              <w:spacing w:after="0"/>
              <w:rPr>
                <w:sz w:val="20"/>
                <w:szCs w:val="20"/>
                <w:color w:val="auto"/>
              </w:rPr>
            </w:pPr>
            <w:r>
              <w:rPr>
                <w:rFonts w:ascii="Arial" w:cs="Arial" w:eastAsia="Arial" w:hAnsi="Arial"/>
                <w:sz w:val="18"/>
                <w:szCs w:val="18"/>
                <w:color w:val="auto"/>
              </w:rPr>
              <w:t>Emerging growth company  o</w:t>
            </w:r>
          </w:p>
        </w:tc>
        <w:tc>
          <w:tcPr>
            <w:tcW w:w="0" w:type="dxa"/>
            <w:vAlign w:val="bottom"/>
          </w:tcPr>
          <w:p>
            <w:pPr>
              <w:spacing w:after="0"/>
              <w:rPr>
                <w:sz w:val="1"/>
                <w:szCs w:val="1"/>
                <w:color w:val="auto"/>
              </w:rPr>
            </w:pPr>
          </w:p>
        </w:tc>
      </w:tr>
      <w:tr>
        <w:trPr>
          <w:trHeight w:val="129"/>
        </w:trPr>
        <w:tc>
          <w:tcPr>
            <w:tcW w:w="2220" w:type="dxa"/>
            <w:vAlign w:val="bottom"/>
            <w:vMerge w:val="continue"/>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6"/>
              </w:rPr>
              <w:t>filer</w:t>
            </w:r>
          </w:p>
        </w:tc>
        <w:tc>
          <w:tcPr>
            <w:tcW w:w="380" w:type="dxa"/>
            <w:vAlign w:val="bottom"/>
            <w:vMerge w:val="continue"/>
          </w:tcPr>
          <w:p>
            <w:pPr>
              <w:spacing w:after="0"/>
              <w:rPr>
                <w:sz w:val="11"/>
                <w:szCs w:val="11"/>
                <w:color w:val="auto"/>
              </w:rPr>
            </w:pPr>
          </w:p>
        </w:tc>
        <w:tc>
          <w:tcPr>
            <w:tcW w:w="2320" w:type="dxa"/>
            <w:vAlign w:val="bottom"/>
            <w:vMerge w:val="continue"/>
          </w:tcPr>
          <w:p>
            <w:pPr>
              <w:spacing w:after="0"/>
              <w:rPr>
                <w:sz w:val="11"/>
                <w:szCs w:val="11"/>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rPr>
              <w:t>company</w:t>
            </w:r>
          </w:p>
        </w:tc>
        <w:tc>
          <w:tcPr>
            <w:tcW w:w="48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2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Yes o</w:t>
        <w:tab/>
        <w:t xml:space="preserve">No </w:t>
      </w:r>
      <w:r>
        <w:rPr>
          <w:rFonts w:ascii="MS PGothic" w:cs="MS PGothic" w:eastAsia="MS PGothic" w:hAnsi="MS PGothic"/>
          <w:sz w:val="18"/>
          <w:szCs w:val="18"/>
          <w:color w:val="auto"/>
        </w:rPr>
        <w:t>☑</w:t>
      </w:r>
    </w:p>
    <w:p>
      <w:pPr>
        <w:spacing w:after="0" w:line="2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Aggregate market value of the registrant’s common stock held by non-affiliates of the registrant, based upon the closing price of a share of the registrant’s common stock on April 30, 2018 as reported on the New York Stock Exchange on that date: $2,031,249,279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December 20, 2018: 66,029,479</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_______________________________________________</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Certain parts of the registrant’s Definitive Proxy Statement relating to the registrant’s 2019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100" w:type="dxa"/>
            <w:vAlign w:val="bottom"/>
          </w:tcPr>
          <w:p>
            <w:pPr>
              <w:ind w:left="3260"/>
              <w:spacing w:after="0"/>
              <w:rPr>
                <w:sz w:val="20"/>
                <w:szCs w:val="20"/>
                <w:color w:val="auto"/>
              </w:rPr>
            </w:pPr>
            <w:r>
              <w:rPr>
                <w:rFonts w:ascii="Arial" w:cs="Arial" w:eastAsia="Arial" w:hAnsi="Arial"/>
                <w:sz w:val="18"/>
                <w:szCs w:val="18"/>
                <w:b w:val="1"/>
                <w:bCs w:val="1"/>
                <w:color w:val="auto"/>
              </w:rPr>
              <w:t>ABM INDUSTRIES INCORPORATED AND SUBSIDIARIES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1110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1100" w:type="dxa"/>
            <w:vAlign w:val="bottom"/>
          </w:tcPr>
          <w:p>
            <w:pPr>
              <w:spacing w:after="0"/>
              <w:rPr>
                <w:sz w:val="20"/>
                <w:szCs w:val="20"/>
                <w:color w:val="auto"/>
              </w:rPr>
            </w:pPr>
            <w:r>
              <w:rPr>
                <w:rFonts w:ascii="Arial" w:cs="Arial" w:eastAsia="Arial" w:hAnsi="Arial"/>
                <w:sz w:val="14"/>
                <w:szCs w:val="14"/>
                <w:b w:val="1"/>
                <w:bCs w:val="1"/>
                <w:color w:val="auto"/>
              </w:rPr>
              <w:t>FORWARD-LOOKING STATEMENTS</w:t>
            </w:r>
          </w:p>
        </w:tc>
        <w:tc>
          <w:tcPr>
            <w:tcW w:w="1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1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 Business.</w:t>
            </w:r>
          </w:p>
        </w:tc>
        <w:tc>
          <w:tcPr>
            <w:tcW w:w="1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1A. Risk Factors.</w:t>
            </w:r>
          </w:p>
        </w:tc>
        <w:tc>
          <w:tcPr>
            <w:tcW w:w="1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10">
              <w:r>
                <w:rPr>
                  <w:rFonts w:ascii="Arial" w:cs="Arial" w:eastAsia="Arial" w:hAnsi="Arial"/>
                  <w:sz w:val="15"/>
                  <w:szCs w:val="15"/>
                  <w:color w:val="0000FF"/>
                  <w:w w:val="95"/>
                </w:rPr>
                <w:t>7</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1B. Unresolved Staff Comments.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6">
              <w:r>
                <w:rPr>
                  <w:rFonts w:ascii="Arial" w:cs="Arial" w:eastAsia="Arial" w:hAnsi="Arial"/>
                  <w:sz w:val="15"/>
                  <w:szCs w:val="15"/>
                  <w:color w:val="0000FF"/>
                  <w:w w:val="95"/>
                </w:rPr>
                <w:t>13</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2. Properties.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6">
              <w:r>
                <w:rPr>
                  <w:rFonts w:ascii="Arial" w:cs="Arial" w:eastAsia="Arial" w:hAnsi="Arial"/>
                  <w:sz w:val="15"/>
                  <w:szCs w:val="15"/>
                  <w:color w:val="0000FF"/>
                  <w:w w:val="95"/>
                </w:rPr>
                <w:t>13</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3. Legal Proceedings.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7">
              <w:r>
                <w:rPr>
                  <w:rFonts w:ascii="Arial" w:cs="Arial" w:eastAsia="Arial" w:hAnsi="Arial"/>
                  <w:sz w:val="15"/>
                  <w:szCs w:val="15"/>
                  <w:color w:val="0000FF"/>
                  <w:w w:val="95"/>
                </w:rPr>
                <w:t>14</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4. Mine Safety Disclosures.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9">
              <w:r>
                <w:rPr>
                  <w:rFonts w:ascii="Arial" w:cs="Arial" w:eastAsia="Arial" w:hAnsi="Arial"/>
                  <w:sz w:val="15"/>
                  <w:szCs w:val="15"/>
                  <w:color w:val="0000FF"/>
                  <w:w w:val="95"/>
                </w:rPr>
                <w:t>16</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0">
              <w:r>
                <w:rPr>
                  <w:rFonts w:ascii="Arial" w:cs="Arial" w:eastAsia="Arial" w:hAnsi="Arial"/>
                  <w:sz w:val="15"/>
                  <w:szCs w:val="15"/>
                  <w:color w:val="0000FF"/>
                  <w:w w:val="95"/>
                </w:rPr>
                <w:t>17</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5. Market for Registrant’s Common Equity, Related Stockholder Matters and Issuer Purchases of Equity Securities.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0">
              <w:r>
                <w:rPr>
                  <w:rFonts w:ascii="Arial" w:cs="Arial" w:eastAsia="Arial" w:hAnsi="Arial"/>
                  <w:sz w:val="15"/>
                  <w:szCs w:val="15"/>
                  <w:color w:val="0000FF"/>
                  <w:w w:val="95"/>
                </w:rPr>
                <w:t>17</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6. Selected Financial Data.</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2">
              <w:r>
                <w:rPr>
                  <w:rFonts w:ascii="Arial" w:cs="Arial" w:eastAsia="Arial" w:hAnsi="Arial"/>
                  <w:sz w:val="15"/>
                  <w:szCs w:val="15"/>
                  <w:color w:val="0000FF"/>
                  <w:w w:val="95"/>
                </w:rPr>
                <w:t>19</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7. Management’s Discussion and Analysis of Financial Condition and Results of Operations.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4">
              <w:r>
                <w:rPr>
                  <w:rFonts w:ascii="Arial" w:cs="Arial" w:eastAsia="Arial" w:hAnsi="Arial"/>
                  <w:sz w:val="15"/>
                  <w:szCs w:val="15"/>
                  <w:color w:val="0000FF"/>
                  <w:w w:val="95"/>
                </w:rPr>
                <w:t>21</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7A. Quantitative and Qualitative Disclosures About Market Risk.</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2">
              <w:r>
                <w:rPr>
                  <w:rFonts w:ascii="Arial" w:cs="Arial" w:eastAsia="Arial" w:hAnsi="Arial"/>
                  <w:sz w:val="15"/>
                  <w:szCs w:val="15"/>
                  <w:color w:val="0000FF"/>
                  <w:w w:val="95"/>
                </w:rPr>
                <w:t>49</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8. Financial Statements and Supplementary Data.</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3">
              <w:r>
                <w:rPr>
                  <w:rFonts w:ascii="Arial" w:cs="Arial" w:eastAsia="Arial" w:hAnsi="Arial"/>
                  <w:sz w:val="15"/>
                  <w:szCs w:val="15"/>
                  <w:color w:val="0000FF"/>
                  <w:w w:val="95"/>
                </w:rPr>
                <w:t>50</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9. Changes in and Disagreements With Accountants on Accounting and Financial Disclosure.</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0">
              <w:r>
                <w:rPr>
                  <w:rFonts w:ascii="Arial" w:cs="Arial" w:eastAsia="Arial" w:hAnsi="Arial"/>
                  <w:sz w:val="15"/>
                  <w:szCs w:val="15"/>
                  <w:color w:val="0000FF"/>
                  <w:w w:val="95"/>
                </w:rPr>
                <w:t>96</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9A. Controls and Procedures.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0">
              <w:r>
                <w:rPr>
                  <w:rFonts w:ascii="Arial" w:cs="Arial" w:eastAsia="Arial" w:hAnsi="Arial"/>
                  <w:sz w:val="15"/>
                  <w:szCs w:val="15"/>
                  <w:color w:val="0000FF"/>
                  <w:w w:val="95"/>
                </w:rPr>
                <w:t>96</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9B. Other Information.</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97</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10. Directors, Executive Officers and Corporate Governance.</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11. Executive Compensation.</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12. Security Ownership of Certain Beneficial Owners and Management and Related Stockholder Matters.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13. Certain Relationships and Related Transactions, and Director Independence.</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14. Principal Accounting Fees and Services.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3">
              <w:r>
                <w:rPr>
                  <w:rFonts w:ascii="Arial" w:cs="Arial" w:eastAsia="Arial" w:hAnsi="Arial"/>
                  <w:sz w:val="15"/>
                  <w:szCs w:val="15"/>
                  <w:color w:val="0000FF"/>
                  <w:w w:val="95"/>
                </w:rPr>
                <w:t>99</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15. Exhibits, Financial Statement Schedules.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3">
              <w:r>
                <w:rPr>
                  <w:rFonts w:ascii="Arial" w:cs="Arial" w:eastAsia="Arial" w:hAnsi="Arial"/>
                  <w:sz w:val="15"/>
                  <w:szCs w:val="15"/>
                  <w:color w:val="0000FF"/>
                  <w:w w:val="95"/>
                </w:rPr>
                <w:t>99</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SIGNATURES</w:t>
            </w:r>
          </w:p>
        </w:tc>
        <w:tc>
          <w:tcPr>
            <w:tcW w:w="260" w:type="dxa"/>
            <w:vAlign w:val="bottom"/>
            <w:tcBorders>
              <w:bottom w:val="single" w:sz="8" w:color="0000FF"/>
            </w:tcBorders>
            <w:gridSpan w:val="3"/>
          </w:tcPr>
          <w:p>
            <w:pPr>
              <w:jc w:val="right"/>
              <w:spacing w:after="0"/>
              <w:rPr>
                <w:rFonts w:ascii="Arial" w:cs="Arial" w:eastAsia="Arial" w:hAnsi="Arial"/>
                <w:sz w:val="15"/>
                <w:szCs w:val="15"/>
                <w:color w:val="0000FF"/>
                <w:w w:val="95"/>
              </w:rPr>
            </w:pPr>
            <w:hyperlink w:anchor="page104">
              <w:r>
                <w:rPr>
                  <w:rFonts w:ascii="Arial" w:cs="Arial" w:eastAsia="Arial" w:hAnsi="Arial"/>
                  <w:sz w:val="15"/>
                  <w:szCs w:val="15"/>
                  <w:color w:val="0000FF"/>
                  <w:w w:val="95"/>
                </w:rPr>
                <w:t>100</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20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This Annual Report on Form 10-K for ABM Industries Incorporated and its subsidiaries (collectively referred to as “ABM,”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46AD"/>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General</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solutions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Our history dates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Over the past ten years, we have grown into a multi-segment facility solutions company, increasing our revenue from $3 billion to $6 billion, particularly through new service offerings and strategic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29210</wp:posOffset>
            </wp:positionV>
            <wp:extent cx="5848985" cy="2452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acquisition of OneSource in 2007 bolstered ABM as a leader in the janitorial market, while the Linc Group acquisition in 2010 established ABM as a “facility solutions” company with new service offerings, including lighting, mechanical, and electrical “technical solutions.” With demand increasing for industry-specific service providers, in 2012 we purchased Air Serv and established our first industry group, “aviation.” In recent years, we have strategically acquired companies in the United Kingdom, particularly with the GBM and Westway acquisitions, which expanded our janitorial and technical solutions businesses overseas. In 2017, we completed the acquisition of GCA Services Group (“GCA”), a provider of integrated facility services to educational institutions and commercial facilities, for approximately $1.3 billion, the largest acquisition in ABM history. As a result of this acquisition, we are now a leading facility solutions provider in the education market. In recent years, we also evaluated all of our service offerings and sold our Security and Government Services businesses, which did not align with ABM’s long-term industry-group focus.</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result of these strategic changes, we have strengthened our ability to offer janitorial, facilities engineering, parking, and specialized mechanical and electrical technical solutions, on a standalone basis or in combination, positioning ourselves as a leading integrated facilities management company. Unless otherwise indicated, all references to years are to our fiscal year, which ends on October 31.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have achieved savings through the realignment of our organization by industry group, divested businesses that were not at the core of our strategy, centralized key functional areas, strengthened our sales capabilities, initiated investments in service delivery tools and processes, improved our employee engagement programs, and added to our position as a leading integrated service provider through the acquisition of GCA. We continue focusing on several key initiatives across our organization to sustain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strategy and profitably deliver leading industry-based facility solutions. For additional information on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see Item 7., “Management’s Discussion and Analysis of Financial Condition and Results of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Contract Types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generate revenues under several types of contracts, as explained below. Generally, the type of contract is determined by the nature of the services. Although many of our service agreements are cancelable on short notice, we have historically had a high rate of client retention and expect to continue maintaining long-term relationships with our clients.</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820" w:type="dxa"/>
            <w:vAlign w:val="bottom"/>
            <w:tcBorders>
              <w:top w:val="single" w:sz="8" w:color="auto"/>
              <w:left w:val="single" w:sz="8" w:color="auto"/>
              <w:bottom w:val="single" w:sz="8" w:color="auto"/>
              <w:right w:val="single" w:sz="8" w:color="auto"/>
            </w:tcBorders>
            <w:shd w:val="clear" w:color="auto" w:fill="DCE2EF"/>
          </w:tcPr>
          <w:p>
            <w:pPr>
              <w:jc w:val="center"/>
              <w:spacing w:after="0"/>
              <w:rPr>
                <w:sz w:val="20"/>
                <w:szCs w:val="20"/>
                <w:color w:val="auto"/>
              </w:rPr>
            </w:pPr>
            <w:r>
              <w:rPr>
                <w:rFonts w:ascii="Arial" w:cs="Arial" w:eastAsia="Arial" w:hAnsi="Arial"/>
                <w:sz w:val="18"/>
                <w:szCs w:val="18"/>
                <w:b w:val="1"/>
                <w:bCs w:val="1"/>
                <w:color w:val="0046AD"/>
                <w:w w:val="99"/>
              </w:rPr>
              <w:t>Contract Type</w:t>
            </w:r>
          </w:p>
        </w:tc>
        <w:tc>
          <w:tcPr>
            <w:tcW w:w="9340" w:type="dxa"/>
            <w:vAlign w:val="bottom"/>
            <w:tcBorders>
              <w:top w:val="single" w:sz="8" w:color="auto"/>
              <w:bottom w:val="single" w:sz="8" w:color="auto"/>
              <w:right w:val="single" w:sz="8" w:color="auto"/>
            </w:tcBorders>
            <w:shd w:val="clear" w:color="auto" w:fill="DCE2EF"/>
          </w:tcPr>
          <w:p>
            <w:pPr>
              <w:ind w:left="4160"/>
              <w:spacing w:after="0"/>
              <w:rPr>
                <w:sz w:val="20"/>
                <w:szCs w:val="20"/>
                <w:color w:val="auto"/>
              </w:rPr>
            </w:pPr>
            <w:r>
              <w:rPr>
                <w:rFonts w:ascii="Arial" w:cs="Arial" w:eastAsia="Arial" w:hAnsi="Arial"/>
                <w:sz w:val="18"/>
                <w:szCs w:val="18"/>
                <w:b w:val="1"/>
                <w:bCs w:val="1"/>
                <w:color w:val="0046AD"/>
              </w:rPr>
              <w:t>Description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These arrangements are contracts in which the client agrees to pay a fixed fee every month over a specified contract</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Monthly Fixed-Price</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term. A variation of a fixed-price arrangement is a square-foot arrangement, under which monthly billings are based</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 the actual square footage serviced. Janitorial contracts are commonly structured as fixed-price arrangements.</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clients reimburse us for the agreed-upon amount of wages and</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Cost-Plus</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benefits, payroll taxes, insurance charges, and other expenses associated with the contracted work, plus a profit</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margin. Facilities engineering, janitorial, and catering services are commonly structured as cost-plus arrangements.</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Tag work generally consists of supplemental services requested by clients outside of the standard service</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Tag Services</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specification. This contract type is commonly used in janitorial services and includes cleanup after tenant moves,</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construction cleanup, flood cleanup, and snow removal.</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Transaction-Price</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are agreements in which the clients are billed for each transaction performed on a monthly basis (e.g.,</w:t>
            </w: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wheelchair passengers served or planes cleaned).</w:t>
            </w: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Hourly</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 is billed a set hourly rate for each labor hour provided. Certain</w:t>
            </w: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Aviation contracts are structured as hourly arrangements.</w:t>
            </w: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Management</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manage a parking facility for a management fee and pass through the</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Reimbursement</w:t>
            </w: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revenue and expenses associated with the facility to the owner.</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generally pay to the property owner a fixed amount of rent plus a percentage</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Leased Location</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revenues derived from monthly and transient parkers. We retain all revenues and we are responsible for most</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operating expenses incurred.</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Allowance</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are paid a fixed or hourly fee to provide parking services, and we are</w:t>
            </w: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responsible for certain operating expenses, as specified in the contract.</w:t>
            </w: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Energy Savings</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Contracts and Fixed-</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Under these arrangements, we agree to develop, design, engineer, and construct a project and guarantee that the</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Price Repair and</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project will satisfy agreed-upon performance standards.</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Refurbishment</w:t>
            </w:r>
          </w:p>
        </w:tc>
        <w:tc>
          <w:tcPr>
            <w:tcW w:w="9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Franchise</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franchise certain engineering services through individual and area franchises under the Linc Service and TEGG</w:t>
            </w: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brands, which are part of ABM Technical Solutions.</w:t>
            </w: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11160" w:type="dxa"/>
            <w:vAlign w:val="bottom"/>
            <w:gridSpan w:val="2"/>
          </w:tcPr>
          <w:p>
            <w:pPr>
              <w:spacing w:after="0"/>
              <w:rPr>
                <w:sz w:val="20"/>
                <w:szCs w:val="20"/>
                <w:color w:val="auto"/>
              </w:rPr>
            </w:pPr>
            <w:r>
              <w:rPr>
                <w:rFonts w:ascii="Arial" w:cs="Arial" w:eastAsia="Arial" w:hAnsi="Arial"/>
                <w:sz w:val="18"/>
                <w:szCs w:val="18"/>
                <w:b w:val="1"/>
                <w:bCs w:val="1"/>
                <w:color w:val="0046AD"/>
              </w:rPr>
              <w:t>Segment and Geographic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November 1, 2017, we reorganized our reportable segments to reflect the integration of GCA into our industry group model. Our reportable segments consist of Business &amp; Industry (“B&amp;I”), Aviation, Technology &amp; Manufacturing (“T&amp;M”), Education, Technical Solutions, and Healthcare. Our principal operations are in the United States, and in 2018 our U.S. operations generated approximately 93% of our revenues. For segment and geographic financial information, see Note 18, “Segment and Geographic Information,” in the Notes to Consolidated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22" w:right="239" w:bottom="1440" w:gutter="0" w:footer="0" w:header="0"/>
        </w:sectPr>
      </w:pPr>
    </w:p>
    <w:bookmarkStart w:id="6" w:name="page7"/>
    <w:bookmarkEnd w:id="6"/>
    <w:p>
      <w:pPr>
        <w:ind w:left="2480"/>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431800</wp:posOffset>
            </wp:positionV>
            <wp:extent cx="7254875" cy="7280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7280910"/>
                    </a:xfrm>
                    <a:prstGeom prst="rect">
                      <a:avLst/>
                    </a:prstGeom>
                    <a:noFill/>
                  </pic:spPr>
                </pic:pic>
              </a:graphicData>
            </a:graphic>
          </wp:anchor>
        </w:drawing>
        <w:t>REPORTABLE SEGMENTS AND DESCRIPTIONS</w:t>
      </w:r>
    </w:p>
    <w:p>
      <w:pPr>
        <w:spacing w:after="0" w:line="369" w:lineRule="exact"/>
        <w:rPr>
          <w:sz w:val="20"/>
          <w:szCs w:val="20"/>
          <w:color w:val="auto"/>
        </w:rPr>
      </w:pPr>
    </w:p>
    <w:p>
      <w:pPr>
        <w:jc w:val="both"/>
        <w:ind w:left="2740" w:right="20"/>
        <w:spacing w:after="0" w:line="237" w:lineRule="auto"/>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and sports and entertainment venues. B&amp;I also provides vehicle maintenance and other services to rental car providers (“Vehicle Services Contracts”). We typically provide services in this segment pursuant to monthly fixed-price arrangements and cost-plus arrangements that are obtained through a competitive bid process as well as through tag services.</w:t>
      </w:r>
    </w:p>
    <w:p>
      <w:pPr>
        <w:spacing w:after="0" w:line="200" w:lineRule="exact"/>
        <w:rPr>
          <w:sz w:val="20"/>
          <w:szCs w:val="20"/>
          <w:color w:val="auto"/>
        </w:rPr>
      </w:pPr>
    </w:p>
    <w:p>
      <w:pPr>
        <w:spacing w:after="0" w:line="343" w:lineRule="exact"/>
        <w:rPr>
          <w:sz w:val="20"/>
          <w:szCs w:val="20"/>
          <w:color w:val="auto"/>
        </w:rPr>
      </w:pPr>
    </w:p>
    <w:p>
      <w:pPr>
        <w:jc w:val="both"/>
        <w:ind w:left="2740" w:right="20"/>
        <w:spacing w:after="0" w:line="237"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logistics, air cabin maintenance, and transportation. We typically provide services to clients in this segment under master services agreements. These agreements are typically re-bid upon renewal and are generally structured as fixed-price arrangements, parking reimbursement contracts, transaction-price arrangements, and hourly arrangements. Two clients accounted for approximately 31% of revenues for this segment in 2018.</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2740"/>
        <w:spacing w:after="0" w:line="238" w:lineRule="auto"/>
        <w:rPr>
          <w:sz w:val="20"/>
          <w:szCs w:val="20"/>
          <w:color w:val="auto"/>
        </w:rPr>
      </w:pPr>
      <w:r>
        <w:rPr>
          <w:rFonts w:ascii="Arial" w:cs="Arial" w:eastAsia="Arial" w:hAnsi="Arial"/>
          <w:sz w:val="18"/>
          <w:szCs w:val="18"/>
          <w:color w:val="auto"/>
        </w:rPr>
        <w:t>T&amp;M combines our legacy Industrial &amp; Manufacturing business, which was previously included in our B&amp;I segment, with our legacy High Tech industry group, which was previously reported as part of our legacy Emerging Industries Group. T&amp;M provides janitorial, facilities engineering, and parking services. We typically provide these services pursuant to monthly fixed-price and cost-plus arrangements that are obtained through a competitive bid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740" w:right="20"/>
        <w:spacing w:after="0" w:line="238" w:lineRule="auto"/>
        <w:rPr>
          <w:sz w:val="20"/>
          <w:szCs w:val="20"/>
          <w:color w:val="auto"/>
        </w:rPr>
      </w:pPr>
      <w:r>
        <w:rPr>
          <w:rFonts w:ascii="Arial" w:cs="Arial" w:eastAsia="Arial" w:hAnsi="Arial"/>
          <w:sz w:val="18"/>
          <w:szCs w:val="18"/>
          <w:color w:val="auto"/>
        </w:rPr>
        <w:t>Education delivers janitorial, custodial, landscaping and grounds, facilities engineering, and parking services for public school districts, private schools, colleges, and universities. These services are typically provided pursuant to monthly fixed-price and cost-plus arrangements that are obtained through either a competitive bid process or re-bid upon renewal. This business was previously reported as part of our legacy Emerging Industries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2740"/>
        <w:spacing w:after="0" w:line="239" w:lineRule="auto"/>
        <w:rPr>
          <w:sz w:val="20"/>
          <w:szCs w:val="20"/>
          <w:color w:val="auto"/>
        </w:rPr>
      </w:pPr>
      <w:r>
        <w:rPr>
          <w:rFonts w:ascii="Arial" w:cs="Arial" w:eastAsia="Arial" w:hAnsi="Arial"/>
          <w:sz w:val="18"/>
          <w:szCs w:val="18"/>
          <w:color w:val="auto"/>
        </w:rPr>
        <w:t>Technical Solutions specializes in mechanical and electrical services. These services can also be leveraged for cross-selling across all of our industry groups, both domestically and internationally. Contracts for this segment are structured as cost-plus arrangements, fixed-price arrangements, energy savings contracts, and franchise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740"/>
        <w:spacing w:after="0" w:line="237" w:lineRule="auto"/>
        <w:rPr>
          <w:sz w:val="20"/>
          <w:szCs w:val="20"/>
          <w:color w:val="auto"/>
        </w:rPr>
      </w:pPr>
      <w:r>
        <w:rPr>
          <w:rFonts w:ascii="Arial" w:cs="Arial" w:eastAsia="Arial" w:hAnsi="Arial"/>
          <w:sz w:val="18"/>
          <w:szCs w:val="18"/>
          <w:color w:val="auto"/>
        </w:rPr>
        <w:t>Healthcare offers janitorial, facilities management, clinical engineering, food and nutrition, laundry and linen, parking and guest services, and patient transportation services at traditional hospitals and non-acute facilities. We typically provide these services, which are obtained through a competitive bid process, pursuant to monthly fixed-price and cost-plus arrangements, as well as parking reimbursement contracts. This business was previously reported as part of our legacy Emerging Industries Group.</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00"/>
          </w:cols>
          <w:pgMar w:left="1440" w:top="69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46AD"/>
        </w:rPr>
        <w:t>Service Marks, Trademarks, and Trade Names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hold various service marks, trademarks, and trade names, such as “ABM,” “ABM Building Value,” “ABM Greencare,” “MPower,” “Linc Service,” “OmniServ,” and “TEGG,” which we deem important to our marketing activities, to our business, and, in some cases, to the franchising activities conducted by our Technical Solutions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Dependence on Significant Client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client accounted for more than 10% of our consolidated revenues during 2018, 2017, or 2016.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Competition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efficiency enhancements, adapting to changing workplace conditions,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competitive advantages in those regards. We also compete indirectly with companies that can perform for themselves one or more of the services we provide.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and Marketing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sales and marketing activities include digital engagement and direct interactions with prospective and existing clients, pricing, proposal management, and customer relationship management by dedicated business development teams, operations personnel, and management. These activities are executed by branch and regional sales, marketing, and operations teams assigned to our industry groups and are supported by centralized sales support teams, inside sales teams, corporate marketing personnel, and our Center of Excellence teams. These sales and marketing teams perform lead acquisition, lead nurturing, and lead management as well as training in sales tools and proposal systems, all governed by standard operating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Regulatory Environment and Environmental Compliance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From time to time we are involved in environmental matters at certain of our locations or in connection with our operations. Historically, the cost of complying with environmental laws or resolving environmental issues relating to locations or operations in the United States or abroad has not had a material adverse effect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Employees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of October 31, 2018, we employed approximately 140,000 persons, of which approximately 48,000, or 34%, were subject to various local collective bargaining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Available Information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required to file Annual Reports on Form 10-K, Quarterly Reports on Form 10-Q, Current Reports on Form 8-K, and other information with the Securities and Exchange Commission (“SEC”). The public may read and copy any materials that we file with the SEC at the SEC’s Public Reference Room at 100 F Street, NE, Washington, D.C. 20549. Information on the operation of the Public Reference Room may be obtained by calling the SEC at 1-800-SEC-0330. In addition, the SEC maintains an Internet site at www.sec.gov that contains reports, proxy and information statements, and other information regarding issuers that file electronically with the SEC.</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amendments to those reports filed or furnished pursuant to Section 13(a) or 15(d) of the Securities Exchange Act of 1934 are also available free of charge on our Internet site at www.abm.com as soon as reasonably practicable after such reports are electronically filed with or furnished to the SEC. We provide references to our website for your convenience, but our website does not constitute, and should not be viewed as, a part of this Annual Report, and our website is not incorporated into this or any of our other filings with the SEC.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046AD"/>
        </w:rPr>
        <w:t>Executive Officers of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Executive Officers on December 21, 2018</w:t>
      </w:r>
    </w:p>
    <w:p>
      <w:pPr>
        <w:sectPr>
          <w:pgSz w:w="11900" w:h="16838" w:orient="portrait"/>
          <w:cols w:equalWidth="0" w:num="1">
            <w:col w:w="11420"/>
          </w:cols>
          <w:pgMar w:left="240" w:top="522" w:right="23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Scott Salmirs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b w:val="1"/>
          <w:bCs w:val="1"/>
          <w:color w:val="auto"/>
        </w:rPr>
        <w:t>Principal Occupations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28575</wp:posOffset>
            </wp:positionV>
            <wp:extent cx="724662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68" w:lineRule="exact"/>
        <w:rPr>
          <w:sz w:val="20"/>
          <w:szCs w:val="20"/>
          <w:color w:val="auto"/>
        </w:rPr>
      </w:pPr>
    </w:p>
    <w:p>
      <w:pPr>
        <w:jc w:val="both"/>
        <w:ind w:left="880" w:right="20" w:hanging="795"/>
        <w:spacing w:after="0" w:line="250"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President and Chief Executive Officer of ABM since March 2015; Executive Vice President of ABM from September 2014 to March 2015, with global responsibility for ABM’s Aviation division and all international activities; Executive Vice President of ABM’s Onsite Services division focused on the Northeast from 2003 to September 2014; Member of the Board of Directors of ABM since January 2015.</w:t>
      </w:r>
    </w:p>
    <w:p>
      <w:pPr>
        <w:spacing w:after="0" w:line="41" w:lineRule="exact"/>
        <w:rPr>
          <w:sz w:val="20"/>
          <w:szCs w:val="20"/>
          <w:color w:val="auto"/>
        </w:rPr>
      </w:pPr>
    </w:p>
    <w:p>
      <w:pPr>
        <w:sectPr>
          <w:pgSz w:w="11900" w:h="16838" w:orient="portrait"/>
          <w:cols w:equalWidth="0" w:num="2">
            <w:col w:w="2780" w:space="720"/>
            <w:col w:w="7920"/>
          </w:cols>
          <w:pgMar w:left="240" w:top="522" w:right="2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580" w:type="dxa"/>
            <w:vAlign w:val="bottom"/>
          </w:tcPr>
          <w:p>
            <w:pPr>
              <w:ind w:left="40"/>
              <w:spacing w:after="0"/>
              <w:rPr>
                <w:sz w:val="20"/>
                <w:szCs w:val="20"/>
                <w:color w:val="auto"/>
              </w:rPr>
            </w:pPr>
            <w:r>
              <w:rPr>
                <w:rFonts w:ascii="Arial" w:cs="Arial" w:eastAsia="Arial" w:hAnsi="Arial"/>
                <w:sz w:val="16"/>
                <w:szCs w:val="16"/>
                <w:color w:val="auto"/>
              </w:rPr>
              <w:t>D. Anthony Scaglione</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46</w:t>
            </w: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and Chief Financial Officer of ABM since April 2015; Senior Vice</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President, Treasurer, and Head of Mergers and Acquisitions of ABM from January 2012 to April</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2015; Vice President and Treasurer of ABM from June 2009 to January 2012; Chairman of the</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Board  of  the  Association  for  Financial  Professionals  (AFP),  the  professional  society  that</w:t>
            </w:r>
          </w:p>
        </w:tc>
      </w:tr>
      <w:tr>
        <w:trPr>
          <w:trHeight w:val="204"/>
        </w:trPr>
        <w:tc>
          <w:tcPr>
            <w:tcW w:w="2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represents finance executives across the globe, from November 2014 to October 2016.</w:t>
            </w:r>
          </w:p>
        </w:tc>
      </w:tr>
      <w:tr>
        <w:trPr>
          <w:trHeight w:val="228"/>
        </w:trPr>
        <w:tc>
          <w:tcPr>
            <w:tcW w:w="2580" w:type="dxa"/>
            <w:vAlign w:val="bottom"/>
            <w:shd w:val="clear" w:color="auto" w:fill="DCE2EF"/>
          </w:tcPr>
          <w:p>
            <w:pPr>
              <w:ind w:left="40"/>
              <w:spacing w:after="0"/>
              <w:rPr>
                <w:sz w:val="20"/>
                <w:szCs w:val="20"/>
                <w:color w:val="auto"/>
              </w:rPr>
            </w:pPr>
            <w:r>
              <w:rPr>
                <w:rFonts w:ascii="Arial" w:cs="Arial" w:eastAsia="Arial" w:hAnsi="Arial"/>
                <w:sz w:val="16"/>
                <w:szCs w:val="16"/>
                <w:color w:val="auto"/>
              </w:rPr>
              <w:t>Scott Giacobbe</w:t>
            </w:r>
          </w:p>
        </w:tc>
        <w:tc>
          <w:tcPr>
            <w:tcW w:w="150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rPr>
              <w:t>56</w:t>
            </w:r>
          </w:p>
        </w:tc>
        <w:tc>
          <w:tcPr>
            <w:tcW w:w="73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Chief Operating Officer of ABM since November 2017; President of ABM’s U.S. Technical</w:t>
            </w:r>
          </w:p>
        </w:tc>
      </w:tr>
      <w:tr>
        <w:trPr>
          <w:trHeight w:val="214"/>
        </w:trPr>
        <w:tc>
          <w:tcPr>
            <w:tcW w:w="2580" w:type="dxa"/>
            <w:vAlign w:val="bottom"/>
            <w:shd w:val="clear" w:color="auto" w:fill="DCE2EF"/>
          </w:tcPr>
          <w:p>
            <w:pPr>
              <w:spacing w:after="0"/>
              <w:rPr>
                <w:sz w:val="18"/>
                <w:szCs w:val="18"/>
                <w:color w:val="auto"/>
              </w:rPr>
            </w:pPr>
          </w:p>
        </w:tc>
        <w:tc>
          <w:tcPr>
            <w:tcW w:w="1500" w:type="dxa"/>
            <w:vAlign w:val="bottom"/>
            <w:shd w:val="clear" w:color="auto" w:fill="DCE2EF"/>
          </w:tcPr>
          <w:p>
            <w:pPr>
              <w:spacing w:after="0"/>
              <w:rPr>
                <w:sz w:val="18"/>
                <w:szCs w:val="18"/>
                <w:color w:val="auto"/>
              </w:rPr>
            </w:pPr>
          </w:p>
        </w:tc>
        <w:tc>
          <w:tcPr>
            <w:tcW w:w="73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Solutions from November 2010 to November 2017.</w:t>
            </w:r>
          </w:p>
        </w:tc>
      </w:tr>
      <w:tr>
        <w:trPr>
          <w:trHeight w:val="218"/>
        </w:trPr>
        <w:tc>
          <w:tcPr>
            <w:tcW w:w="2580" w:type="dxa"/>
            <w:vAlign w:val="bottom"/>
          </w:tcPr>
          <w:p>
            <w:pPr>
              <w:ind w:left="40"/>
              <w:spacing w:after="0"/>
              <w:rPr>
                <w:sz w:val="20"/>
                <w:szCs w:val="20"/>
                <w:color w:val="auto"/>
              </w:rPr>
            </w:pPr>
            <w:r>
              <w:rPr>
                <w:rFonts w:ascii="Arial" w:cs="Arial" w:eastAsia="Arial" w:hAnsi="Arial"/>
                <w:sz w:val="16"/>
                <w:szCs w:val="16"/>
                <w:color w:val="auto"/>
              </w:rPr>
              <w:t>Andrea R. Newborn</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55</w:t>
            </w: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General Counsel, and Corporate Secretary of ABM since July 2017;</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and General Counsel for TravelClick, Inc. from July 2014 to June 2017;</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Senior Vice President, General Counsel, and Secretary of The Reader’s Digest Association, Inc.</w:t>
            </w:r>
          </w:p>
        </w:tc>
      </w:tr>
      <w:tr>
        <w:trPr>
          <w:trHeight w:val="204"/>
        </w:trPr>
        <w:tc>
          <w:tcPr>
            <w:tcW w:w="2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from March 2007 to February 2014.</w:t>
            </w:r>
          </w:p>
        </w:tc>
      </w:tr>
      <w:tr>
        <w:trPr>
          <w:trHeight w:val="228"/>
        </w:trPr>
        <w:tc>
          <w:tcPr>
            <w:tcW w:w="2580" w:type="dxa"/>
            <w:vAlign w:val="bottom"/>
            <w:shd w:val="clear" w:color="auto" w:fill="DCE2EF"/>
          </w:tcPr>
          <w:p>
            <w:pPr>
              <w:ind w:left="40"/>
              <w:spacing w:after="0"/>
              <w:rPr>
                <w:sz w:val="20"/>
                <w:szCs w:val="20"/>
                <w:color w:val="auto"/>
              </w:rPr>
            </w:pPr>
            <w:r>
              <w:rPr>
                <w:rFonts w:ascii="Arial" w:cs="Arial" w:eastAsia="Arial" w:hAnsi="Arial"/>
                <w:sz w:val="16"/>
                <w:szCs w:val="16"/>
                <w:color w:val="auto"/>
              </w:rPr>
              <w:t>Dean A. Chin</w:t>
            </w:r>
          </w:p>
        </w:tc>
        <w:tc>
          <w:tcPr>
            <w:tcW w:w="150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rPr>
              <w:t>50</w:t>
            </w:r>
          </w:p>
        </w:tc>
        <w:tc>
          <w:tcPr>
            <w:tcW w:w="73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Senior Vice President, Chief Accounting Officer, and Corporate Controller of ABM since June</w:t>
            </w:r>
          </w:p>
        </w:tc>
      </w:tr>
      <w:tr>
        <w:trPr>
          <w:trHeight w:val="214"/>
        </w:trPr>
        <w:tc>
          <w:tcPr>
            <w:tcW w:w="2580" w:type="dxa"/>
            <w:vAlign w:val="bottom"/>
            <w:shd w:val="clear" w:color="auto" w:fill="DCE2EF"/>
          </w:tcPr>
          <w:p>
            <w:pPr>
              <w:spacing w:after="0"/>
              <w:rPr>
                <w:sz w:val="18"/>
                <w:szCs w:val="18"/>
                <w:color w:val="auto"/>
              </w:rPr>
            </w:pPr>
          </w:p>
        </w:tc>
        <w:tc>
          <w:tcPr>
            <w:tcW w:w="1500" w:type="dxa"/>
            <w:vAlign w:val="bottom"/>
            <w:shd w:val="clear" w:color="auto" w:fill="DCE2EF"/>
          </w:tcPr>
          <w:p>
            <w:pPr>
              <w:spacing w:after="0"/>
              <w:rPr>
                <w:sz w:val="18"/>
                <w:szCs w:val="18"/>
                <w:color w:val="auto"/>
              </w:rPr>
            </w:pPr>
          </w:p>
        </w:tc>
        <w:tc>
          <w:tcPr>
            <w:tcW w:w="73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2010; Vice President and Assistant Controller of ABM from June 2008 to June 2010.</w:t>
            </w:r>
          </w:p>
        </w:tc>
      </w:tr>
      <w:tr>
        <w:trPr>
          <w:trHeight w:val="218"/>
        </w:trPr>
        <w:tc>
          <w:tcPr>
            <w:tcW w:w="2580" w:type="dxa"/>
            <w:vAlign w:val="bottom"/>
          </w:tcPr>
          <w:p>
            <w:pPr>
              <w:ind w:left="40"/>
              <w:spacing w:after="0"/>
              <w:rPr>
                <w:sz w:val="20"/>
                <w:szCs w:val="20"/>
                <w:color w:val="auto"/>
              </w:rPr>
            </w:pPr>
            <w:r>
              <w:rPr>
                <w:rFonts w:ascii="Arial" w:cs="Arial" w:eastAsia="Arial" w:hAnsi="Arial"/>
                <w:sz w:val="16"/>
                <w:szCs w:val="16"/>
                <w:color w:val="auto"/>
              </w:rPr>
              <w:t>Andrew D. Block</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and Chief Human Resources Officer of ABM since June 2018; Senior</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Vice President, Talent and Organizational Performance (Chief HR Officer) of Buffalo Wild Wings,</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Inc. from April 2010 to June 2018; Director of Human Resources of C.H. Robinson Worldwide,</w:t>
            </w:r>
          </w:p>
        </w:tc>
      </w:tr>
      <w:tr>
        <w:trPr>
          <w:trHeight w:val="204"/>
        </w:trPr>
        <w:tc>
          <w:tcPr>
            <w:tcW w:w="2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Inc. from December 2002 to April 2010.</w:t>
            </w:r>
          </w:p>
        </w:tc>
      </w:tr>
      <w:tr>
        <w:trPr>
          <w:trHeight w:val="228"/>
        </w:trPr>
        <w:tc>
          <w:tcPr>
            <w:tcW w:w="2580" w:type="dxa"/>
            <w:vAlign w:val="bottom"/>
            <w:shd w:val="clear" w:color="auto" w:fill="DCE2EF"/>
          </w:tcPr>
          <w:p>
            <w:pPr>
              <w:ind w:left="40"/>
              <w:spacing w:after="0"/>
              <w:rPr>
                <w:sz w:val="20"/>
                <w:szCs w:val="20"/>
                <w:color w:val="auto"/>
              </w:rPr>
            </w:pPr>
            <w:r>
              <w:rPr>
                <w:rFonts w:ascii="Arial" w:cs="Arial" w:eastAsia="Arial" w:hAnsi="Arial"/>
                <w:sz w:val="16"/>
                <w:szCs w:val="16"/>
                <w:color w:val="auto"/>
              </w:rPr>
              <w:t>Rene Jacobsen</w:t>
            </w:r>
          </w:p>
        </w:tc>
        <w:tc>
          <w:tcPr>
            <w:tcW w:w="150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rPr>
              <w:t>57</w:t>
            </w:r>
          </w:p>
        </w:tc>
        <w:tc>
          <w:tcPr>
            <w:tcW w:w="73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President of ABM’s Business &amp; Industry Group since February 2016; Executive Vice President of</w:t>
            </w:r>
          </w:p>
        </w:tc>
      </w:tr>
      <w:tr>
        <w:trPr>
          <w:trHeight w:val="189"/>
        </w:trPr>
        <w:tc>
          <w:tcPr>
            <w:tcW w:w="2580" w:type="dxa"/>
            <w:vAlign w:val="bottom"/>
            <w:shd w:val="clear" w:color="auto" w:fill="DCE2EF"/>
          </w:tcPr>
          <w:p>
            <w:pPr>
              <w:spacing w:after="0"/>
              <w:rPr>
                <w:sz w:val="16"/>
                <w:szCs w:val="16"/>
                <w:color w:val="auto"/>
              </w:rPr>
            </w:pPr>
          </w:p>
        </w:tc>
        <w:tc>
          <w:tcPr>
            <w:tcW w:w="1500" w:type="dxa"/>
            <w:vAlign w:val="bottom"/>
            <w:shd w:val="clear" w:color="auto" w:fill="DCE2EF"/>
          </w:tcPr>
          <w:p>
            <w:pPr>
              <w:spacing w:after="0"/>
              <w:rPr>
                <w:sz w:val="16"/>
                <w:szCs w:val="16"/>
                <w:color w:val="auto"/>
              </w:rPr>
            </w:pPr>
          </w:p>
        </w:tc>
        <w:tc>
          <w:tcPr>
            <w:tcW w:w="73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ABM’s West Region from April 2012 to February 2016; Executive Vice President and Chief</w:t>
            </w:r>
          </w:p>
        </w:tc>
      </w:tr>
      <w:tr>
        <w:trPr>
          <w:trHeight w:val="214"/>
        </w:trPr>
        <w:tc>
          <w:tcPr>
            <w:tcW w:w="2580" w:type="dxa"/>
            <w:vAlign w:val="bottom"/>
            <w:shd w:val="clear" w:color="auto" w:fill="DCE2EF"/>
          </w:tcPr>
          <w:p>
            <w:pPr>
              <w:spacing w:after="0"/>
              <w:rPr>
                <w:sz w:val="18"/>
                <w:szCs w:val="18"/>
                <w:color w:val="auto"/>
              </w:rPr>
            </w:pPr>
          </w:p>
        </w:tc>
        <w:tc>
          <w:tcPr>
            <w:tcW w:w="1500" w:type="dxa"/>
            <w:vAlign w:val="bottom"/>
            <w:shd w:val="clear" w:color="auto" w:fill="DCE2EF"/>
          </w:tcPr>
          <w:p>
            <w:pPr>
              <w:spacing w:after="0"/>
              <w:rPr>
                <w:sz w:val="18"/>
                <w:szCs w:val="18"/>
                <w:color w:val="auto"/>
              </w:rPr>
            </w:pPr>
          </w:p>
        </w:tc>
        <w:tc>
          <w:tcPr>
            <w:tcW w:w="73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Operating Officer of Temco Service Industries from November 2007 to April 2012.</w:t>
            </w:r>
          </w:p>
        </w:tc>
      </w:tr>
      <w:tr>
        <w:trPr>
          <w:trHeight w:val="621"/>
        </w:trPr>
        <w:tc>
          <w:tcPr>
            <w:tcW w:w="2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340" w:type="dxa"/>
            <w:vAlign w:val="bottom"/>
          </w:tcPr>
          <w:p>
            <w:pPr>
              <w:ind w:left="15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522"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0046AD"/>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full extent of growth opportunities or potential synergies anticipated from the acquisition of GCA.</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The benefits that we expected to result from the acquisition of GCA will depend, in part, on our ability to realize the full extent of the anticipated growth opportunities and to maintain synergies from the acquisition. Our success in realizing these growth opportunities and synergies, and the timing of this realization, depends on a number of factors. There is a significant degree of difficulty and management distraction inherent in the process of integrating an acquisition as sizable as GCA. While we have completed a significant portion of the integration, the ongoing process of integrating operations could cause an interruption of, or loss of momentum in, the activities of our business, including the GCA legacy business. In addition, time and distraction relating to the integration of GCA could detract from our ability to achieve the benefits anticipated with respect to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There can be no assurance that we will complete the GCA integration successfully or in a cost efficient manner, and the failure to do so could have a material adverse effect on our business, financial condition, or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are able to complete the GCA integration successfully, this integration may not result in the full realization of the growth opportunities and synergies we anticipated and currently expect from this integration, and we cannot guarantee these benefits will be achieved within anticipated timeframes or at all. In addition, the overall integration may result in unanticipated problems, expenses, liabilities, competitive responses, loss of client and other relationships, or loss of key employees, any of which may adversely affect our results of operations and may cause our stock price to decline.</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incurred a substantial amount of debt to complete the acquisition of GCA. To service our debt, we will require a significant amount of cash. Our ability to generate cash depends on many factors beyond our control. We also depend on the profitability of our subsidiaries to satisfy our cash needs. If we cannot generate the required cash, we may not be able to make the necessary payments required to service our indebtedness or we may be required to suspend certain discretionary payments, including our dividend.</w:t>
      </w:r>
    </w:p>
    <w:p>
      <w:pPr>
        <w:spacing w:after="0" w:line="14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the acquisition of GCA, we refinanced and replaced our existing credit facility with a new syndicated secured credit facility (the “Credit Facility”) consisting of a $ 900 million revolving line of credit and an $800 million amortizing term loan with a five-year term. Although we have paid down portions of this indebtedness, our future ability to make payments on our debt, fund our other liquidity needs, and make planned capital expenditures will depend on our ability to generate cash.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 an amount sufficient to enable us to make payments on our debt, fund other liquidity needs, make planned capital expenditures, or continue our dividend.</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degree to which we are currently leveraged could have important consequences for shareholders. For example, it could: require us to dedicate a substantial portion of our cash flows from operations to the payment of debt service, reducing the availability of our cash flow to fund working capital, share repurchases, capital expenditures, acquisitions, and other general corporate purposes; limit our availability to obtain additional financing in the future to enable us to react to changes in our business; and place us at a competitive disadvantage compared to businesses in our industry that have less debt.</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increased borrowings increase our interest expense, which could negatively impact our profitability. Because current interest rates on our credit facility are variable, an increase in prevailing rates would increase our interest costs. Further, our credit facility contains both financial covenants and other covenants that limit our ability to engage in specific transactions. Any failure to comply with covenants in the credit facility could result in an event of default that, if not cured or waived, would have a material adverse effect on us.</w:t>
      </w:r>
    </w:p>
    <w:p>
      <w:pPr>
        <w:spacing w:after="0" w:line="12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strategic transformation initiative, together with process and technology initiatives following the acquisition of GCA, may</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not have the desired effects on our financial condition and results of operations.</w:t>
      </w:r>
    </w:p>
    <w:p>
      <w:pPr>
        <w:spacing w:after="0" w:line="1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During the fourth quarter of 2015, we announced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i w:val="1"/>
          <w:iCs w:val="1"/>
          <w:color w:val="auto"/>
        </w:rPr>
        <w:t>,</w:t>
      </w:r>
      <w:r>
        <w:rPr>
          <w:rFonts w:ascii="Arial" w:cs="Arial" w:eastAsia="Arial" w:hAnsi="Arial"/>
          <w:sz w:val="18"/>
          <w:szCs w:val="18"/>
          <w:color w:val="auto"/>
        </w:rPr>
        <w:t xml:space="preserve"> which is intended to differentiate ABM in the marketplace, accelerate revenue growth for certain industry groups, and improve our margin profile. While we have made progress in implementing this initiative, we may not be able to fully execute on this strategy to the extent expected within the anticipated timeframe as a result of numerous factors, such as client resistance to an integrated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jc w:val="both"/>
        <w:spacing w:after="0" w:line="256" w:lineRule="auto"/>
        <w:rPr>
          <w:sz w:val="20"/>
          <w:szCs w:val="20"/>
          <w:color w:val="auto"/>
        </w:rPr>
      </w:pPr>
      <w:r>
        <w:rPr>
          <w:rFonts w:ascii="Arial" w:cs="Arial" w:eastAsia="Arial" w:hAnsi="Arial"/>
          <w:sz w:val="18"/>
          <w:szCs w:val="18"/>
          <w:color w:val="auto"/>
        </w:rPr>
        <w:t>approach, inability to deliver requested end-to-end services, and difficulty penetrating certain markets. Moreover, although we may be able to leverage scale to manage costs more efficiently and effectively, the realignment of our business operations may not provide us with the anticipated competitive advantage or revenue growth.</w:t>
      </w:r>
    </w:p>
    <w:p>
      <w:pPr>
        <w:spacing w:after="0" w:line="1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and following the acquisition of GCA, we are making significant investments in information technology, but there can be no assurance these investments will have the desired results in improving the delivery of our services. In addition, planned changes to our business systems and processes may not create the operational efficiencies or cost benefits that we expect and could result in unanticipated consequences, including substantial disruption to our back-office operations and service delivery.</w:t>
      </w:r>
    </w:p>
    <w:p>
      <w:pPr>
        <w:spacing w:after="0" w:line="1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the planned move of GCA’s back-office functions to the ABM enterprise service center may create risks relating to the processing of transactions and recording of financial information. During the transition period, we could experience a lapse in the operation of internal controls due to turnover, lack of legacy knowledge, or inappropriate training, which could result in significant deficiencies or material weaknesses.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success depends on our ability to gain profitable business despite competitive pressures and on our ability to preserve long-term client relationships.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and ability to anticipate and respond to industry changes. A majority of our revenue is derived from projects requiring competitive bids.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a competitive advantage in those regards. We also compete indirectly with companies that can perform for themselves one or more of the services we provide. Additionally, many of our contracts provide that our clients pay certain costs at specified rates, such as insurance, healthcare costs, salary and salary-related expenses, petroleum, and other costs. We may experience higher operating costs related to changes in laws and regulations regarding employee benefits, minimum wage, and other entitlements promulgated by federal, state, or local governments or as a result of increased local wages necessary to attract employees due to changes in the unemployment rate. If actual costs exceed the rates specified in the contracts, our profitability may be negatively impacted. Further, if we are unable to respond adequately to changing technology, we may lose existing clients and fail to win future business opportunities. These strong competitive pressures could inhibit our success in bidding for profitable business and our ability to increase prices as costs rise, thereby reducing margins.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primarily provide services pursuant to agreements that are cancelable by either party upon 30–90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our profitability could be negatively impacted, even if we gain equivalent revenues from new clients.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depend to a large extent on our relationships with clients and our reputation for quality integrated facility solutions. Maintaining our existing client relationships, including retaining GCA clients as we complete the rebranding of the GCA entities, is an important factor contributing to our business success. Among other things, adverse publicity stemming from an accident or other incident involving our facility operations or employees related to injury, illness, death, or alleged criminal activity could harm our reputation, result in the cancellation of contracts or inability to retain clients, and expose us to significant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success depends on our ability to attract and retain qualified personnel and senior management.</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future performance depends on the continuing services and contributions of our senior management and on our continued ability to attract and retain qualified personnel. Any unplanned turnover in senior management or inability to attract and retain qualified personnel could have a negative effect on our results of operations. We employ approximately 140,000 persons, and our operations depend on the services of a large and diverse workforce. We must attract, train, and retain a large and growing number of qualified employees while controlling related labor costs. Our ability to control labor and benefit costs is subject to numerous internal and external factors, including changes in the unemployment rate, changes in immigration policy, regulatory changes, prevailing wage rates, and competition we face from other companies for qualified employees. There is no assurance that we will be able to attract or retain qualified employees in the future, which could have a material adverse effect on our business, financial condition, and results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44" w:right="2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8"/>
          <w:szCs w:val="18"/>
          <w:b w:val="1"/>
          <w:bCs w:val="1"/>
          <w:i w:val="1"/>
          <w:iCs w:val="1"/>
          <w:color w:val="auto"/>
        </w:rPr>
        <w:t>Our use of subcontractors or joint venture partners to perform work under customer contracts exposes us to liability and financial risk.</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depend on subcontractors or other parties, such as joint venture partners, to perform work in situations in which we are not able to self-perform the work involved. Such arrangements may involve subcontracts or joint venture relationships where we do not have direct control over the performing party. A failure, for whatever reason, by one or more of our subcontractors or joint venture partners to perform, or the alleged negligent performance of, the agreed-upon services may expose us to liability. Although we have in place controls and programs to monitor the work of our subcontractors and our joint venture partners, there can be no assurance that these controls or programs will have the desired effect, and we may incur significant liability as a result of the actions or inactions of one or more of our subcontractors or joint venture partners.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international business involves risks different from those we face in the United States that could have an effect on our results of operations and financial condition.</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business operations in jurisdictions outside of the United States, most significantly in the United Kingdom (“U.K.”). Our international operations are subject to risks that are different from those we face in the United States and subject us to complex and frequently changing laws and regulations, including differing labor laws and regulations relating to the protection of certain information that we collect and maintain about our employees, clients, and other third parties. Among these laws is the U.K. Modern Slavery Act, the U.K. Bribery Act, and the European Union General Data Protection Regulation (the “GDPR”), which took effect in May 2018. The failure to comply with these laws or regulations could subject us to significant litigation, monetary damages, regulatory enforcement actions, or fines in one or more jurisdictions. More generally, the economic, political, monetary, and operational impacts of Brexit, including unanticipated impacts to the U.K. real estate market and general economic conditions in the United Kingdom, could negatively impact our U.K. business, including reducing our margins</w:t>
      </w:r>
      <w:r>
        <w:rPr>
          <w:rFonts w:ascii="Arial" w:cs="Arial" w:eastAsia="Arial" w:hAnsi="Arial"/>
          <w:sz w:val="14"/>
          <w:szCs w:val="14"/>
          <w:color w:val="auto"/>
        </w:rPr>
        <w: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when we participate in joint ventures that operate outside of the United States where we are not a controlling party, we may have limited control over the joint venture. Any improper actions by our joint venture employees, partners, or agents, including but not limited to failure to comply with the U.S. Foreign Corrupt Practices Act, the U.K. Bribery Act, and/or laws relating to human trafficking, could result in civil or criminal investigations, monetary and non-monetary penalties, or other consequences, any of which could have an adverse effect on our financial position as well as on our reputation and ability to conduct business.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Additionally, the operating results of our non-U.S. subsidiaries are translated into U.S. dollars, and those results are affected by movements in foreign currencies relative to the U.S. dollar. There can be no assurance that the foregoing factors will not have a material adverse effect on our international operations or on our consolidated financial condition and results of operations.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Unfavorable developments in our class and representative actions and other lawsuits alleging various claims could cause us to incur substantial liabilities.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business involves employing tens of thousands of employees, many of whom work at our clients’ facilities. We incur risks relating to our employment of these workers, including but not limited to: claims of misconduct or negligence on the part of our employees; claims related to the employment of unlicensed personnel; and claims by our employees of discrimination, harassment, violations of wage and hour requirements, or violations of other federal, state, or local laws. We also incur risks and claims related to the imposition on our employees of policies or practices of our clients that may be different from our own. Some or all of these claims may lead to litigation, including class action litigation, and these matters may cause us to incur negative publicity with respect to alleged claims. Additionally, there are risks to all employers in some states, such as California, resulting from new and unanticipated judicial interpretations of existing laws and the application of those new interpretations against employers on a retroactive basis.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these lawsuits and any future lawsuits could, individually or in the aggregate, cause us to incur substantial liabilities that could have a material adverse effect upon our business, reputation, financial condition, or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2" w:right="2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8"/>
          <w:szCs w:val="18"/>
          <w:b w:val="1"/>
          <w:bCs w:val="1"/>
          <w:i w:val="1"/>
          <w:iCs w:val="1"/>
          <w:color w:val="auto"/>
        </w:rPr>
        <w:t>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could result in material charges against our earnings.</w:t>
      </w:r>
    </w:p>
    <w:p>
      <w:pPr>
        <w:spacing w:after="0" w:line="1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clams for direct or consequential damages. If our insurance coverage proves to be inadequate or unavailable, our business may be negatively impacted.</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determination of required insurance reserves is dependent upon significant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 We have previously experienced material negative trends in our actuarial estimates and may continue to experience these and other material negative trends in future periods.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Should we be unable to renew our excess, umbrella, or other commercial insurance policies at competitive rates,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our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2015, we formed a wholly-owned captive insurance company, IFM Assurance Company (“IFM”), which we believe has provided us with increased flexibility in the end-to-end management of our insurance program. There can be no assurance that IFM will continue to bring about the intended benefits or the desired flexibility in the management of our insurance programs, because we may experience unanticipated events that will reduce or eliminate expected benefits, including anticipated savings related to coverage provided by IFM to our subsidiaries.</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risk management and safety programs may not have the intended effect of reducing our liability for personal injury or property loss.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attempt to mitigate risks relating to personal injury or property loss through the implementation of company-wide safety and loss control efforts designed to decrease the incidence of accidents or events that might increase our liability. It is expected that any such decrease would also have the effect of reducing our insurance costs for our casualty programs. However, incidents involving personal injury or property loss often are caused by multiple factors, a significant number of which are beyond our control. Therefore, there can be no assurance that our risk management and safety programs will have the desired effect of controlling costs and liability exposure.</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Impairment of goodwill and long-lived assets could have a material adverse effect on our financial condition and results of operations.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 are less than the carrying amount, we would record an impairment charge related to goodwill or long-lived assets, respectively. The assumptions used to determine impairment require significant judgment and the amount of the impairment could have a material adverse effect on our reported financial results for the period in which the charge is taken.</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Changes in general economic conditions, including changes in energy prices, government regulations, and changing consumer preferences, could reduce the demand for facility services and, as a result, reduce our earnings and adversely affect our financial condition.</w:t>
      </w:r>
    </w:p>
    <w:p>
      <w:pPr>
        <w:spacing w:after="0" w:line="1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certain geographic areas and service lines, our most profitable revenues are related to supplemental services requested by clients outside of the standard service specification (“tag work”). This contract type is commonly used in janitorial services and includes cleanup after tenant moves, construction cleanup, flood cleanup, and snow removal.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2" w:right="239" w:bottom="1440" w:gutter="0" w:footer="0" w:header="0"/>
        </w:sectPr>
      </w:pPr>
    </w:p>
    <w:bookmarkStart w:id="13" w:name="page14"/>
    <w:bookmarkEnd w:id="13"/>
    <w:p>
      <w:pPr>
        <w:jc w:val="both"/>
        <w:spacing w:after="0" w:line="252" w:lineRule="auto"/>
        <w:rPr>
          <w:sz w:val="20"/>
          <w:szCs w:val="20"/>
          <w:color w:val="auto"/>
        </w:rPr>
      </w:pPr>
      <w:r>
        <w:rPr>
          <w:rFonts w:ascii="Arial" w:cs="Arial" w:eastAsia="Arial" w:hAnsi="Arial"/>
          <w:sz w:val="18"/>
          <w:szCs w:val="18"/>
          <w:color w:val="auto"/>
        </w:rPr>
        <w:t>A decline in occupancy rates could result in a decline in scope of work, including tag work, and depressed prices for our services. Slow domestic and international economic growth or other negative changes in global, national, and local economic conditions could have a negative impact on our business. Specifically, adverse economic conditions may result in clients cutting back on discretionary spending. Additionally, since a significant portion of our aviation services and parking revenues are tied to the number of airline passengers, hotel guests, and sports arena attendees, results for these businesses could be adversely affected by curtailment of business, personal travel, or discretionary spending. The use of ride sharing services and car sharing services may also lead to a decline in parking demand at airports and in urban areas.</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Energy efficiency projects are designed to reduce a client’s overall consumption of commodities such as electricity and natural gas. As such, downward fluctuations in commodity prices may reduce client demand for our services. We also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business. In some instances, we offer certain of these clients guaranteed energy savings on installed equipment. In the event those guaranteed savings are not achieved, we may be required to pay liquidated or other damages. All of these factors could have an adverse effect on our financial position, results of operations, and cash flows.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may be materially affected by changes to fiscal and tax policies. Negative or unexpected tax consequences could adversely affect our results of operations.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of 2017 made significant changes to the U.S. Internal Revenue Code that will go into effect over several years. Such changes include a reduction in the corporate tax rate as well as limitations on certain corporate deductions and credits that could have a negative impact on our business. In addition, adverse changes in the underlying profitability and financial outlook of our operations or changes in tax law could lead to changes in our valuation allowances against deferred tax assets on our consolidated balance sheets, which could materially affect our results of operations. Furthermore, we are subject to tax audits by governmental authorities, primarily in the United States and United Kingdom. If we experience unfavorable results from one or more such tax audits, there could be an adverse effect on our tax rate and therefore on our net income.</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experience breaches of, or disruptions to, our information technology systems or those of our third- party providers or clients, or other compromises of our data that could adversely affect our business.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information technology systems and those of our third-party providers or clients could be the target of cyber attacks, hacking, unauthorized access, computer viruses, malware, or other intrusions, which could result in operational disruptions or information misappropriation, such as theft of intellectual property or inappropriate disclosure of confidential, proprietary, or personal information. We maintain confidential, proprietary, and personal information relating to our current, former, and prospective employees, clients, and other third parties in our information technology systems and in systems of third-party providers. We have experienced certain data and security breaches in the past and could experience future data or security breaches stemming from the intentional or negligent acts of our employees or other third parties. Furthermore, while we continue to devote significant resources to monitoring and updating our systems and implementing information security measures to protect our systems, there can be no assurance that any controls and procedures that we have in place will be sufficient to protect us from future security breaches. As cyber threats are continually evolving, our controls and procedures may become inadequate and we may be required to devote additional resources to modifying or enhancing our systems in the future. We may also be required to expend resources to remediate cyber-related incidents or to enhance and strengthen our cyber security.</w:t>
      </w:r>
    </w:p>
    <w:p>
      <w:pPr>
        <w:spacing w:after="0" w:line="15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Any such disruptions to our information technology systems, breaches or compromises of data, and/or misappropriation of information could result in lost sales, negative publicity, litigation, violation of privacy and other laws, or business delays that could have a material adverse effect on our business.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union-organizing drives.</w:t>
      </w:r>
    </w:p>
    <w:p>
      <w:pPr>
        <w:spacing w:after="0" w:line="1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participate in various multiemployer pension plans that provide defined pension benefits to employees covered by collective bargaining agreements. Because of the nature of multiemployer pension plans, there are risks associated with participation in these plans that differ from single-employer plans. Assets contributed by an employer to a multiemployer pension plan are not segregated into a separate account and are not restricted to provide benefits only to employees of that contributing employer. In the event another participating employer in a multiemployer pension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44" w:right="239" w:bottom="1440" w:gutter="0" w:footer="0" w:header="0"/>
        </w:sectPr>
      </w:pPr>
    </w:p>
    <w:bookmarkStart w:id="14" w:name="page15"/>
    <w:bookmarkEnd w:id="14"/>
    <w:p>
      <w:pPr>
        <w:jc w:val="both"/>
        <w:spacing w:after="0" w:line="252" w:lineRule="auto"/>
        <w:rPr>
          <w:sz w:val="20"/>
          <w:szCs w:val="20"/>
          <w:color w:val="auto"/>
        </w:rPr>
      </w:pPr>
      <w:r>
        <w:rPr>
          <w:rFonts w:ascii="Arial" w:cs="Arial" w:eastAsia="Arial" w:hAnsi="Arial"/>
          <w:sz w:val="18"/>
          <w:szCs w:val="18"/>
          <w:color w:val="auto"/>
        </w:rPr>
        <w:t>plan no longer contributes to the plan, the unfunded obligations of the plan may be borne by the remaining participating employers, including us. In the event of the termination of a multiemployer pension plan or a complete or partial withdrawal from a multiemployer pension plan, under applicable law we could incur material withdrawal liabilities. We further discuss our participation in multiemployer pension and postretirement plans in Note 13, “Employee Benefit Plans,” in the Notes to Consolidated Financial Statements. In addition, the terms of collective bargaining agreements require us to contribute to various fringe benefit plans, including health and welfare, pension, and training plans, all of which require us to have appropriate systems in place to assure timely and accurate payment of contributions. The failure to make timely and accurate contributions as a result of a systems failure could have a negative impact on our financial position.</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2018, approximately 34% of our employees were subject to various local collective bargaining agreements, some of which will expire or become subject to renegotiation during 2019. In addition, at any given time we may face union organizing activity. When one or more of our major collective bargaining agreements becomes subject to renegotiation or when we face union organizing drives, we and the union may disagree on important issues that could lead to a strike, work slowdown, or other job actions at one or more of our locations. In a market where we are unionized but competitors are not unionized, we could lose clients to such competitors. A strike, work slowdown, or other job action could disrupt our services, resulting in reduced revenues or contract cancellations. Moreover, negotiating a first time collective bargaining agreement or renegotiating an existing agreement could result in a substantial increase in labor and benefits expenses that we may be unable to pass through to clients.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1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Pursuant to Section 404 of the Sarbanes Oxley Act of 2002 and related rules,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We have acquired entities that had no publicly traded debt or equity and therefore were not required to conform to the rules and regulations of the SEC, especially as it relates to internal control structure. When we acquire such entities, they may not have in place all the necessary controls as required by the Public Company Accounting Oversight Board. Integrating acquired entities into our internal control over financial reporting has required and will continue to require significant time and resources from our management and other personnel and increases our compliance costs. We are required to include our assessment of the effectiveness of the internal controls over financial reporting of entities we acquire in our overall assessment. We plan to complete the evaluation and integration of internal controls over financial reporting and report our assessment within the required time frame.</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with the increasing frequency of cyber-related frauds perpetrated to obtain inappropriate payments, we need to ensure our internal controls related to authorizing the transfer of funds and changing our vendor master files are adequate. Failure to maintain an effective internal control environment could have a material adverse effect on our ability to accurately report our financial results, the market’s perception of our business, and our stock price.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negatively impacted by adverse weather conditions.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Weather conditions such as snow storms, heavy flooding, hurricanes, and fluctuations in temperatures can negatively impact portions of our business. Within our Technical Solutions segment, cooler than normal temperatures in the summer could reduce the need for servicing of air conditioning units, resulting in reduced revenues and profitability. Within Parking and Aviation services, snow can lead to reduced travel activity, as well as increases in certain costs, both of which negatively affect gross profit. On the other hand, the absence of snow during the winter could cause us to experience reduced revenues in our B&amp;I segment, as many of our contracts specify additional payments for snow-related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disasters, and terrorist attacks could disrupt our services.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encounter disruptions involving power, communications, transportation or other utilities, or essential services depended upon by us or by third parties with whom we conduct business. This could include disruptions as the result of natural disasters, pandemics, weather-related or similar events (such as fires, hurricanes, blizzards, earthquakes, and floods), political instability, labor strikes, or war (including acts of terrorism or hostilities) that could impact our markets. If a disruption occurs in one location and persons in that location are unable to communicate with or travel to or work from other locations, our ability to service and interact with our clients and others may suffer,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44" w:right="2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we may not be able to successfully implement contingency plans that depend on communications or travel. These events may increase the volatility of financial results due to unforeseen costs with partial or no corresponding compensation from clients. There also can be no assurance that the disaster recovery and crisis management procedures we employ will suffice in any particular situation to avoid a significant loss. In addition, to the extent centralized administrative locations are disabled for a long period of time, key business processes, such as accounts payable, information technology, payroll, and general management operations, could be interrupted.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 of activist investors could disrupt our business.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Public companies have been the target of activist investors. In the event that a third party, such as an activist investor, proposes to change our governance policies, board of directors, or other aspects of our operations, our review and consideration of such proposals may create a significant distraction for our management and employees. This could negatively impact our ability to execute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and may require management to expend significant time and resources responding to such proposals. Such proposals may also create uncertainties with respect to our financial position and operations and may adversely affect our ability to attract and retain key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1B. 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PROPERTIES.</w:t>
      </w:r>
    </w:p>
    <w:p>
      <w:pPr>
        <w:spacing w:after="0" w:line="17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color w:val="auto"/>
        </w:rPr>
        <w:t>Our principal executive office is located at One Liberty Plaza, 7</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New York 10006.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 2016 we began consolidating our operations to increase efficiency and effectiveness.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Principal Properties as of October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Square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Lease Expiration Date,</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200" w:type="dxa"/>
            <w:vAlign w:val="bottom"/>
            <w:tcBorders>
              <w:bottom w:val="single" w:sz="8" w:color="auto"/>
            </w:tcBorders>
          </w:tcPr>
          <w:p>
            <w:pPr>
              <w:jc w:val="center"/>
              <w:ind w:left="38"/>
              <w:spacing w:after="0"/>
              <w:rPr>
                <w:sz w:val="20"/>
                <w:szCs w:val="20"/>
                <w:color w:val="auto"/>
              </w:rPr>
            </w:pPr>
            <w:r>
              <w:rPr>
                <w:rFonts w:ascii="Arial" w:cs="Arial" w:eastAsia="Arial" w:hAnsi="Arial"/>
                <w:sz w:val="18"/>
                <w:szCs w:val="18"/>
                <w:b w:val="1"/>
                <w:bCs w:val="1"/>
                <w:color w:val="auto"/>
              </w:rPr>
              <w:t>Location</w:t>
            </w:r>
          </w:p>
        </w:tc>
        <w:tc>
          <w:tcPr>
            <w:tcW w:w="252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b w:val="1"/>
                <w:bCs w:val="1"/>
                <w:color w:val="auto"/>
                <w:w w:val="99"/>
              </w:rPr>
              <w:t>Character of Office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Feet</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Unless Owned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0" w:type="dxa"/>
            <w:vAlign w:val="bottom"/>
          </w:tcPr>
          <w:p>
            <w:pPr>
              <w:spacing w:after="0"/>
              <w:rPr>
                <w:sz w:val="1"/>
                <w:szCs w:val="1"/>
                <w:color w:val="auto"/>
              </w:rPr>
            </w:pPr>
          </w:p>
        </w:tc>
      </w:tr>
      <w:tr>
        <w:trPr>
          <w:trHeight w:val="218"/>
        </w:trPr>
        <w:tc>
          <w:tcPr>
            <w:tcW w:w="2200" w:type="dxa"/>
            <w:vAlign w:val="bottom"/>
            <w:vMerge w:val="restart"/>
            <w:shd w:val="clear" w:color="auto" w:fill="DCE2EF"/>
          </w:tcPr>
          <w:p>
            <w:pPr>
              <w:jc w:val="center"/>
              <w:ind w:left="38"/>
              <w:spacing w:after="0"/>
              <w:rPr>
                <w:sz w:val="20"/>
                <w:szCs w:val="20"/>
                <w:color w:val="auto"/>
              </w:rPr>
            </w:pPr>
            <w:r>
              <w:rPr>
                <w:rFonts w:ascii="Arial" w:cs="Arial" w:eastAsia="Arial" w:hAnsi="Arial"/>
                <w:sz w:val="16"/>
                <w:szCs w:val="16"/>
                <w:color w:val="auto"/>
              </w:rPr>
              <w:t>Alpharetta, Georgia</w:t>
            </w:r>
          </w:p>
        </w:tc>
        <w:tc>
          <w:tcPr>
            <w:tcW w:w="252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rPr>
              <w:t>IT Datacenter and Technical</w:t>
            </w:r>
          </w:p>
        </w:tc>
        <w:tc>
          <w:tcPr>
            <w:tcW w:w="21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w w:val="98"/>
              </w:rPr>
              <w:t>25,000</w:t>
            </w:r>
          </w:p>
        </w:tc>
        <w:tc>
          <w:tcPr>
            <w:tcW w:w="22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w w:val="98"/>
              </w:rPr>
              <w:t>Owned</w:t>
            </w:r>
          </w:p>
        </w:tc>
        <w:tc>
          <w:tcPr>
            <w:tcW w:w="22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100"/>
        </w:trPr>
        <w:tc>
          <w:tcPr>
            <w:tcW w:w="2200" w:type="dxa"/>
            <w:vAlign w:val="bottom"/>
            <w:vMerge w:val="continue"/>
            <w:shd w:val="clear" w:color="auto" w:fill="DCE2EF"/>
          </w:tcPr>
          <w:p>
            <w:pPr>
              <w:spacing w:after="0"/>
              <w:rPr>
                <w:sz w:val="8"/>
                <w:szCs w:val="8"/>
                <w:color w:val="auto"/>
              </w:rPr>
            </w:pPr>
          </w:p>
        </w:tc>
        <w:tc>
          <w:tcPr>
            <w:tcW w:w="2520" w:type="dxa"/>
            <w:vAlign w:val="bottom"/>
            <w:vMerge w:val="restart"/>
            <w:shd w:val="clear" w:color="auto" w:fill="DCE2EF"/>
          </w:tcPr>
          <w:p>
            <w:pPr>
              <w:jc w:val="center"/>
              <w:ind w:left="18"/>
              <w:spacing w:after="0"/>
              <w:rPr>
                <w:sz w:val="20"/>
                <w:szCs w:val="20"/>
                <w:color w:val="auto"/>
              </w:rPr>
            </w:pPr>
            <w:r>
              <w:rPr>
                <w:rFonts w:ascii="Arial" w:cs="Arial" w:eastAsia="Arial" w:hAnsi="Arial"/>
                <w:sz w:val="16"/>
                <w:szCs w:val="16"/>
                <w:color w:val="auto"/>
              </w:rPr>
              <w:t>Solutions Headquarters</w:t>
            </w:r>
          </w:p>
        </w:tc>
        <w:tc>
          <w:tcPr>
            <w:tcW w:w="2180" w:type="dxa"/>
            <w:vAlign w:val="bottom"/>
            <w:vMerge w:val="continue"/>
            <w:shd w:val="clear" w:color="auto" w:fill="DCE2EF"/>
          </w:tcPr>
          <w:p>
            <w:pPr>
              <w:spacing w:after="0"/>
              <w:rPr>
                <w:sz w:val="8"/>
                <w:szCs w:val="8"/>
                <w:color w:val="auto"/>
              </w:rPr>
            </w:pPr>
          </w:p>
        </w:tc>
        <w:tc>
          <w:tcPr>
            <w:tcW w:w="2280" w:type="dxa"/>
            <w:vAlign w:val="bottom"/>
            <w:vMerge w:val="continue"/>
            <w:shd w:val="clear" w:color="auto" w:fill="DCE2EF"/>
          </w:tcPr>
          <w:p>
            <w:pPr>
              <w:spacing w:after="0"/>
              <w:rPr>
                <w:sz w:val="8"/>
                <w:szCs w:val="8"/>
                <w:color w:val="auto"/>
              </w:rPr>
            </w:pPr>
          </w:p>
        </w:tc>
        <w:tc>
          <w:tcPr>
            <w:tcW w:w="2240" w:type="dxa"/>
            <w:vAlign w:val="bottom"/>
            <w:vMerge w:val="continue"/>
            <w:shd w:val="clear" w:color="auto" w:fill="DCE2E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200" w:type="dxa"/>
            <w:vAlign w:val="bottom"/>
            <w:shd w:val="clear" w:color="auto" w:fill="DCE2EF"/>
          </w:tcPr>
          <w:p>
            <w:pPr>
              <w:spacing w:after="0"/>
              <w:rPr>
                <w:sz w:val="9"/>
                <w:szCs w:val="9"/>
                <w:color w:val="auto"/>
              </w:rPr>
            </w:pPr>
          </w:p>
        </w:tc>
        <w:tc>
          <w:tcPr>
            <w:tcW w:w="2520" w:type="dxa"/>
            <w:vAlign w:val="bottom"/>
            <w:vMerge w:val="continue"/>
            <w:shd w:val="clear" w:color="auto" w:fill="DCE2EF"/>
          </w:tcPr>
          <w:p>
            <w:pPr>
              <w:spacing w:after="0"/>
              <w:rPr>
                <w:sz w:val="9"/>
                <w:szCs w:val="9"/>
                <w:color w:val="auto"/>
              </w:rPr>
            </w:pPr>
          </w:p>
        </w:tc>
        <w:tc>
          <w:tcPr>
            <w:tcW w:w="2180" w:type="dxa"/>
            <w:vAlign w:val="bottom"/>
            <w:shd w:val="clear" w:color="auto" w:fill="DCE2EF"/>
          </w:tcPr>
          <w:p>
            <w:pPr>
              <w:spacing w:after="0"/>
              <w:rPr>
                <w:sz w:val="9"/>
                <w:szCs w:val="9"/>
                <w:color w:val="auto"/>
              </w:rPr>
            </w:pPr>
          </w:p>
        </w:tc>
        <w:tc>
          <w:tcPr>
            <w:tcW w:w="2280" w:type="dxa"/>
            <w:vAlign w:val="bottom"/>
            <w:shd w:val="clear" w:color="auto" w:fill="DCE2EF"/>
          </w:tcPr>
          <w:p>
            <w:pPr>
              <w:spacing w:after="0"/>
              <w:rPr>
                <w:sz w:val="9"/>
                <w:szCs w:val="9"/>
                <w:color w:val="auto"/>
              </w:rPr>
            </w:pPr>
          </w:p>
        </w:tc>
        <w:tc>
          <w:tcPr>
            <w:tcW w:w="2240" w:type="dxa"/>
            <w:vAlign w:val="bottom"/>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200" w:type="dxa"/>
            <w:vAlign w:val="bottom"/>
          </w:tcPr>
          <w:p>
            <w:pPr>
              <w:jc w:val="center"/>
              <w:ind w:left="38"/>
              <w:spacing w:after="0"/>
              <w:rPr>
                <w:sz w:val="20"/>
                <w:szCs w:val="20"/>
                <w:color w:val="auto"/>
              </w:rPr>
            </w:pPr>
            <w:r>
              <w:rPr>
                <w:rFonts w:ascii="Arial" w:cs="Arial" w:eastAsia="Arial" w:hAnsi="Arial"/>
                <w:sz w:val="16"/>
                <w:szCs w:val="16"/>
                <w:color w:val="auto"/>
              </w:rPr>
              <w:t>Atlanta, Georgia</w:t>
            </w:r>
          </w:p>
        </w:tc>
        <w:tc>
          <w:tcPr>
            <w:tcW w:w="2520" w:type="dxa"/>
            <w:vAlign w:val="bottom"/>
          </w:tcPr>
          <w:p>
            <w:pPr>
              <w:jc w:val="center"/>
              <w:ind w:left="38"/>
              <w:spacing w:after="0"/>
              <w:rPr>
                <w:sz w:val="20"/>
                <w:szCs w:val="20"/>
                <w:color w:val="auto"/>
              </w:rPr>
            </w:pPr>
            <w:r>
              <w:rPr>
                <w:rFonts w:ascii="Arial" w:cs="Arial" w:eastAsia="Arial" w:hAnsi="Arial"/>
                <w:sz w:val="16"/>
                <w:szCs w:val="16"/>
                <w:color w:val="auto"/>
              </w:rPr>
              <w:t>Operations Support</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37,000</w:t>
            </w:r>
          </w:p>
        </w:tc>
        <w:tc>
          <w:tcPr>
            <w:tcW w:w="2280" w:type="dxa"/>
            <w:vAlign w:val="bottom"/>
          </w:tcPr>
          <w:p>
            <w:pPr>
              <w:jc w:val="center"/>
              <w:spacing w:after="0"/>
              <w:rPr>
                <w:sz w:val="20"/>
                <w:szCs w:val="20"/>
                <w:color w:val="auto"/>
              </w:rPr>
            </w:pPr>
            <w:r>
              <w:rPr>
                <w:rFonts w:ascii="Arial" w:cs="Arial" w:eastAsia="Arial" w:hAnsi="Arial"/>
                <w:sz w:val="16"/>
                <w:szCs w:val="16"/>
                <w:color w:val="auto"/>
              </w:rPr>
              <w:t>10/31/2027</w:t>
            </w:r>
          </w:p>
        </w:tc>
        <w:tc>
          <w:tcPr>
            <w:tcW w:w="2240" w:type="dxa"/>
            <w:vAlign w:val="bottom"/>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200" w:type="dxa"/>
            <w:vAlign w:val="bottom"/>
            <w:vMerge w:val="restart"/>
            <w:shd w:val="clear" w:color="auto" w:fill="DCE2EF"/>
          </w:tcPr>
          <w:p>
            <w:pPr>
              <w:jc w:val="center"/>
              <w:ind w:left="38"/>
              <w:spacing w:after="0"/>
              <w:rPr>
                <w:sz w:val="20"/>
                <w:szCs w:val="20"/>
                <w:color w:val="auto"/>
              </w:rPr>
            </w:pPr>
            <w:r>
              <w:rPr>
                <w:rFonts w:ascii="Arial" w:cs="Arial" w:eastAsia="Arial" w:hAnsi="Arial"/>
                <w:sz w:val="16"/>
                <w:szCs w:val="16"/>
                <w:color w:val="auto"/>
              </w:rPr>
              <w:t>Cleveland, Ohio</w:t>
            </w:r>
          </w:p>
        </w:tc>
        <w:tc>
          <w:tcPr>
            <w:tcW w:w="2520" w:type="dxa"/>
            <w:vAlign w:val="bottom"/>
            <w:vMerge w:val="restart"/>
            <w:shd w:val="clear" w:color="auto" w:fill="DCE2EF"/>
          </w:tcPr>
          <w:p>
            <w:pPr>
              <w:jc w:val="center"/>
              <w:ind w:left="18"/>
              <w:spacing w:after="0"/>
              <w:rPr>
                <w:sz w:val="20"/>
                <w:szCs w:val="20"/>
                <w:color w:val="auto"/>
              </w:rPr>
            </w:pPr>
            <w:r>
              <w:rPr>
                <w:rFonts w:ascii="Arial" w:cs="Arial" w:eastAsia="Arial" w:hAnsi="Arial"/>
                <w:sz w:val="16"/>
                <w:szCs w:val="16"/>
                <w:color w:val="auto"/>
              </w:rPr>
              <w:t>Legacy GCA Headquarters</w:t>
            </w:r>
          </w:p>
        </w:tc>
        <w:tc>
          <w:tcPr>
            <w:tcW w:w="21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w w:val="98"/>
              </w:rPr>
              <w:t>32,400</w:t>
            </w:r>
          </w:p>
        </w:tc>
        <w:tc>
          <w:tcPr>
            <w:tcW w:w="22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1/31/2024</w:t>
            </w:r>
          </w:p>
        </w:tc>
        <w:tc>
          <w:tcPr>
            <w:tcW w:w="22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Education, T&amp;M, and</w:t>
            </w:r>
          </w:p>
        </w:tc>
        <w:tc>
          <w:tcPr>
            <w:tcW w:w="0" w:type="dxa"/>
            <w:vAlign w:val="bottom"/>
          </w:tcPr>
          <w:p>
            <w:pPr>
              <w:spacing w:after="0"/>
              <w:rPr>
                <w:sz w:val="1"/>
                <w:szCs w:val="1"/>
                <w:color w:val="auto"/>
              </w:rPr>
            </w:pPr>
          </w:p>
        </w:tc>
      </w:tr>
      <w:tr>
        <w:trPr>
          <w:trHeight w:val="100"/>
        </w:trPr>
        <w:tc>
          <w:tcPr>
            <w:tcW w:w="2200" w:type="dxa"/>
            <w:vAlign w:val="bottom"/>
            <w:vMerge w:val="continue"/>
            <w:shd w:val="clear" w:color="auto" w:fill="DCE2EF"/>
          </w:tcPr>
          <w:p>
            <w:pPr>
              <w:spacing w:after="0"/>
              <w:rPr>
                <w:sz w:val="8"/>
                <w:szCs w:val="8"/>
                <w:color w:val="auto"/>
              </w:rPr>
            </w:pPr>
          </w:p>
        </w:tc>
        <w:tc>
          <w:tcPr>
            <w:tcW w:w="2520" w:type="dxa"/>
            <w:vAlign w:val="bottom"/>
            <w:vMerge w:val="continue"/>
            <w:shd w:val="clear" w:color="auto" w:fill="DCE2EF"/>
          </w:tcPr>
          <w:p>
            <w:pPr>
              <w:spacing w:after="0"/>
              <w:rPr>
                <w:sz w:val="8"/>
                <w:szCs w:val="8"/>
                <w:color w:val="auto"/>
              </w:rPr>
            </w:pPr>
          </w:p>
        </w:tc>
        <w:tc>
          <w:tcPr>
            <w:tcW w:w="2180" w:type="dxa"/>
            <w:vAlign w:val="bottom"/>
            <w:vMerge w:val="continue"/>
            <w:shd w:val="clear" w:color="auto" w:fill="DCE2EF"/>
          </w:tcPr>
          <w:p>
            <w:pPr>
              <w:spacing w:after="0"/>
              <w:rPr>
                <w:sz w:val="8"/>
                <w:szCs w:val="8"/>
                <w:color w:val="auto"/>
              </w:rPr>
            </w:pPr>
          </w:p>
        </w:tc>
        <w:tc>
          <w:tcPr>
            <w:tcW w:w="2280" w:type="dxa"/>
            <w:vAlign w:val="bottom"/>
            <w:vMerge w:val="continue"/>
            <w:shd w:val="clear" w:color="auto" w:fill="DCE2EF"/>
          </w:tcPr>
          <w:p>
            <w:pPr>
              <w:spacing w:after="0"/>
              <w:rPr>
                <w:sz w:val="8"/>
                <w:szCs w:val="8"/>
                <w:color w:val="auto"/>
              </w:rPr>
            </w:pPr>
          </w:p>
        </w:tc>
        <w:tc>
          <w:tcPr>
            <w:tcW w:w="22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Corporate</w:t>
            </w:r>
          </w:p>
        </w:tc>
        <w:tc>
          <w:tcPr>
            <w:tcW w:w="0" w:type="dxa"/>
            <w:vAlign w:val="bottom"/>
          </w:tcPr>
          <w:p>
            <w:pPr>
              <w:spacing w:after="0"/>
              <w:rPr>
                <w:sz w:val="1"/>
                <w:szCs w:val="1"/>
                <w:color w:val="auto"/>
              </w:rPr>
            </w:pPr>
          </w:p>
        </w:tc>
      </w:tr>
      <w:tr>
        <w:trPr>
          <w:trHeight w:val="114"/>
        </w:trPr>
        <w:tc>
          <w:tcPr>
            <w:tcW w:w="2200" w:type="dxa"/>
            <w:vAlign w:val="bottom"/>
            <w:shd w:val="clear" w:color="auto" w:fill="DCE2EF"/>
          </w:tcPr>
          <w:p>
            <w:pPr>
              <w:spacing w:after="0"/>
              <w:rPr>
                <w:sz w:val="9"/>
                <w:szCs w:val="9"/>
                <w:color w:val="auto"/>
              </w:rPr>
            </w:pPr>
          </w:p>
        </w:tc>
        <w:tc>
          <w:tcPr>
            <w:tcW w:w="2520" w:type="dxa"/>
            <w:vAlign w:val="bottom"/>
            <w:shd w:val="clear" w:color="auto" w:fill="DCE2EF"/>
          </w:tcPr>
          <w:p>
            <w:pPr>
              <w:spacing w:after="0"/>
              <w:rPr>
                <w:sz w:val="9"/>
                <w:szCs w:val="9"/>
                <w:color w:val="auto"/>
              </w:rPr>
            </w:pPr>
          </w:p>
        </w:tc>
        <w:tc>
          <w:tcPr>
            <w:tcW w:w="2180" w:type="dxa"/>
            <w:vAlign w:val="bottom"/>
            <w:shd w:val="clear" w:color="auto" w:fill="DCE2EF"/>
          </w:tcPr>
          <w:p>
            <w:pPr>
              <w:spacing w:after="0"/>
              <w:rPr>
                <w:sz w:val="9"/>
                <w:szCs w:val="9"/>
                <w:color w:val="auto"/>
              </w:rPr>
            </w:pPr>
          </w:p>
        </w:tc>
        <w:tc>
          <w:tcPr>
            <w:tcW w:w="2280" w:type="dxa"/>
            <w:vAlign w:val="bottom"/>
            <w:shd w:val="clear" w:color="auto" w:fill="DCE2EF"/>
          </w:tcPr>
          <w:p>
            <w:pPr>
              <w:spacing w:after="0"/>
              <w:rPr>
                <w:sz w:val="9"/>
                <w:szCs w:val="9"/>
                <w:color w:val="auto"/>
              </w:rPr>
            </w:pPr>
          </w:p>
        </w:tc>
        <w:tc>
          <w:tcPr>
            <w:tcW w:w="2240" w:type="dxa"/>
            <w:vAlign w:val="bottom"/>
            <w:vMerge w:val="continue"/>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200" w:type="dxa"/>
            <w:vAlign w:val="bottom"/>
          </w:tcPr>
          <w:p>
            <w:pPr>
              <w:jc w:val="center"/>
              <w:ind w:left="18"/>
              <w:spacing w:after="0"/>
              <w:rPr>
                <w:sz w:val="20"/>
                <w:szCs w:val="20"/>
                <w:color w:val="auto"/>
              </w:rPr>
            </w:pPr>
            <w:r>
              <w:rPr>
                <w:rFonts w:ascii="Arial" w:cs="Arial" w:eastAsia="Arial" w:hAnsi="Arial"/>
                <w:sz w:val="16"/>
                <w:szCs w:val="16"/>
                <w:color w:val="auto"/>
                <w:w w:val="98"/>
              </w:rPr>
              <w:t>New York, New York</w:t>
            </w:r>
          </w:p>
        </w:tc>
        <w:tc>
          <w:tcPr>
            <w:tcW w:w="2520" w:type="dxa"/>
            <w:vAlign w:val="bottom"/>
          </w:tcPr>
          <w:p>
            <w:pPr>
              <w:jc w:val="center"/>
              <w:ind w:left="18"/>
              <w:spacing w:after="0"/>
              <w:rPr>
                <w:sz w:val="20"/>
                <w:szCs w:val="20"/>
                <w:color w:val="auto"/>
              </w:rPr>
            </w:pPr>
            <w:r>
              <w:rPr>
                <w:rFonts w:ascii="Arial" w:cs="Arial" w:eastAsia="Arial" w:hAnsi="Arial"/>
                <w:sz w:val="16"/>
                <w:szCs w:val="16"/>
                <w:color w:val="auto"/>
              </w:rPr>
              <w:t>Corporate Headquarters</w:t>
            </w:r>
          </w:p>
        </w:tc>
        <w:tc>
          <w:tcPr>
            <w:tcW w:w="2180" w:type="dxa"/>
            <w:vAlign w:val="bottom"/>
          </w:tcPr>
          <w:p>
            <w:pPr>
              <w:jc w:val="center"/>
              <w:spacing w:after="0"/>
              <w:rPr>
                <w:sz w:val="20"/>
                <w:szCs w:val="20"/>
                <w:color w:val="auto"/>
              </w:rPr>
            </w:pPr>
            <w:r>
              <w:rPr>
                <w:rFonts w:ascii="Arial" w:cs="Arial" w:eastAsia="Arial" w:hAnsi="Arial"/>
                <w:sz w:val="16"/>
                <w:szCs w:val="16"/>
                <w:color w:val="auto"/>
                <w:w w:val="96"/>
              </w:rPr>
              <w:t>44,000</w:t>
            </w:r>
            <w:r>
              <w:rPr>
                <w:rFonts w:ascii="Arial" w:cs="Arial" w:eastAsia="Arial" w:hAnsi="Arial"/>
                <w:sz w:val="21"/>
                <w:szCs w:val="21"/>
                <w:color w:val="auto"/>
                <w:w w:val="96"/>
                <w:vertAlign w:val="superscript"/>
              </w:rPr>
              <w:t>(1)</w:t>
            </w:r>
          </w:p>
        </w:tc>
        <w:tc>
          <w:tcPr>
            <w:tcW w:w="2280" w:type="dxa"/>
            <w:vAlign w:val="bottom"/>
          </w:tcPr>
          <w:p>
            <w:pPr>
              <w:jc w:val="center"/>
              <w:spacing w:after="0"/>
              <w:rPr>
                <w:sz w:val="20"/>
                <w:szCs w:val="20"/>
                <w:color w:val="auto"/>
              </w:rPr>
            </w:pPr>
            <w:r>
              <w:rPr>
                <w:rFonts w:ascii="Arial" w:cs="Arial" w:eastAsia="Arial" w:hAnsi="Arial"/>
                <w:sz w:val="16"/>
                <w:szCs w:val="16"/>
                <w:color w:val="auto"/>
                <w:w w:val="99"/>
              </w:rPr>
              <w:t>1/3/2032</w:t>
            </w:r>
          </w:p>
        </w:tc>
        <w:tc>
          <w:tcPr>
            <w:tcW w:w="2240" w:type="dxa"/>
            <w:vAlign w:val="bottom"/>
          </w:tcPr>
          <w:p>
            <w:pPr>
              <w:jc w:val="center"/>
              <w:spacing w:after="0"/>
              <w:rPr>
                <w:sz w:val="20"/>
                <w:szCs w:val="20"/>
                <w:color w:val="auto"/>
              </w:rPr>
            </w:pPr>
            <w:r>
              <w:rPr>
                <w:rFonts w:ascii="Arial" w:cs="Arial" w:eastAsia="Arial" w:hAnsi="Arial"/>
                <w:sz w:val="16"/>
                <w:szCs w:val="16"/>
                <w:color w:val="auto"/>
              </w:rPr>
              <w:t>Corporate and B&amp;I</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DCE2EF"/>
            </w:tcBorders>
            <w:shd w:val="clear" w:color="auto" w:fill="DCE2EF"/>
          </w:tcPr>
          <w:p>
            <w:pPr>
              <w:jc w:val="center"/>
              <w:ind w:left="38"/>
              <w:spacing w:after="0"/>
              <w:rPr>
                <w:sz w:val="20"/>
                <w:szCs w:val="20"/>
                <w:color w:val="auto"/>
              </w:rPr>
            </w:pPr>
            <w:r>
              <w:rPr>
                <w:rFonts w:ascii="Arial" w:cs="Arial" w:eastAsia="Arial" w:hAnsi="Arial"/>
                <w:sz w:val="16"/>
                <w:szCs w:val="16"/>
                <w:color w:val="auto"/>
              </w:rPr>
              <w:t>Sugar Land, Texas</w:t>
            </w:r>
          </w:p>
        </w:tc>
        <w:tc>
          <w:tcPr>
            <w:tcW w:w="2520" w:type="dxa"/>
            <w:vAlign w:val="bottom"/>
            <w:tcBorders>
              <w:bottom w:val="single" w:sz="8" w:color="DCE2EF"/>
            </w:tcBorders>
            <w:shd w:val="clear" w:color="auto" w:fill="DCE2EF"/>
          </w:tcPr>
          <w:p>
            <w:pPr>
              <w:jc w:val="center"/>
              <w:ind w:left="38"/>
              <w:spacing w:after="0"/>
              <w:rPr>
                <w:sz w:val="20"/>
                <w:szCs w:val="20"/>
                <w:color w:val="auto"/>
              </w:rPr>
            </w:pPr>
            <w:r>
              <w:rPr>
                <w:rFonts w:ascii="Arial" w:cs="Arial" w:eastAsia="Arial" w:hAnsi="Arial"/>
                <w:sz w:val="16"/>
                <w:szCs w:val="16"/>
                <w:color w:val="auto"/>
              </w:rPr>
              <w:t>Enterprise Services</w:t>
            </w:r>
          </w:p>
        </w:tc>
        <w:tc>
          <w:tcPr>
            <w:tcW w:w="218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6"/>
                <w:szCs w:val="16"/>
                <w:color w:val="auto"/>
                <w:w w:val="98"/>
              </w:rPr>
              <w:t>62,500</w:t>
            </w:r>
          </w:p>
        </w:tc>
        <w:tc>
          <w:tcPr>
            <w:tcW w:w="228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6"/>
                <w:szCs w:val="16"/>
                <w:color w:val="auto"/>
              </w:rPr>
              <w:t>3/31/2028</w:t>
            </w:r>
          </w:p>
        </w:tc>
        <w:tc>
          <w:tcPr>
            <w:tcW w:w="224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237"/>
        </w:trPr>
        <w:tc>
          <w:tcPr>
            <w:tcW w:w="2200" w:type="dxa"/>
            <w:vAlign w:val="bottom"/>
          </w:tcPr>
          <w:p>
            <w:pPr>
              <w:jc w:val="center"/>
              <w:ind w:left="38"/>
              <w:spacing w:after="0"/>
              <w:rPr>
                <w:sz w:val="20"/>
                <w:szCs w:val="20"/>
                <w:color w:val="auto"/>
              </w:rPr>
            </w:pPr>
            <w:r>
              <w:rPr>
                <w:rFonts w:ascii="Arial" w:cs="Arial" w:eastAsia="Arial" w:hAnsi="Arial"/>
                <w:sz w:val="16"/>
                <w:szCs w:val="16"/>
                <w:color w:val="auto"/>
              </w:rPr>
              <w:t>Tustin, CA</w:t>
            </w:r>
          </w:p>
        </w:tc>
        <w:tc>
          <w:tcPr>
            <w:tcW w:w="2520" w:type="dxa"/>
            <w:vAlign w:val="bottom"/>
          </w:tcPr>
          <w:p>
            <w:pPr>
              <w:jc w:val="center"/>
              <w:ind w:left="38"/>
              <w:spacing w:after="0"/>
              <w:rPr>
                <w:sz w:val="20"/>
                <w:szCs w:val="20"/>
                <w:color w:val="auto"/>
              </w:rPr>
            </w:pPr>
            <w:r>
              <w:rPr>
                <w:rFonts w:ascii="Arial" w:cs="Arial" w:eastAsia="Arial" w:hAnsi="Arial"/>
                <w:sz w:val="16"/>
                <w:szCs w:val="16"/>
                <w:color w:val="auto"/>
              </w:rPr>
              <w:t>Operations Support</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40,000</w:t>
            </w:r>
          </w:p>
        </w:tc>
        <w:tc>
          <w:tcPr>
            <w:tcW w:w="2280" w:type="dxa"/>
            <w:vAlign w:val="bottom"/>
          </w:tcPr>
          <w:p>
            <w:pPr>
              <w:jc w:val="center"/>
              <w:spacing w:after="0"/>
              <w:rPr>
                <w:sz w:val="20"/>
                <w:szCs w:val="20"/>
                <w:color w:val="auto"/>
              </w:rPr>
            </w:pPr>
            <w:r>
              <w:rPr>
                <w:rFonts w:ascii="Arial" w:cs="Arial" w:eastAsia="Arial" w:hAnsi="Arial"/>
                <w:sz w:val="16"/>
                <w:szCs w:val="16"/>
                <w:color w:val="auto"/>
              </w:rPr>
              <w:t>7/31/2029</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B&amp;I and Technical Solutions</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Approximately 10,000 square feet are sublet.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properties, we have other offices, warehouses, and parking facilities in various locations, primarily in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properties are well maintained, in good operating condition, and suitable for the purposes for which they are used.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4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46AD"/>
        </w:rPr>
        <w:t>ITEM 3.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Certain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34"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20, 2018, the trial court entered an order defining four certified subclasses of janitors who were employed by the legacy ABM janitorial companies in California at any time between April 7, 2002 and April 30, 2013, on claims based on previous auto deduction practices for meal breaks, unpaid meal premiums, unpaid split shift premiums, and unreimbursed business expenses, such as mileage reimbursement for use of personal vehicles to travel between worksites. The period of time covered by the PAGA claim will also be considered by the court shortly. This matter has not been set for trial. Prior to trial, we will have the opportunity to move for summary judgment, seek decertification of the classes, or mediate, if we deem such actions appropriate.</w:t>
      </w:r>
    </w:p>
    <w:p>
      <w:pPr>
        <w:spacing w:after="0" w:line="137" w:lineRule="exact"/>
        <w:rPr>
          <w:sz w:val="20"/>
          <w:szCs w:val="20"/>
          <w:color w:val="auto"/>
        </w:rPr>
      </w:pPr>
    </w:p>
    <w:p>
      <w:pPr>
        <w:ind w:left="660" w:right="100"/>
        <w:spacing w:after="0" w:line="282" w:lineRule="auto"/>
        <w:rPr>
          <w:sz w:val="20"/>
          <w:szCs w:val="20"/>
          <w:color w:val="auto"/>
        </w:rPr>
      </w:pPr>
      <w:r>
        <w:rPr>
          <w:rFonts w:ascii="Arial" w:cs="Arial" w:eastAsia="Arial" w:hAnsi="Arial"/>
          <w:sz w:val="18"/>
          <w:szCs w:val="18"/>
          <w:i w:val="1"/>
          <w:iCs w:val="1"/>
          <w:color w:val="auto"/>
        </w:rPr>
        <w:t xml:space="preserve">Hussein and Hirsi v. Air Serv Corporation filed on January 20, 2016, pending in the United States District Court for the Western District of Washington at Seattle (the “Hussein case”) </w:t>
      </w:r>
      <w:r>
        <w:rPr>
          <w:rFonts w:ascii="Arial" w:cs="Arial" w:eastAsia="Arial" w:hAnsi="Arial"/>
          <w:sz w:val="18"/>
          <w:szCs w:val="18"/>
          <w:color w:val="auto"/>
        </w:rPr>
        <w:t>and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Isse et al. v. Air Serv Corporation filed on February 7, 2017, in the Superior Court of Washington for King County (the “Isse case”)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was a certified class action involving a class of certain hourly Air Serv employees at Seattle-Tacoma International Airport in SeaTac, Washington. The plaintiffs alleged that Air Serv violated a minimum wage requirement in an ordinance applicable to certain employers in the local city of SeaTac (the “Ordinance”). Plaintiffs sought retroactive wages, double damages, interest, and attorneys’ fees. This matter was removed to federal court. In a separate lawsuit brought by Filo Foods, LLC, Alaska Airlines, and several other employers at SeaTac Airport, the King County Superior Court (the “Superior Court”) issued a decision that invalidated the Ordinance as it applied to workers at SeaTac Airport. Subsequently, the Washington Supreme Court reversed the Superior Court’s decision. On February 7, 2017,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was filed against Air Serv on behalf of 60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alleged failure to comply with both the minimum wage provision and the sick and safe time provision of the Ordinance.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sought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later expanded to approximately 220 individual plaintiffs.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2" w:right="239" w:bottom="1440" w:gutter="0" w:footer="0" w:header="0"/>
        </w:sectPr>
      </w:pPr>
    </w:p>
    <w:bookmarkStart w:id="17" w:name="page18"/>
    <w:bookmarkEnd w:id="17"/>
    <w:p>
      <w:pPr>
        <w:jc w:val="both"/>
        <w:ind w:firstLine="648"/>
        <w:spacing w:after="0" w:line="257" w:lineRule="auto"/>
        <w:rPr>
          <w:sz w:val="20"/>
          <w:szCs w:val="20"/>
          <w:color w:val="auto"/>
        </w:rPr>
      </w:pPr>
      <w:r>
        <w:rPr>
          <w:rFonts w:ascii="Arial" w:cs="Arial" w:eastAsia="Arial" w:hAnsi="Arial"/>
          <w:sz w:val="18"/>
          <w:szCs w:val="18"/>
          <w:color w:val="auto"/>
        </w:rPr>
        <w:t xml:space="preserve">In mediations on November 2 and 3, 2017, and without admitting liability in either matter, we agreed to settle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and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cases for a combined total of $ 8.3 million, inclusive of damages, interest, attorneys’ fees, and employer payroll taxes. Eligible employees will be able to participate in either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or </w:t>
      </w:r>
      <w:r>
        <w:rPr>
          <w:rFonts w:ascii="Arial" w:cs="Arial" w:eastAsia="Arial" w:hAnsi="Arial"/>
          <w:sz w:val="18"/>
          <w:szCs w:val="18"/>
          <w:i w:val="1"/>
          <w:iCs w:val="1"/>
          <w:color w:val="auto"/>
        </w:rPr>
        <w:t>Isse</w:t>
      </w:r>
      <w:r>
        <w:rPr>
          <w:rFonts w:ascii="Arial" w:cs="Arial" w:eastAsia="Arial" w:hAnsi="Arial"/>
          <w:sz w:val="18"/>
          <w:szCs w:val="18"/>
          <w:color w:val="auto"/>
        </w:rPr>
        <w:t xml:space="preserve"> settlements, but cannot recover in both settlements. The settlements in both cases require court approval because of the nature of the claims being released. On December 8, 2017, the Superior Court approved the settlement agreement for the 220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and we subsequently made a settlement payment of $4.5 million to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in January 2018. $3.8 million remains accrued for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w:t>
      </w:r>
    </w:p>
    <w:p>
      <w:pPr>
        <w:spacing w:after="0" w:line="1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On July 30, 2018, the United States District Court for the Western District of Washington at Seattle preliminarily approved the settlement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At the final approval hearing on December 4, 2018, the court (i) accepted opt-out notices from 78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members (the “opt-out members”) indicating their intent to participate in separate lawsuits (leaving 386 class members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(ii) directed the parties to recalculate the settlement amount by deducting the settlement funds attributable to the 78 opt-out members, and (iii) requested other minor changes, but indicated that the court intended to grant final approval of the settlement with these changes. On December 20, 2018, the court issued its order granting final approval of the class action settlement.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settlement funds will be paid in February 2019, provided there are no appeals or requests for review of the final approval order. The amount of the settlement funds attributable to the 78 opt-out members is approximately $0.9 million.</w:t>
      </w:r>
    </w:p>
    <w:p>
      <w:pPr>
        <w:spacing w:after="0" w:line="134" w:lineRule="exact"/>
        <w:rPr>
          <w:sz w:val="20"/>
          <w:szCs w:val="20"/>
          <w:color w:val="auto"/>
        </w:rPr>
      </w:pPr>
    </w:p>
    <w:p>
      <w:pPr>
        <w:ind w:left="660" w:right="540"/>
        <w:spacing w:after="0" w:line="282" w:lineRule="auto"/>
        <w:rPr>
          <w:sz w:val="20"/>
          <w:szCs w:val="20"/>
          <w:color w:val="auto"/>
        </w:rPr>
      </w:pPr>
      <w:r>
        <w:rPr>
          <w:rFonts w:ascii="Arial" w:cs="Arial" w:eastAsia="Arial" w:hAnsi="Arial"/>
          <w:sz w:val="18"/>
          <w:szCs w:val="18"/>
          <w:i w:val="1"/>
          <w:iCs w:val="1"/>
          <w:color w:val="auto"/>
        </w:rPr>
        <w:t>Castro and Marmolejo v. ABM Industries, Inc., et al., filed on October 24, 2014, pending in the United States District Court for the Northern District of California (the “Castro case”)</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October 24, 2014, Plaintiff Marley Castro filed a class action lawsuit alleging that ABM did not reimburse janitorial employees in California for using their personal cell phones for work-related purposes, in violation of California Labor Code section 2802. On January 23, 2015, Plaintiff Lucia Marmolejo was added to the case as a named plaintiff. On October 27, 2017, plaintiffs moved for class certification seeking to represent a class of all employees who were, are, or will be employed by ABM in the State of California with the Employee Master Job Description Code “Cleaner” (hereafter referred to as “Cleaner Employees”) beginning from October 24, 2010. ABM filed its opposition to class certification on November 27, 2017. On January 26, 2018, the district court granted plaintiffs’ motion for class certification. The court rejected plaintiffs’ proposed class, instead certifying three classes that the court formulated on its own: (1) all employees who were, are, or will be employed by ABM in the State of California as Cleaner Employees who used a personal cell phone to punch in and out of the EPAY system and who (a) worked at an ABM facility that did not provide a biometric clock and (b) were not offered an ABM-provided cell phone during the period beginning on January 1, 2012, through the date of notice to the Class Members that a class has been certified in this action; (2) all employees who were, are, or will be employed by ABM in the State of California as Cleaner Employees who used a personal cell phone to report unusual or suspicious circumstances to supervisors and were not offered (a) an ABM-provided cell phone or (b) a two-way radio during the period beginning four years prior to the filing of the original complaint, October 24, 2014, through the date of notice to the Class Members that a class has been certified in this action; and (3) all employees who were, are, or will be employed by ABM in the State of California as Cleaner Employees who used a personal cell phone to respond to communications from supervisors and were not offered (a) an ABM-provided cell phone or (b) a two-way radio during the period beginning four years prior to the filing of the original complaint, October 24, 2014, through the date of notice to the Class Members that a class has been certified in this action.</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February 9, 2018, ABM filed a petition for permission to appeal the district court’s order granting class certification with the United States Court of Appeals for the Ninth Circuit, which was denied on April 30, 2018. On March 20, 2018, ABM moved to compel arbitration of the claims of certain class members pursuant to the terms of three collective bargaining agreements. In response to that motion, on May 14, 2018, the district court modified the class definition to exclude all claims arising after the operative date(s) of the applicable collective bargaining agreements (which is June 1, 2016 for one agreement and May 1, 2016 for the other two agreements). However, the district court denied the motion to compel arbitration as to claims that arose prior to the operative date(s) of the applicable collective bargaining agreements. ABM has appealed to the Ninth Circuit the district court’s order denying the motion to compel arbitration with respect to the periods preceding the operative dates of the collective bargaining agreements.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After a court-ordered mediation held on October 15, 2018, the parties agreed to a class action settlement of $5.4 million, subject to court approval. We anticipate the plaintiffs’ motion for preliminary approval will be filed with the court in the first quarter of fiscal year 2019, and a hearing on the motion is expected in the first or second quarter of fiscal year 2019.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900"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0046AD"/>
        </w:rPr>
        <w:t>PART II</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0046AD"/>
        </w:rPr>
        <w:t>ITEM 5. MARKET FOR REGISTRANT’S COMMON EQUITY, RELATED STOCKHOLDER MATTERS AND ISSUER PURCHASES OF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Market Information and 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listed on the New York Stock Exchange (NYSE: ABM). The following table sets forth the high and low sales prices of our common stock on the New York Stock Exchange and quarterly cash dividends declared on shares of common stock for the periods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7"/>
              </w:rPr>
              <w:t>Fiscal Quarter</w:t>
            </w: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6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dollars)</w:t>
            </w:r>
          </w:p>
        </w:tc>
        <w:tc>
          <w:tcPr>
            <w:tcW w:w="3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Second</w:t>
            </w:r>
          </w:p>
        </w:tc>
        <w:tc>
          <w:tcPr>
            <w:tcW w:w="5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80" w:type="dxa"/>
            <w:vAlign w:val="bottom"/>
            <w:tcBorders>
              <w:top w:val="single" w:sz="8" w:color="auto"/>
              <w:bottom w:val="single" w:sz="8" w:color="DCE2EF"/>
            </w:tcBorders>
          </w:tcPr>
          <w:p>
            <w:pPr>
              <w:spacing w:after="0" w:line="20" w:lineRule="exact"/>
              <w:rPr>
                <w:sz w:val="1"/>
                <w:szCs w:val="1"/>
                <w:color w:val="auto"/>
              </w:rPr>
            </w:pPr>
          </w:p>
        </w:tc>
        <w:tc>
          <w:tcPr>
            <w:tcW w:w="394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4"/>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Fiscal Year 2018</w:t>
            </w:r>
          </w:p>
        </w:tc>
        <w:tc>
          <w:tcPr>
            <w:tcW w:w="38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13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56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280" w:type="dxa"/>
            <w:vAlign w:val="bottom"/>
            <w:shd w:val="clear" w:color="auto" w:fill="DCE2EF"/>
          </w:tcPr>
          <w:p>
            <w:pPr>
              <w:spacing w:after="0"/>
              <w:rPr>
                <w:sz w:val="22"/>
                <w:szCs w:val="22"/>
                <w:color w:val="auto"/>
              </w:rPr>
            </w:pP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462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High</w:t>
            </w:r>
          </w:p>
        </w:tc>
        <w:tc>
          <w:tcPr>
            <w:tcW w:w="38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ind w:left="760"/>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DCE2EF"/>
          </w:tcPr>
          <w:p>
            <w:pPr>
              <w:spacing w:after="0"/>
              <w:rPr>
                <w:sz w:val="24"/>
                <w:szCs w:val="24"/>
                <w:color w:val="auto"/>
              </w:rPr>
            </w:pPr>
          </w:p>
        </w:tc>
        <w:tc>
          <w:tcPr>
            <w:tcW w:w="560" w:type="dxa"/>
            <w:vAlign w:val="bottom"/>
            <w:shd w:val="clear" w:color="auto" w:fill="DCE2E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32.90</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35.16</w:t>
            </w:r>
          </w:p>
        </w:tc>
      </w:tr>
      <w:tr>
        <w:trPr>
          <w:trHeight w:val="263"/>
        </w:trPr>
        <w:tc>
          <w:tcPr>
            <w:tcW w:w="40" w:type="dxa"/>
            <w:vAlign w:val="bottom"/>
          </w:tcPr>
          <w:p>
            <w:pPr>
              <w:spacing w:after="0"/>
              <w:rPr>
                <w:sz w:val="22"/>
                <w:szCs w:val="22"/>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Low</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29.48</w:t>
            </w:r>
          </w:p>
        </w:tc>
      </w:tr>
      <w:tr>
        <w:trPr>
          <w:trHeight w:val="277"/>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0.175</w:t>
            </w: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ind w:left="760"/>
              <w:spacing w:after="0"/>
              <w:rPr>
                <w:sz w:val="20"/>
                <w:szCs w:val="20"/>
                <w:color w:val="auto"/>
              </w:rPr>
            </w:pPr>
            <w:r>
              <w:rPr>
                <w:rFonts w:ascii="Arial" w:cs="Arial" w:eastAsia="Arial" w:hAnsi="Arial"/>
                <w:sz w:val="18"/>
                <w:szCs w:val="18"/>
                <w:color w:val="auto"/>
              </w:rPr>
              <w:t>0.175</w:t>
            </w:r>
          </w:p>
        </w:tc>
        <w:tc>
          <w:tcPr>
            <w:tcW w:w="120" w:type="dxa"/>
            <w:vAlign w:val="bottom"/>
            <w:shd w:val="clear" w:color="auto" w:fill="DCE2EF"/>
          </w:tcPr>
          <w:p>
            <w:pPr>
              <w:spacing w:after="0"/>
              <w:rPr>
                <w:sz w:val="24"/>
                <w:szCs w:val="24"/>
                <w:color w:val="auto"/>
              </w:rPr>
            </w:pPr>
          </w:p>
        </w:tc>
        <w:tc>
          <w:tcPr>
            <w:tcW w:w="560" w:type="dxa"/>
            <w:vAlign w:val="bottom"/>
            <w:shd w:val="clear" w:color="auto" w:fill="DCE2E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0.175</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0.175</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 2017</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shd w:val="clear" w:color="auto" w:fill="DCE2EF"/>
          </w:tcPr>
          <w:p>
            <w:pPr>
              <w:spacing w:after="0"/>
              <w:rPr>
                <w:sz w:val="24"/>
                <w:szCs w:val="24"/>
                <w:color w:val="auto"/>
              </w:rPr>
            </w:pPr>
          </w:p>
        </w:tc>
        <w:tc>
          <w:tcPr>
            <w:tcW w:w="12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04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280" w:type="dxa"/>
            <w:vAlign w:val="bottom"/>
            <w:shd w:val="clear" w:color="auto" w:fill="DCE2E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High</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44.93</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45.12</w:t>
            </w:r>
          </w:p>
        </w:tc>
      </w:tr>
      <w:tr>
        <w:trPr>
          <w:trHeight w:val="277"/>
        </w:trPr>
        <w:tc>
          <w:tcPr>
            <w:tcW w:w="40" w:type="dxa"/>
            <w:vAlign w:val="bottom"/>
            <w:shd w:val="clear" w:color="auto" w:fill="DCE2EF"/>
          </w:tcPr>
          <w:p>
            <w:pPr>
              <w:spacing w:after="0"/>
              <w:rPr>
                <w:sz w:val="24"/>
                <w:szCs w:val="24"/>
                <w:color w:val="auto"/>
              </w:rPr>
            </w:pPr>
          </w:p>
        </w:tc>
        <w:tc>
          <w:tcPr>
            <w:tcW w:w="462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Low</w:t>
            </w:r>
          </w:p>
        </w:tc>
        <w:tc>
          <w:tcPr>
            <w:tcW w:w="38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ind w:left="760"/>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DCE2EF"/>
          </w:tcPr>
          <w:p>
            <w:pPr>
              <w:spacing w:after="0"/>
              <w:rPr>
                <w:sz w:val="24"/>
                <w:szCs w:val="24"/>
                <w:color w:val="auto"/>
              </w:rPr>
            </w:pPr>
          </w:p>
        </w:tc>
        <w:tc>
          <w:tcPr>
            <w:tcW w:w="560" w:type="dxa"/>
            <w:vAlign w:val="bottom"/>
            <w:shd w:val="clear" w:color="auto" w:fill="DCE2E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40.36</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37.12</w:t>
            </w:r>
          </w:p>
        </w:tc>
      </w:tr>
      <w:tr>
        <w:trPr>
          <w:trHeight w:val="25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0.170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0.170</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0.170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0.170</w:t>
            </w:r>
          </w:p>
        </w:tc>
      </w:tr>
    </w:tbl>
    <w:p>
      <w:pPr>
        <w:spacing w:after="0" w:line="1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paid cash dividends every quarter since 1965. Future dividends will be determined based on our earnings, capital requirements, financial condition, and other factors considered relevant by our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We did not repurchase any shares during the fourth quarter of 2018. At October 31, 2018, authorization for $134.1 million of repurchases remained under our share repurchase program.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Stockholders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20, 2018, there were 3,053 registered holders of our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Performance Graph</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graph compares the five-year cumulative total return for our common stock against the Standard &amp; Poor’s 500 Index (“S&amp;P 500”) and the Standard &amp; Poor’s SmallCap 600 Index (“S&amp;P 600”). As our competitors are principally privately held, we do not believe it is feasible to construct a peer group comparison on an industry or line-of-business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94615</wp:posOffset>
            </wp:positionV>
            <wp:extent cx="5848985" cy="3927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INDEXED RETURNS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6"/>
        </w:trPr>
        <w:tc>
          <w:tcPr>
            <w:tcW w:w="3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9"/>
              </w:rPr>
              <w:t>Years Ended October 31,</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 / Index</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CE2E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DCE2E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57"/>
        </w:trPr>
        <w:tc>
          <w:tcPr>
            <w:tcW w:w="3920" w:type="dxa"/>
            <w:vAlign w:val="bottom"/>
            <w:gridSpan w:val="2"/>
            <w:shd w:val="clear" w:color="auto" w:fill="DCE2EF"/>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2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DCE2EF"/>
          </w:tcPr>
          <w:p>
            <w:pPr>
              <w:spacing w:after="0"/>
              <w:rPr>
                <w:sz w:val="22"/>
                <w:szCs w:val="22"/>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DCE2EF"/>
          </w:tcPr>
          <w:p>
            <w:pPr>
              <w:spacing w:after="0"/>
              <w:rPr>
                <w:sz w:val="22"/>
                <w:szCs w:val="22"/>
                <w:color w:val="auto"/>
              </w:rPr>
            </w:pP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123.7</w:t>
            </w:r>
          </w:p>
        </w:tc>
      </w:tr>
      <w:tr>
        <w:trPr>
          <w:trHeight w:val="263"/>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S&amp;P 500 Index</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171.1</w:t>
            </w:r>
          </w:p>
        </w:tc>
      </w:tr>
      <w:tr>
        <w:trPr>
          <w:trHeight w:val="277"/>
        </w:trPr>
        <w:tc>
          <w:tcPr>
            <w:tcW w:w="3920" w:type="dxa"/>
            <w:vAlign w:val="bottom"/>
            <w:gridSpan w:val="2"/>
            <w:shd w:val="clear" w:color="auto" w:fill="DCE2EF"/>
          </w:tcPr>
          <w:p>
            <w:pPr>
              <w:ind w:left="20"/>
              <w:spacing w:after="0"/>
              <w:rPr>
                <w:sz w:val="20"/>
                <w:szCs w:val="20"/>
                <w:color w:val="auto"/>
              </w:rPr>
            </w:pPr>
            <w:r>
              <w:rPr>
                <w:rFonts w:ascii="Arial" w:cs="Arial" w:eastAsia="Arial" w:hAnsi="Arial"/>
                <w:sz w:val="18"/>
                <w:szCs w:val="18"/>
                <w:b w:val="1"/>
                <w:bCs w:val="1"/>
                <w:color w:val="auto"/>
              </w:rPr>
              <w:t>S&amp;P SmallCap 600 Index</w:t>
            </w:r>
          </w:p>
        </w:tc>
        <w:tc>
          <w:tcPr>
            <w:tcW w:w="260" w:type="dxa"/>
            <w:vAlign w:val="bottom"/>
            <w:shd w:val="clear" w:color="auto" w:fill="DCE2EF"/>
          </w:tcPr>
          <w:p>
            <w:pPr>
              <w:spacing w:after="0"/>
              <w:rPr>
                <w:sz w:val="24"/>
                <w:szCs w:val="24"/>
                <w:color w:val="auto"/>
              </w:rPr>
            </w:pP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10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9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161.5</w:t>
            </w: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performance graph shall not be deemed to be “soliciting material” or “filed” with the Securities and Exchange Commission,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46AD"/>
        </w:rPr>
        <w:t>ITEM 6. SELECTED FINANCIAL DATA.</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selected financial data should be read in conjunction with Item 7., “Management’s Discussion and Analysis of Financial Condition and Results of Operations,” and Item 8., “Financial Statements and Supplementary Data.” Unless otherwise indicated, all references to years are to our fiscal year, which ends on October 31.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October 31,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6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r>
      <w:tr>
        <w:trPr>
          <w:trHeight w:val="216"/>
        </w:trPr>
        <w:tc>
          <w:tcPr>
            <w:tcW w:w="58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Statements of Comprehensive Income Data</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68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Revenues</w:t>
            </w:r>
            <w:r>
              <w:rPr>
                <w:rFonts w:ascii="Arial" w:cs="Arial" w:eastAsia="Arial" w:hAnsi="Arial"/>
                <w:sz w:val="21"/>
                <w:szCs w:val="21"/>
                <w:color w:val="auto"/>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6,442.2</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5,453.6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5,144.7</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4,897.8</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4,649.7</w:t>
            </w:r>
          </w:p>
        </w:tc>
      </w:tr>
      <w:tr>
        <w:trPr>
          <w:trHeight w:val="27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Operating profit</w:t>
            </w:r>
            <w:r>
              <w:rPr>
                <w:rFonts w:ascii="Arial" w:cs="Arial" w:eastAsia="Arial" w:hAnsi="Arial"/>
                <w:sz w:val="21"/>
                <w:szCs w:val="21"/>
                <w:color w:val="auto"/>
                <w:vertAlign w:val="superscript"/>
              </w:rPr>
              <w:t>(2)</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138.6</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114.8</w:t>
            </w: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66.9</w:t>
            </w:r>
          </w:p>
        </w:tc>
      </w:tr>
      <w:tr>
        <w:trPr>
          <w:trHeight w:val="28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(loss) from discontinued operations, net of taxes</w:t>
            </w:r>
            <w:r>
              <w:rPr>
                <w:rFonts w:ascii="Arial" w:cs="Arial" w:eastAsia="Arial" w:hAnsi="Arial"/>
                <w:sz w:val="21"/>
                <w:szCs w:val="21"/>
                <w:color w:val="auto"/>
                <w:vertAlign w:val="superscript"/>
              </w:rPr>
              <w:t>(3)</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8.7</w:t>
            </w: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b w:val="1"/>
                <w:bCs w:val="1"/>
                <w:color w:val="auto"/>
              </w:rPr>
              <w:t>Per Share Data</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Net income per common share — Basic</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280"/>
        </w:trPr>
        <w:tc>
          <w:tcPr>
            <w:tcW w:w="40" w:type="dxa"/>
            <w:vAlign w:val="bottom"/>
            <w:shd w:val="clear" w:color="auto" w:fill="DCE2EF"/>
          </w:tcPr>
          <w:p>
            <w:pPr>
              <w:spacing w:after="0"/>
              <w:rPr>
                <w:sz w:val="24"/>
                <w:szCs w:val="24"/>
                <w:color w:val="auto"/>
              </w:rPr>
            </w:pPr>
          </w:p>
        </w:tc>
        <w:tc>
          <w:tcPr>
            <w:tcW w:w="578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1.35</w:t>
            </w: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income per common share — Diluted</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40" w:type="dxa"/>
            <w:vAlign w:val="bottom"/>
            <w:shd w:val="clear" w:color="auto" w:fill="DCE2EF"/>
          </w:tcPr>
          <w:p>
            <w:pPr>
              <w:spacing w:after="0"/>
              <w:rPr>
                <w:sz w:val="24"/>
                <w:szCs w:val="24"/>
                <w:color w:val="auto"/>
              </w:rPr>
            </w:pPr>
          </w:p>
        </w:tc>
        <w:tc>
          <w:tcPr>
            <w:tcW w:w="578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0.94</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1.17</w:t>
            </w:r>
          </w:p>
        </w:tc>
      </w:tr>
      <w:tr>
        <w:trPr>
          <w:trHeight w:val="260"/>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226"/>
        </w:trPr>
        <w:tc>
          <w:tcPr>
            <w:tcW w:w="40" w:type="dxa"/>
            <w:vAlign w:val="bottom"/>
            <w:shd w:val="clear" w:color="auto" w:fill="DCE2EF"/>
          </w:tcPr>
          <w:p>
            <w:pPr>
              <w:spacing w:after="0"/>
              <w:rPr>
                <w:sz w:val="19"/>
                <w:szCs w:val="19"/>
                <w:color w:val="auto"/>
              </w:rPr>
            </w:pPr>
          </w:p>
        </w:tc>
        <w:tc>
          <w:tcPr>
            <w:tcW w:w="5780" w:type="dxa"/>
            <w:vAlign w:val="bottom"/>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Weighted-average common and common</w:t>
            </w:r>
          </w:p>
        </w:tc>
        <w:tc>
          <w:tcPr>
            <w:tcW w:w="24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r>
      <w:tr>
        <w:trPr>
          <w:trHeight w:val="196"/>
        </w:trPr>
        <w:tc>
          <w:tcPr>
            <w:tcW w:w="40" w:type="dxa"/>
            <w:vAlign w:val="bottom"/>
            <w:tcBorders>
              <w:bottom w:val="single" w:sz="8" w:color="DCE2EF"/>
            </w:tcBorders>
            <w:shd w:val="clear" w:color="auto" w:fill="DCE2EF"/>
          </w:tcPr>
          <w:p>
            <w:pPr>
              <w:spacing w:after="0"/>
              <w:rPr>
                <w:sz w:val="17"/>
                <w:szCs w:val="17"/>
                <w:color w:val="auto"/>
              </w:rPr>
            </w:pPr>
          </w:p>
        </w:tc>
        <w:tc>
          <w:tcPr>
            <w:tcW w:w="5780" w:type="dxa"/>
            <w:vAlign w:val="bottom"/>
            <w:tcBorders>
              <w:bottom w:val="single" w:sz="8" w:color="DCE2EF"/>
            </w:tcBorders>
            <w:gridSpan w:val="2"/>
            <w:shd w:val="clear" w:color="auto" w:fill="DCE2EF"/>
          </w:tcPr>
          <w:p>
            <w:pPr>
              <w:ind w:left="160"/>
              <w:spacing w:after="0"/>
              <w:rPr>
                <w:sz w:val="20"/>
                <w:szCs w:val="20"/>
                <w:color w:val="auto"/>
              </w:rPr>
            </w:pPr>
            <w:r>
              <w:rPr>
                <w:rFonts w:ascii="Arial" w:cs="Arial" w:eastAsia="Arial" w:hAnsi="Arial"/>
                <w:sz w:val="16"/>
                <w:szCs w:val="16"/>
                <w:color w:val="auto"/>
                <w:shd w:val="clear" w:color="auto" w:fill="DCE2EF"/>
              </w:rPr>
              <w:t>equivalent shares outstanding</w:t>
            </w:r>
          </w:p>
        </w:tc>
        <w:tc>
          <w:tcPr>
            <w:tcW w:w="240" w:type="dxa"/>
            <w:vAlign w:val="bottom"/>
            <w:tcBorders>
              <w:bottom w:val="single" w:sz="8" w:color="DCE2EF"/>
            </w:tcBorders>
            <w:shd w:val="clear" w:color="auto" w:fill="DCE2EF"/>
          </w:tcPr>
          <w:p>
            <w:pPr>
              <w:spacing w:after="0"/>
              <w:rPr>
                <w:sz w:val="17"/>
                <w:szCs w:val="17"/>
                <w:color w:val="auto"/>
              </w:rPr>
            </w:pPr>
          </w:p>
        </w:tc>
        <w:tc>
          <w:tcPr>
            <w:tcW w:w="82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DCE2EF"/>
            </w:tcBorders>
            <w:shd w:val="clear" w:color="auto" w:fill="DCE2EF"/>
          </w:tcPr>
          <w:p>
            <w:pPr>
              <w:spacing w:after="0"/>
              <w:rPr>
                <w:sz w:val="17"/>
                <w:szCs w:val="17"/>
                <w:color w:val="auto"/>
              </w:rPr>
            </w:pPr>
          </w:p>
        </w:tc>
        <w:tc>
          <w:tcPr>
            <w:tcW w:w="220" w:type="dxa"/>
            <w:vAlign w:val="bottom"/>
            <w:tcBorders>
              <w:bottom w:val="single" w:sz="8" w:color="DCE2EF"/>
            </w:tcBorders>
            <w:shd w:val="clear" w:color="auto" w:fill="DCE2EF"/>
          </w:tcPr>
          <w:p>
            <w:pPr>
              <w:spacing w:after="0"/>
              <w:rPr>
                <w:sz w:val="17"/>
                <w:szCs w:val="17"/>
                <w:color w:val="auto"/>
              </w:rPr>
            </w:pPr>
          </w:p>
        </w:tc>
        <w:tc>
          <w:tcPr>
            <w:tcW w:w="80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220" w:type="dxa"/>
            <w:vAlign w:val="bottom"/>
            <w:tcBorders>
              <w:bottom w:val="single" w:sz="8" w:color="DCE2EF"/>
            </w:tcBorders>
            <w:shd w:val="clear" w:color="auto" w:fill="DCE2EF"/>
          </w:tcPr>
          <w:p>
            <w:pPr>
              <w:spacing w:after="0"/>
              <w:rPr>
                <w:sz w:val="17"/>
                <w:szCs w:val="17"/>
                <w:color w:val="auto"/>
              </w:rPr>
            </w:pPr>
          </w:p>
        </w:tc>
        <w:tc>
          <w:tcPr>
            <w:tcW w:w="82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340" w:type="dxa"/>
            <w:vAlign w:val="bottom"/>
            <w:tcBorders>
              <w:bottom w:val="single" w:sz="8" w:color="DCE2EF"/>
            </w:tcBorders>
            <w:shd w:val="clear" w:color="auto" w:fill="DCE2EF"/>
          </w:tcPr>
          <w:p>
            <w:pPr>
              <w:spacing w:after="0"/>
              <w:rPr>
                <w:sz w:val="17"/>
                <w:szCs w:val="17"/>
                <w:color w:val="auto"/>
              </w:rPr>
            </w:pPr>
          </w:p>
        </w:tc>
        <w:tc>
          <w:tcPr>
            <w:tcW w:w="680" w:type="dxa"/>
            <w:vAlign w:val="bottom"/>
            <w:tcBorders>
              <w:bottom w:val="single" w:sz="8" w:color="DCE2EF"/>
            </w:tcBorders>
            <w:shd w:val="clear" w:color="auto" w:fill="DCE2EF"/>
          </w:tcPr>
          <w:p>
            <w:pPr>
              <w:spacing w:after="0"/>
              <w:rPr>
                <w:sz w:val="17"/>
                <w:szCs w:val="17"/>
                <w:color w:val="auto"/>
              </w:rPr>
            </w:pPr>
          </w:p>
        </w:tc>
        <w:tc>
          <w:tcPr>
            <w:tcW w:w="120" w:type="dxa"/>
            <w:vAlign w:val="bottom"/>
            <w:tcBorders>
              <w:bottom w:val="single" w:sz="8" w:color="DCE2EF"/>
            </w:tcBorders>
            <w:shd w:val="clear" w:color="auto" w:fill="DCE2EF"/>
          </w:tcPr>
          <w:p>
            <w:pPr>
              <w:spacing w:after="0"/>
              <w:rPr>
                <w:sz w:val="17"/>
                <w:szCs w:val="17"/>
                <w:color w:val="auto"/>
              </w:rPr>
            </w:pPr>
          </w:p>
        </w:tc>
        <w:tc>
          <w:tcPr>
            <w:tcW w:w="220" w:type="dxa"/>
            <w:vAlign w:val="bottom"/>
            <w:tcBorders>
              <w:bottom w:val="single" w:sz="8" w:color="DCE2EF"/>
            </w:tcBorders>
            <w:shd w:val="clear" w:color="auto" w:fill="DCE2EF"/>
          </w:tcPr>
          <w:p>
            <w:pPr>
              <w:spacing w:after="0"/>
              <w:rPr>
                <w:sz w:val="17"/>
                <w:szCs w:val="17"/>
                <w:color w:val="auto"/>
              </w:rPr>
            </w:pPr>
          </w:p>
        </w:tc>
        <w:tc>
          <w:tcPr>
            <w:tcW w:w="800" w:type="dxa"/>
            <w:vAlign w:val="bottom"/>
            <w:tcBorders>
              <w:bottom w:val="single" w:sz="8" w:color="DCE2EF"/>
            </w:tcBorders>
            <w:shd w:val="clear" w:color="auto" w:fill="DCE2EF"/>
          </w:tcPr>
          <w:p>
            <w:pPr>
              <w:spacing w:after="0"/>
              <w:rPr>
                <w:sz w:val="17"/>
                <w:szCs w:val="17"/>
                <w:color w:val="auto"/>
              </w:rPr>
            </w:pPr>
          </w:p>
        </w:tc>
      </w:tr>
      <w:tr>
        <w:trPr>
          <w:trHeight w:val="260"/>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56.1</w:t>
            </w:r>
          </w:p>
        </w:tc>
      </w:tr>
      <w:tr>
        <w:trPr>
          <w:trHeight w:val="280"/>
        </w:trPr>
        <w:tc>
          <w:tcPr>
            <w:tcW w:w="40" w:type="dxa"/>
            <w:vAlign w:val="bottom"/>
            <w:shd w:val="clear" w:color="auto" w:fill="DCE2EF"/>
          </w:tcPr>
          <w:p>
            <w:pPr>
              <w:spacing w:after="0"/>
              <w:rPr>
                <w:sz w:val="24"/>
                <w:szCs w:val="24"/>
                <w:color w:val="auto"/>
              </w:rPr>
            </w:pPr>
          </w:p>
        </w:tc>
        <w:tc>
          <w:tcPr>
            <w:tcW w:w="578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57.1</w:t>
            </w: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0.700</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0.680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0.660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0.640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0.620</w:t>
            </w:r>
          </w:p>
        </w:tc>
      </w:tr>
      <w:tr>
        <w:trPr>
          <w:trHeight w:val="28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Statements of Cash Flow Data</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299.7</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115.6</w:t>
            </w:r>
          </w:p>
        </w:tc>
      </w:tr>
      <w:tr>
        <w:trPr>
          <w:trHeight w:val="28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tax (refunds) payments, net</w:t>
            </w:r>
            <w:r>
              <w:rPr>
                <w:rFonts w:ascii="Arial" w:cs="Arial" w:eastAsia="Arial" w:hAnsi="Arial"/>
                <w:sz w:val="21"/>
                <w:szCs w:val="21"/>
                <w:color w:val="auto"/>
                <w:vertAlign w:val="superscript"/>
              </w:rPr>
              <w:t>(4)</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32.9</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DCE2EF"/>
          </w:tcPr>
          <w:p>
            <w:pPr>
              <w:spacing w:after="0"/>
              <w:rPr>
                <w:sz w:val="22"/>
                <w:szCs w:val="22"/>
                <w:color w:val="auto"/>
              </w:rPr>
            </w:pPr>
          </w:p>
        </w:tc>
        <w:tc>
          <w:tcPr>
            <w:tcW w:w="700" w:type="dxa"/>
            <w:vAlign w:val="bottom"/>
            <w:shd w:val="clear" w:color="auto" w:fill="DCE2EF"/>
          </w:tcPr>
          <w:p>
            <w:pPr>
              <w:spacing w:after="0"/>
              <w:rPr>
                <w:sz w:val="22"/>
                <w:szCs w:val="22"/>
                <w:color w:val="auto"/>
              </w:rPr>
            </w:pPr>
          </w:p>
        </w:tc>
        <w:tc>
          <w:tcPr>
            <w:tcW w:w="5080" w:type="dxa"/>
            <w:vAlign w:val="bottom"/>
            <w:shd w:val="clear" w:color="auto" w:fill="DCE2EF"/>
          </w:tcPr>
          <w:p>
            <w:pPr>
              <w:spacing w:after="0"/>
              <w:rPr>
                <w:sz w:val="22"/>
                <w:szCs w:val="22"/>
                <w:color w:val="auto"/>
              </w:rPr>
            </w:pPr>
          </w:p>
        </w:tc>
        <w:tc>
          <w:tcPr>
            <w:tcW w:w="240" w:type="dxa"/>
            <w:vAlign w:val="bottom"/>
            <w:tcBorders>
              <w:bottom w:val="single" w:sz="8" w:color="auto"/>
            </w:tcBorders>
            <w:shd w:val="clear" w:color="auto" w:fill="DCE2EF"/>
          </w:tcPr>
          <w:p>
            <w:pPr>
              <w:spacing w:after="0"/>
              <w:rPr>
                <w:sz w:val="22"/>
                <w:szCs w:val="22"/>
                <w:color w:val="auto"/>
              </w:rPr>
            </w:pPr>
          </w:p>
        </w:tc>
        <w:tc>
          <w:tcPr>
            <w:tcW w:w="820" w:type="dxa"/>
            <w:vAlign w:val="bottom"/>
            <w:tcBorders>
              <w:bottom w:val="single" w:sz="8" w:color="auto"/>
            </w:tcBorders>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220" w:type="dxa"/>
            <w:vAlign w:val="bottom"/>
            <w:tcBorders>
              <w:bottom w:val="single" w:sz="8" w:color="auto"/>
            </w:tcBorders>
            <w:shd w:val="clear" w:color="auto" w:fill="DCE2EF"/>
          </w:tcPr>
          <w:p>
            <w:pPr>
              <w:spacing w:after="0"/>
              <w:rPr>
                <w:sz w:val="22"/>
                <w:szCs w:val="22"/>
                <w:color w:val="auto"/>
              </w:rPr>
            </w:pPr>
          </w:p>
        </w:tc>
        <w:tc>
          <w:tcPr>
            <w:tcW w:w="800" w:type="dxa"/>
            <w:vAlign w:val="bottom"/>
            <w:tcBorders>
              <w:bottom w:val="single" w:sz="8" w:color="auto"/>
            </w:tcBorders>
            <w:shd w:val="clear" w:color="auto" w:fill="DCE2EF"/>
          </w:tcPr>
          <w:p>
            <w:pPr>
              <w:spacing w:after="0"/>
              <w:rPr>
                <w:sz w:val="22"/>
                <w:szCs w:val="22"/>
                <w:color w:val="auto"/>
              </w:rPr>
            </w:pPr>
          </w:p>
        </w:tc>
        <w:tc>
          <w:tcPr>
            <w:tcW w:w="1240" w:type="dxa"/>
            <w:vAlign w:val="bottom"/>
            <w:tcBorders>
              <w:bottom w:val="single" w:sz="8" w:color="auto"/>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At October 31,</w:t>
            </w:r>
          </w:p>
        </w:tc>
        <w:tc>
          <w:tcPr>
            <w:tcW w:w="220" w:type="dxa"/>
            <w:vAlign w:val="bottom"/>
            <w:tcBorders>
              <w:bottom w:val="single" w:sz="8" w:color="auto"/>
            </w:tcBorders>
            <w:shd w:val="clear" w:color="auto" w:fill="DCE2EF"/>
          </w:tcPr>
          <w:p>
            <w:pPr>
              <w:spacing w:after="0"/>
              <w:rPr>
                <w:sz w:val="22"/>
                <w:szCs w:val="22"/>
                <w:color w:val="auto"/>
              </w:rPr>
            </w:pPr>
          </w:p>
        </w:tc>
        <w:tc>
          <w:tcPr>
            <w:tcW w:w="800" w:type="dxa"/>
            <w:vAlign w:val="bottom"/>
            <w:tcBorders>
              <w:bottom w:val="single" w:sz="8" w:color="auto"/>
            </w:tcBorders>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220" w:type="dxa"/>
            <w:vAlign w:val="bottom"/>
            <w:tcBorders>
              <w:bottom w:val="single" w:sz="8" w:color="auto"/>
            </w:tcBorders>
            <w:shd w:val="clear" w:color="auto" w:fill="DCE2EF"/>
          </w:tcPr>
          <w:p>
            <w:pPr>
              <w:spacing w:after="0"/>
              <w:rPr>
                <w:sz w:val="22"/>
                <w:szCs w:val="22"/>
                <w:color w:val="auto"/>
              </w:rPr>
            </w:pPr>
          </w:p>
        </w:tc>
        <w:tc>
          <w:tcPr>
            <w:tcW w:w="800" w:type="dxa"/>
            <w:vAlign w:val="bottom"/>
            <w:tcBorders>
              <w:bottom w:val="single" w:sz="8" w:color="auto"/>
            </w:tcBorders>
            <w:shd w:val="clear" w:color="auto" w:fill="DCE2EF"/>
          </w:tcPr>
          <w:p>
            <w:pPr>
              <w:spacing w:after="0"/>
              <w:rPr>
                <w:sz w:val="22"/>
                <w:szCs w:val="22"/>
                <w:color w:val="auto"/>
              </w:rPr>
            </w:pPr>
          </w:p>
        </w:tc>
      </w:tr>
      <w:tr>
        <w:trPr>
          <w:trHeight w:val="230"/>
        </w:trPr>
        <w:tc>
          <w:tcPr>
            <w:tcW w:w="58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0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00" w:type="dxa"/>
            <w:vAlign w:val="bottom"/>
            <w:shd w:val="clear" w:color="auto" w:fill="DCE2EF"/>
          </w:tcPr>
          <w:p>
            <w:pPr>
              <w:spacing w:after="0"/>
              <w:rPr>
                <w:sz w:val="22"/>
                <w:szCs w:val="22"/>
                <w:color w:val="auto"/>
              </w:rPr>
            </w:pP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3,627.5</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3,812.6</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   2,278.8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2,130.7</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2,176.5</w:t>
            </w:r>
          </w:p>
        </w:tc>
      </w:tr>
      <w:tr>
        <w:trPr>
          <w:trHeight w:val="28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Trade accounts receivable, net of allowances</w:t>
            </w:r>
            <w:r>
              <w:rPr>
                <w:rFonts w:ascii="Arial" w:cs="Arial" w:eastAsia="Arial" w:hAnsi="Arial"/>
                <w:sz w:val="21"/>
                <w:szCs w:val="21"/>
                <w:color w:val="auto"/>
                <w:vertAlign w:val="superscript"/>
              </w:rPr>
              <w:t>(5)</w:t>
            </w:r>
          </w:p>
        </w:tc>
        <w:tc>
          <w:tcPr>
            <w:tcW w:w="24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1,014.1</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1,038.1</w:t>
            </w:r>
          </w:p>
        </w:tc>
        <w:tc>
          <w:tcPr>
            <w:tcW w:w="114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803.7</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742.9</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687.3</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1,834.8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1,864.2</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912.8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854.7</w:t>
            </w:r>
          </w:p>
        </w:tc>
      </w:tr>
      <w:tr>
        <w:trPr>
          <w:trHeight w:val="27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intangible assets, net of accumulated amortization</w:t>
            </w:r>
            <w:r>
              <w:rPr>
                <w:rFonts w:ascii="Arial" w:cs="Arial" w:eastAsia="Arial" w:hAnsi="Arial"/>
                <w:sz w:val="21"/>
                <w:szCs w:val="21"/>
                <w:color w:val="auto"/>
                <w:vertAlign w:val="superscript"/>
              </w:rPr>
              <w:t>(7)</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355.7</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430.1</w:t>
            </w:r>
          </w:p>
        </w:tc>
        <w:tc>
          <w:tcPr>
            <w:tcW w:w="114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111.4</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127.5</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Long-term debt, net</w:t>
            </w:r>
            <w:r>
              <w:rPr>
                <w:rFonts w:ascii="Arial" w:cs="Arial" w:eastAsia="Arial" w:hAnsi="Arial"/>
                <w:sz w:val="21"/>
                <w:szCs w:val="21"/>
                <w:color w:val="auto"/>
                <w:vertAlign w:val="superscript"/>
              </w:rPr>
              <w:t>(8)</w:t>
            </w:r>
          </w:p>
        </w:tc>
        <w:tc>
          <w:tcPr>
            <w:tcW w:w="2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1,161.3</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319.8</w:t>
            </w:r>
          </w:p>
        </w:tc>
      </w:tr>
      <w:tr>
        <w:trPr>
          <w:trHeight w:val="270"/>
        </w:trPr>
        <w:tc>
          <w:tcPr>
            <w:tcW w:w="58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Insurance claims</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510.3</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495.4</w:t>
            </w:r>
          </w:p>
        </w:tc>
        <w:tc>
          <w:tcPr>
            <w:tcW w:w="114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423.8</w:t>
            </w: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387.4</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349.7</w:t>
            </w:r>
          </w:p>
        </w:tc>
      </w:tr>
    </w:tbl>
    <w:p>
      <w:pPr>
        <w:spacing w:after="0" w:line="164" w:lineRule="exact"/>
        <w:rPr>
          <w:sz w:val="20"/>
          <w:szCs w:val="20"/>
          <w:color w:val="auto"/>
        </w:rPr>
      </w:pPr>
    </w:p>
    <w:p>
      <w:pPr>
        <w:ind w:left="60" w:firstLine="2"/>
        <w:spacing w:after="0" w:line="210" w:lineRule="auto"/>
        <w:tabs>
          <w:tab w:leader="none" w:pos="256"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Revenues in 2018 included $858.1 million of incremental revenue from acquisitions, primarily $855.7 million related to the acquisition of GCA Services Group (“GCA”). Revenues in 2017 included $208.1 million of incremental revenue from acquisitions, including $169.7 million related to GCA.</w:t>
      </w:r>
    </w:p>
    <w:p>
      <w:pPr>
        <w:spacing w:after="0" w:line="134" w:lineRule="exact"/>
        <w:rPr>
          <w:rFonts w:ascii="Arial" w:cs="Arial" w:eastAsia="Arial" w:hAnsi="Arial"/>
          <w:sz w:val="22"/>
          <w:szCs w:val="22"/>
          <w:color w:val="auto"/>
          <w:vertAlign w:val="superscript"/>
        </w:rPr>
      </w:pPr>
    </w:p>
    <w:p>
      <w:pPr>
        <w:ind w:left="220" w:hanging="158"/>
        <w:spacing w:after="0"/>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Factors affecting comparability of operating profit consisted of the following:</w:t>
      </w:r>
    </w:p>
    <w:p>
      <w:pPr>
        <w:spacing w:after="0" w:line="156" w:lineRule="exact"/>
        <w:rPr>
          <w:rFonts w:ascii="Arial" w:cs="Arial" w:eastAsia="Arial" w:hAnsi="Arial"/>
          <w:sz w:val="19"/>
          <w:szCs w:val="19"/>
          <w:color w:val="auto"/>
          <w:vertAlign w:val="superscript"/>
        </w:rPr>
      </w:pPr>
    </w:p>
    <w:p>
      <w:pPr>
        <w:jc w:val="both"/>
        <w:ind w:left="660" w:hanging="328"/>
        <w:spacing w:after="0" w:line="251"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Operating profit in 2018 was positively impacted by $67.6 million of incremental operating profit resulting from the GCA acquisition and an $11.8 million lower self-insurance adjustment, partially offset by $34.4 million of higher amortization expense and impairment charges of $26.5 million. Additionally, 2018 benefited from the absence of $24.2 million of transaction expenses related to the GCA acquisition incurred in 2017, partially offset by a $17.4 million impairment recovery recorded in 2017 related to our Government Services business.</w:t>
      </w:r>
    </w:p>
    <w:p>
      <w:pPr>
        <w:spacing w:after="0" w:line="148"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Operating profit in 2017 benefited from a $17.4 million impairment recovery, a $10.9 million lower self-insurance adjustment, a reduction in restructuring and related expenses, and procurement and organizational savings from our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initiatives, all offset by $24.2 million of transaction expenses related to the GCA acquisition.</w:t>
      </w:r>
    </w:p>
    <w:p>
      <w:pPr>
        <w:sectPr>
          <w:pgSz w:w="11900" w:h="16838" w:orient="portrait"/>
          <w:cols w:equalWidth="0" w:num="1">
            <w:col w:w="11420"/>
          </w:cols>
          <w:pgMar w:left="240" w:top="522" w:right="2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522" w:right="239" w:bottom="1440" w:gutter="0" w:footer="0" w:header="0"/>
          <w:type w:val="continuous"/>
        </w:sectPr>
      </w:pPr>
    </w:p>
    <w:bookmarkStart w:id="22" w:name="page23"/>
    <w:bookmarkEnd w:id="22"/>
    <w:p>
      <w:pPr>
        <w:jc w:val="both"/>
        <w:ind w:left="600" w:hanging="328"/>
        <w:spacing w:after="0" w:line="250" w:lineRule="auto"/>
        <w:tabs>
          <w:tab w:leader="none" w:pos="600"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Operating profit in 2016 was negatively impacted by insurance expense of $49.6 million, consisting of a $32.9 million unfavorable self-insurance adjustment related to prior year claims and $16.7 million of higher insurance expense due to an increase in the rate used to record our insurance reserves during 2016. Operating profit was also unfavorably impacted by $29.0 million of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restructuring and related charges and a $22.5 million impairment charge for our Government Services business, consisting of both goodwill and long-lived asset charges. Operating profit in 2016 was favorably impacted by approximately $22 million in savings from our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initiatives.</w:t>
      </w:r>
    </w:p>
    <w:p>
      <w:pPr>
        <w:spacing w:after="0" w:line="149" w:lineRule="exact"/>
        <w:rPr>
          <w:rFonts w:ascii="Arial" w:cs="Arial" w:eastAsia="Arial" w:hAnsi="Arial"/>
          <w:sz w:val="16"/>
          <w:szCs w:val="16"/>
          <w:color w:val="auto"/>
        </w:rPr>
      </w:pPr>
    </w:p>
    <w:p>
      <w:pPr>
        <w:ind w:left="600" w:hanging="328"/>
        <w:spacing w:after="0"/>
        <w:tabs>
          <w:tab w:leader="none" w:pos="600" w:val="left"/>
        </w:tabs>
        <w:numPr>
          <w:ilvl w:val="1"/>
          <w:numId w:val="6"/>
        </w:numPr>
        <w:rPr>
          <w:rFonts w:ascii="Arial" w:cs="Arial" w:eastAsia="Arial" w:hAnsi="Arial"/>
          <w:sz w:val="16"/>
          <w:szCs w:val="16"/>
          <w:color w:val="auto"/>
        </w:rPr>
      </w:pPr>
      <w:r>
        <w:rPr>
          <w:rFonts w:ascii="Arial" w:cs="Arial" w:eastAsia="Arial" w:hAnsi="Arial"/>
          <w:sz w:val="16"/>
          <w:szCs w:val="16"/>
          <w:color w:val="auto"/>
        </w:rPr>
        <w:t>Operating profit in 2015 was negatively impacted by a $35.9 million unfavorable self-insurance adjustment related to prior year claims.</w:t>
      </w:r>
    </w:p>
    <w:p>
      <w:pPr>
        <w:spacing w:after="0" w:line="167" w:lineRule="exact"/>
        <w:rPr>
          <w:rFonts w:ascii="Arial" w:cs="Arial" w:eastAsia="Arial" w:hAnsi="Arial"/>
          <w:sz w:val="16"/>
          <w:szCs w:val="16"/>
          <w:color w:val="auto"/>
        </w:rPr>
      </w:pPr>
    </w:p>
    <w:p>
      <w:pPr>
        <w:jc w:val="both"/>
        <w:ind w:firstLine="2"/>
        <w:spacing w:after="0" w:line="361" w:lineRule="auto"/>
        <w:tabs>
          <w:tab w:leader="none" w:pos="162"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We had income from discontinued operations in 2018 of $1.8 million due to an insurance reimbursement on a legal settlement and collection of previously written off receivables, partially offset by union audit settlements. The loss from discontinued operations in 2017 included legal settlements associated with our former Security business of $120.0 million. Income from discontinued operations for 2015 reflected the $14.4 million after-tax gain on the sale of the Security business.</w:t>
      </w:r>
    </w:p>
    <w:p>
      <w:pPr>
        <w:spacing w:after="0" w:line="70" w:lineRule="exact"/>
        <w:rPr>
          <w:rFonts w:ascii="Arial" w:cs="Arial" w:eastAsia="Arial" w:hAnsi="Arial"/>
          <w:sz w:val="19"/>
          <w:szCs w:val="19"/>
          <w:color w:val="auto"/>
          <w:vertAlign w:val="superscript"/>
        </w:rPr>
      </w:pPr>
    </w:p>
    <w:p>
      <w:pPr>
        <w:jc w:val="both"/>
        <w:ind w:firstLine="2"/>
        <w:spacing w:after="0" w:line="221" w:lineRule="auto"/>
        <w:tabs>
          <w:tab w:leader="none" w:pos="187"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Net income tax payments were lower by $19.4 million during 2018 due to a refund received for prior year legal settlements. Additionally, we had cash tax savings of approximately $7 million for 2018 and $10 million for both 2017 and 2016 related to coverage provided by IFM Assurance Company, our wholly-owned captive insurance company. During 2014, net income tax payments increased as certain tax assets were substantially utilized.</w:t>
      </w:r>
    </w:p>
    <w:p>
      <w:pPr>
        <w:spacing w:after="0" w:line="133" w:lineRule="exact"/>
        <w:rPr>
          <w:rFonts w:ascii="Arial" w:cs="Arial" w:eastAsia="Arial" w:hAnsi="Arial"/>
          <w:sz w:val="22"/>
          <w:szCs w:val="22"/>
          <w:color w:val="auto"/>
          <w:vertAlign w:val="superscript"/>
        </w:rPr>
      </w:pPr>
    </w:p>
    <w:p>
      <w:pPr>
        <w:ind w:left="160" w:hanging="158"/>
        <w:spacing w:after="0"/>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Trade accounts receivable, net of allowances, increased by $118.1 million on September 1, 2017 as a result of the GCA acquisition.</w:t>
      </w:r>
    </w:p>
    <w:p>
      <w:pPr>
        <w:spacing w:after="0" w:line="156" w:lineRule="exact"/>
        <w:rPr>
          <w:rFonts w:ascii="Arial" w:cs="Arial" w:eastAsia="Arial" w:hAnsi="Arial"/>
          <w:sz w:val="19"/>
          <w:szCs w:val="19"/>
          <w:color w:val="auto"/>
          <w:vertAlign w:val="superscript"/>
        </w:rPr>
      </w:pPr>
    </w:p>
    <w:p>
      <w:pPr>
        <w:jc w:val="both"/>
        <w:ind w:firstLine="2"/>
        <w:spacing w:after="0" w:line="221" w:lineRule="auto"/>
        <w:tabs>
          <w:tab w:leader="none" w:pos="184"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Goodwill decreased in 2018 due to an impairment charge of $20.3 million related to the acquisition of Westway Services Holdings (2014) Ltd. (“Westway”) and to a $7.0 million adjustment to the final GCA purchase price allocation. Goodwill increased by $933.9 million on September 1, 2017 as a result of the GCA acquisition and by $53.8 million on December 1, 2015 due to the Westway acquisition.</w:t>
      </w:r>
    </w:p>
    <w:p>
      <w:pPr>
        <w:spacing w:after="0" w:line="157" w:lineRule="exact"/>
        <w:rPr>
          <w:rFonts w:ascii="Arial" w:cs="Arial" w:eastAsia="Arial" w:hAnsi="Arial"/>
          <w:sz w:val="22"/>
          <w:szCs w:val="22"/>
          <w:color w:val="auto"/>
          <w:vertAlign w:val="superscript"/>
        </w:rPr>
      </w:pPr>
    </w:p>
    <w:p>
      <w:pPr>
        <w:jc w:val="both"/>
        <w:ind w:firstLine="2"/>
        <w:spacing w:after="0" w:line="221" w:lineRule="auto"/>
        <w:tabs>
          <w:tab w:leader="none" w:pos="183"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 2018, other intangible assets, net of accumulated amortization, was reduced by an impairment charge of $6.2 million related to the Westway acquisition and a $1.0 million adjustment to the final GCA purchase price allocation. During 2017, we recorded $349.0 million of other intangible assets as a result of the GCA acquisition.</w:t>
      </w:r>
    </w:p>
    <w:p>
      <w:pPr>
        <w:spacing w:after="0" w:line="157" w:lineRule="exact"/>
        <w:rPr>
          <w:rFonts w:ascii="Arial" w:cs="Arial" w:eastAsia="Arial" w:hAnsi="Arial"/>
          <w:sz w:val="22"/>
          <w:szCs w:val="22"/>
          <w:color w:val="auto"/>
          <w:vertAlign w:val="superscript"/>
        </w:rPr>
      </w:pPr>
    </w:p>
    <w:p>
      <w:pPr>
        <w:ind w:firstLine="2"/>
        <w:spacing w:after="0" w:line="235" w:lineRule="auto"/>
        <w:tabs>
          <w:tab w:leader="none" w:pos="15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On September 1, 2017, we refinanced and replaced our existing $800.0 million credit facility with a new secured $1.7 billion credit facility, which we used to partially fund the GCA acquisition. During 2015, we used the cash proceeds from the sale of the Security business to pay down a portion of our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300" w:top="54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046AD"/>
        </w:rPr>
        <w:t>ITEM 7. MANAGEMENT’S DISCUSSION AND ANALYSIS OF FINANCIAL CONDITION AND RESULTS OF OPERATIONS.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consolidated financial statements and the accompanying notes (“Financial Statements”). 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which are incorporated herein by reference. Our future results and financial condition may be materially different from those we currently anticipate.</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Throughout the MD&amp;A, amounts and percentages may not recalculate due to rounding. In addition, we have revised our prior period segment information to reflect changes to our operating structure following the integration of GCA Services Group (“GCA”). These changes had no impact on our previously reported consolidated balance sheets, statements of comprehensive income (loss), or statements of cash flows. Unless otherwise indicated, all information in the MD&amp;A and references to years are based on our fiscal year, which ends on October 31.</w:t>
      </w: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ABM is a leading provider of integrated facility solutions, customized by industry, with a mission to </w:t>
      </w:r>
      <w:r>
        <w:rPr>
          <w:rFonts w:ascii="Arial" w:cs="Arial" w:eastAsia="Arial" w:hAnsi="Arial"/>
          <w:sz w:val="18"/>
          <w:szCs w:val="18"/>
          <w:b w:val="1"/>
          <w:bCs w:val="1"/>
          <w:color w:val="006EBF"/>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006EBF"/>
        </w:rPr>
        <w:t>every day</w:t>
      </w:r>
      <w:r>
        <w:rPr>
          <w:rFonts w:ascii="Arial" w:cs="Arial" w:eastAsia="Arial" w:hAnsi="Arial"/>
          <w:sz w:val="18"/>
          <w:szCs w:val="18"/>
          <w:color w:val="000000"/>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have achieved savings through the realignment of our organization by industry group, divested businesses that were not at the core of our strategy, centralized key functional areas, strengthened our sales capabilities, initiated investments in service delivery tools and processes, improved our employee engagement programs, and added to our position as a leading integrated service provider through the acquisition of GCA. We continue focusing on several key initiatives across our organization to sustain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strategy and profitably deliver leading industry-based facility solutions.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Systems and Technology Transformation</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Following the acquisition and integration of GCA, we are targeting significant investments in our information technology infrastructure. We have begun to upgrade several key platforms, including our human resources information systems, enterprise resource planning system, and labor management system. We are also utilizing technology to help improve processes company-wide, including account planning, labor management, payroll, and procurement. To further improve work order management, we have also launched a “Tag Pricer” tool that allows us to capture work orders more efficiently. We believe these improvements will help simplify our operating environment, drive productivity, and create consistency and efficiency across our organization.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Strategic Growth</w:t>
      </w: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focused on long-term, profitable growth related to both new and existing clients across and within our industry groups. We believe operational leverage from our strategic growth initiatives, combined with our continued focus on operational efficiency, will increase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Cost Optimization</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centralize many of our back-office functions through our Enterprise Services Center in Sugar Land, Texas to help drive consistency in practice and support operating efficiency. In addition, by consolidating purchasing activities we have been able to leverage our scale, increase our purchasing power, and identify preferred suppliers, which has enabled cost saving opportunities in supplies and materials procurement.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2"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Economic Labor Outlook</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economy continues to demonstrate positive underlying fundamentals, with expanding gross domestic product growth and improving employment conditions, which have led to historically low levels of both unemployment and underemployment across the country. These factors have contributed to the lower availability of qualified labor for our business and higher turnover in certain markets, as our employees have more job opportunities both inside and outside our industry. This in turn has caused, and may continue to cause, higher labor and related personnel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United States Tax Reform</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(the “Tax Act”), which was enacted on December 22, 2017, represents the most significant overhaul of the U.S. tax code in more than 30 years. Among other provisions, the Tax Act provides for a reduction of the federal corporate income tax rate from 35% to 21% and a “transition tax” to be levied on the deemed repatriation of indefinitely reinvested earnings of international subsidiaries. Since we have an October 31 fiscal year-end, the lower corporate income tax rate was phased in, resulting in a U.S. statutory federal rate of 23.3% for fiscal 2018 and 21% for subsequent fiscal years. Other provisions under the Tax Act become effective for us in fiscal 2019, including limitations on deductibility of interest and executive compensation, as well as a new minimum tax on Global Intangible Low-Taxed Income (“GILTI”). As a result, in 2019 we expect our effective tax rate to increase from the 2018 rate. The impact of the Tax Act, as summarized below for the year ended October 31, 2018, is further described in Note 17, “Income Taxes,” in the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right"/>
              <w:ind w:right="670"/>
              <w:spacing w:after="0"/>
              <w:rPr>
                <w:sz w:val="20"/>
                <w:szCs w:val="20"/>
                <w:color w:val="auto"/>
              </w:rPr>
            </w:pPr>
            <w:r>
              <w:rPr>
                <w:rFonts w:ascii="Arial" w:cs="Arial" w:eastAsia="Arial" w:hAnsi="Arial"/>
                <w:sz w:val="18"/>
                <w:szCs w:val="18"/>
                <w:b w:val="1"/>
                <w:bCs w:val="1"/>
                <w:color w:val="auto"/>
              </w:rPr>
              <w:t>Year Ended</w:t>
            </w:r>
          </w:p>
        </w:tc>
      </w:tr>
      <w:tr>
        <w:trPr>
          <w:trHeight w:val="230"/>
        </w:trPr>
        <w:tc>
          <w:tcPr>
            <w:tcW w:w="88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9"/>
                <w:szCs w:val="19"/>
                <w:color w:val="auto"/>
              </w:rPr>
            </w:pPr>
          </w:p>
        </w:tc>
        <w:tc>
          <w:tcPr>
            <w:tcW w:w="2160" w:type="dxa"/>
            <w:vAlign w:val="bottom"/>
          </w:tcPr>
          <w:p>
            <w:pPr>
              <w:jc w:val="right"/>
              <w:ind w:right="43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0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50"/>
        </w:trPr>
        <w:tc>
          <w:tcPr>
            <w:tcW w:w="88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Remeasurement of U.S. deferred tax assets and liabilities</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2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27.7</w:t>
            </w:r>
          </w:p>
        </w:tc>
      </w:tr>
      <w:tr>
        <w:trPr>
          <w:trHeight w:val="250"/>
        </w:trPr>
        <w:tc>
          <w:tcPr>
            <w:tcW w:w="882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Transition tax on non-U.S. subsidiaries’ earnings</w:t>
            </w:r>
          </w:p>
        </w:tc>
        <w:tc>
          <w:tcPr>
            <w:tcW w:w="3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882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 impact of the Tax Act on the benefit for income taxes</w:t>
            </w:r>
          </w:p>
        </w:tc>
        <w:tc>
          <w:tcPr>
            <w:tcW w:w="34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23.2</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Due to the complexities of implementing the provisions of the Tax Act, the staff of the U.S. Securities and Exchange Commission issued Staff Accounting Bulletin 118 (“SAB 118”), which provides guidance on accounting for tax effects of the Tax Act and permits a measurement period not to exceed one year from the enactment date for companies to complete the required analyses and accounting. As permitted under SAB 118, the adjustments we recorded due to the Tax Act, including the remeasurement of deferred tax assets and liabilities and the transition tax, were based on reasonable estimates and were considered provisional during the year. As of October 31, 2018, the one-time impact of the change in tax rate on our deferred tax assets and liabilities is complete. Additionally, we have completed our assessment of GILTI and have established a policy to account for this tax on a period basis beginning in fiscal year 2019. We have also completed our analysis of the one-time transition tax and recorded the impact.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Acquisition of GCA during 2017</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(the “Acquisition Date”), we acquired GCA, a provider of integrated facility services to educational institutions and commercial facilities, for approximately $1.3 billion, consisting of $837.5 million in cash (revised during the second quarter of 2018 to reflect a post-closing purchase price adjustment related to a net working capital settlement) and approximately 9.4 million shares of ABM common stock with a fair value of $421.3 million at closing. Refer to Note 3, “Acquisitions,” in the Financial Statements for more information on this transaction.</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consolidated statements of comprehensive income and statements of cash flows include GCA’s results of operations in 2018, but exclude GCA’s results of operations in the comparative years prior to the Acquisition Date. During the year ended October 31, 2018, we recognized total revenue from GCA of $1.0 billion, including incremental revenues of $855.7 million, as detailed in the table below.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1"/>
                <w:szCs w:val="21"/>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October 31, 2018</w:t>
            </w:r>
          </w:p>
        </w:tc>
        <w:tc>
          <w:tcPr>
            <w:tcW w:w="180" w:type="dxa"/>
            <w:vAlign w:val="bottom"/>
          </w:tcPr>
          <w:p>
            <w:pPr>
              <w:spacing w:after="0"/>
              <w:rPr>
                <w:sz w:val="21"/>
                <w:szCs w:val="21"/>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68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74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Education</w:t>
            </w: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571.9</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94.9</w:t>
            </w:r>
          </w:p>
        </w:tc>
      </w:tr>
      <w:tr>
        <w:trPr>
          <w:trHeight w:val="26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Technology &amp; Manufacturing</w:t>
            </w:r>
          </w:p>
        </w:tc>
        <w:tc>
          <w:tcPr>
            <w:tcW w:w="2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7"/>
        </w:trPr>
        <w:tc>
          <w:tcPr>
            <w:tcW w:w="74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20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27.4</w:t>
            </w:r>
          </w:p>
        </w:tc>
      </w:tr>
      <w:tr>
        <w:trPr>
          <w:trHeight w:val="26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Healthcare</w:t>
            </w:r>
          </w:p>
        </w:tc>
        <w:tc>
          <w:tcPr>
            <w:tcW w:w="2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74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Aviation</w:t>
            </w:r>
          </w:p>
        </w:tc>
        <w:tc>
          <w:tcPr>
            <w:tcW w:w="200" w:type="dxa"/>
            <w:vAlign w:val="bottom"/>
            <w:tcBorders>
              <w:bottom w:val="single" w:sz="8" w:color="auto"/>
            </w:tcBorders>
            <w:shd w:val="clear" w:color="auto" w:fill="DCE2EF"/>
          </w:tcPr>
          <w:p>
            <w:pPr>
              <w:spacing w:after="0"/>
              <w:rPr>
                <w:sz w:val="23"/>
                <w:szCs w:val="23"/>
                <w:color w:val="auto"/>
              </w:rPr>
            </w:pPr>
          </w:p>
        </w:tc>
        <w:tc>
          <w:tcPr>
            <w:tcW w:w="17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17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742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1,028.2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169.7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Following this acquisition, we initiated a restructuring program to achieve cost synergies from our combined operations. We include these costs within corporate expenses. We do not expect to incur significant severance expenses related to GCA restructuring in the future.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3"/>
        </w:trPr>
        <w:tc>
          <w:tcPr>
            <w:tcW w:w="69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21"/>
                <w:szCs w:val="21"/>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October 31, 2018</w:t>
            </w:r>
          </w:p>
        </w:tc>
        <w:tc>
          <w:tcPr>
            <w:tcW w:w="380" w:type="dxa"/>
            <w:vAlign w:val="bottom"/>
          </w:tcPr>
          <w:p>
            <w:pPr>
              <w:spacing w:after="0"/>
              <w:rPr>
                <w:sz w:val="21"/>
                <w:szCs w:val="21"/>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2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50"/>
        </w:trPr>
        <w:tc>
          <w:tcPr>
            <w:tcW w:w="69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Employee Severance</w:t>
            </w:r>
          </w:p>
        </w:tc>
        <w:tc>
          <w:tcPr>
            <w:tcW w:w="2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13.5</w:t>
            </w:r>
          </w:p>
        </w:tc>
      </w:tr>
      <w:tr>
        <w:trPr>
          <w:trHeight w:val="263"/>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Other Project Fees</w:t>
            </w:r>
          </w:p>
        </w:tc>
        <w:tc>
          <w:tcPr>
            <w:tcW w:w="260" w:type="dxa"/>
            <w:vAlign w:val="bottom"/>
          </w:tcPr>
          <w:p>
            <w:pPr>
              <w:spacing w:after="0"/>
              <w:rPr>
                <w:sz w:val="22"/>
                <w:szCs w:val="22"/>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0"/>
        </w:trPr>
        <w:tc>
          <w:tcPr>
            <w:tcW w:w="69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External Support Fees</w:t>
            </w:r>
          </w:p>
        </w:tc>
        <w:tc>
          <w:tcPr>
            <w:tcW w:w="260" w:type="dxa"/>
            <w:vAlign w:val="bottom"/>
            <w:tcBorders>
              <w:bottom w:val="single" w:sz="8" w:color="auto"/>
            </w:tcBorders>
            <w:shd w:val="clear" w:color="auto" w:fill="DCE2EF"/>
          </w:tcPr>
          <w:p>
            <w:pPr>
              <w:spacing w:after="0"/>
              <w:rPr>
                <w:sz w:val="23"/>
                <w:szCs w:val="23"/>
                <w:color w:val="auto"/>
              </w:rPr>
            </w:pPr>
          </w:p>
        </w:tc>
        <w:tc>
          <w:tcPr>
            <w:tcW w:w="192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8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69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Insurance</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 The actuarial studies indicated the changes we have made to our risk management program have reduced the frequency of claims; however, we are experiencing adverse developments that impact claim costs relating to prior periods. Claim management initiatives include programs to identify claims that have the potential to develop adversely earlier in the claims cycle and ensure the establishment of reserves consistent with known fact patterns. However, with respect to claims related to certain prior fiscal years, the actuarial studies showed unfavorable developments in our estimates of ultimate losses related to general liability, property damage, workers’ compensation, and automobile liability claims. Additionally, we increased our estimate of ultimate losses for workers’ compensation claims, primarily related to claims in California, due to increases in projected costs and severity of claims in certain prior fiscal years, as well as statutory, regulatory, and legal developments.</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Based on the results of the actuarial studies performed during 2018, which included analyzing recent loss development patterns, comparing the loss development against benchmarks, and applying actuarial projection methods to determine the estimate of ultimate losses, we increased our total reserves for known claims as well as our estimate of the loss amounts associated with incurred but not reported claims (“IBNR Claims”) for years prior to 2018 by $10.2 million during 2018. This adjustment was $11.8 million lower than the total adjustment of $22.0 million related to prior year claims in 2017.</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0046AD"/>
        </w:rPr>
        <w:t>Government Services Business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2016, the assets and liabilities of our former Government Services business were classified as held for sale, at which time we wrote down goodwill and long-lived assets of this business by $22.5 million to reflect our best estimate of fair value less costs to sell, using all information available at that time. During the second quarter of 2017, we received an offer from a strategic buyer to purchase this business for approximately $35.0 million, which was higher than our previous estimate of fair value less costs to sell. As a result, we recorded a $17.4 million impairment recovery to adjust the fair value of certain previously impaired assets to the valuation of the assets as implied by the agreed-upon sales price, less estimated costs to sell. We sold this business on May 31, 2017 for $35.5 million and recorded a pre-tax gain of $1.2 million. The reported results for this business are through the date of sale and future results could include run-off costs. As this business has been sold and is no longer part of our ongoing operations, we have excluded a discussion of its results for the periods in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Key Financial Highlights</w:t>
      </w:r>
    </w:p>
    <w:p>
      <w:pPr>
        <w:spacing w:after="0" w:line="193" w:lineRule="exact"/>
        <w:rPr>
          <w:sz w:val="20"/>
          <w:szCs w:val="20"/>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increased by $988.6 million, or 18.1%, during 2018, as compared to 2017. This included $855.7 million of incremental revenues from the September 1, 2017 acquisition of GCA.</w:t>
      </w:r>
    </w:p>
    <w:p>
      <w:pPr>
        <w:spacing w:after="0" w:line="14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increased by $36.7 million, or 36.1%, during 2018, as compared to 2017. The increase in operating profit is primarily attributable to $67.6 million of incremental operating profit resulting from the GCA acquisition and an $11.8 million lower self-insurance adjustment, partially offset by $34.4 million of higher amortization expense and impairment charges of $26.5 million. Additionally, 2018 benefited from the absence of $24.2 million of transaction expenses related to the GCA acquisition incurred in 2017, partially offset by a $17.4 million impairment recovery recorded in 2017 related to our Government Services business.</w:t>
      </w:r>
    </w:p>
    <w:p>
      <w:pPr>
        <w:spacing w:after="0" w:line="151"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increased by $34.9 million during 2018, as compared to 2017, primarily related to increased indebtedness incurred to fund the GCA acquisition and higher relative interest rates under our credit facility, partially offset by amortization of $2.5 million related to the gain realized on our interest rate swaps.</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income taxes from continuing operations for 2018 were favorably impacted by a net tax benefit of $23.2 million related to the Tax Act.</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provided by operating activities of continuing operations was $299.7 million during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Dividends of $46.0 million were paid to shareholders, and dividends totaling $0.700 per common share were declared during 2018.</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October 31, 2018, total outstanding borrowings under our credit facility were $949.0 million, and we had up to $467.3 million of borrowing capacity under our credit facility; however, covenant restrictions limited our actual borrowing capacity to $441.3 million.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2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The Year Ended October 31, 2018 Compared with the Year Ended October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Consolidated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300" w:type="dxa"/>
            <w:vAlign w:val="bottom"/>
            <w:gridSpan w:val="5"/>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60" w:type="dxa"/>
            <w:vAlign w:val="bottom"/>
            <w:tcBorders>
              <w:top w:val="single" w:sz="8" w:color="auto"/>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38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b w:val="1"/>
                <w:bCs w:val="1"/>
                <w:color w:val="auto"/>
                <w:w w:val="97"/>
                <w:shd w:val="clear" w:color="auto" w:fill="DCE2EF"/>
              </w:rPr>
              <w:t>Revenues</w:t>
            </w:r>
          </w:p>
        </w:tc>
        <w:tc>
          <w:tcPr>
            <w:tcW w:w="120" w:type="dxa"/>
            <w:vAlign w:val="bottom"/>
            <w:tcBorders>
              <w:bottom w:val="single" w:sz="8" w:color="DCE2EF"/>
            </w:tcBorders>
            <w:gridSpan w:val="2"/>
            <w:shd w:val="clear" w:color="auto" w:fill="DCE2EF"/>
          </w:tcPr>
          <w:p>
            <w:pPr>
              <w:spacing w:after="0"/>
              <w:rPr>
                <w:sz w:val="21"/>
                <w:szCs w:val="21"/>
                <w:color w:val="auto"/>
              </w:rPr>
            </w:pPr>
          </w:p>
        </w:tc>
        <w:tc>
          <w:tcPr>
            <w:tcW w:w="438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6,442.2</w:t>
            </w: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5,453.6</w:t>
            </w:r>
          </w:p>
        </w:tc>
        <w:tc>
          <w:tcPr>
            <w:tcW w:w="12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DCE2EF"/>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988.6</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18.1%</w:t>
            </w:r>
          </w:p>
        </w:tc>
      </w:tr>
      <w:tr>
        <w:trPr>
          <w:trHeight w:val="260"/>
        </w:trPr>
        <w:tc>
          <w:tcPr>
            <w:tcW w:w="5300" w:type="dxa"/>
            <w:vAlign w:val="bottom"/>
            <w:gridSpan w:val="5"/>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5,747.4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4,881.2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866.2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17.7%</w:t>
            </w:r>
          </w:p>
        </w:tc>
      </w:tr>
      <w:tr>
        <w:trPr>
          <w:trHeight w:val="260"/>
        </w:trPr>
        <w:tc>
          <w:tcPr>
            <w:tcW w:w="40" w:type="dxa"/>
            <w:vAlign w:val="bottom"/>
            <w:tcBorders>
              <w:bottom w:val="single" w:sz="8" w:color="DCE2EF"/>
            </w:tcBorders>
            <w:shd w:val="clear" w:color="auto" w:fill="DCE2EF"/>
          </w:tcPr>
          <w:p>
            <w:pPr>
              <w:spacing w:after="0"/>
              <w:rPr>
                <w:sz w:val="22"/>
                <w:szCs w:val="22"/>
                <w:color w:val="auto"/>
              </w:rPr>
            </w:pPr>
          </w:p>
        </w:tc>
        <w:tc>
          <w:tcPr>
            <w:tcW w:w="5260" w:type="dxa"/>
            <w:vAlign w:val="bottom"/>
            <w:tcBorders>
              <w:bottom w:val="single" w:sz="8" w:color="DCE2EF"/>
            </w:tcBorders>
            <w:gridSpan w:val="4"/>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Gross margin</w:t>
            </w: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i w:val="1"/>
                <w:iCs w:val="1"/>
                <w:color w:val="auto"/>
              </w:rPr>
              <w:t>10.8%</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4"/>
                <w:szCs w:val="14"/>
                <w:i w:val="1"/>
                <w:iCs w:val="1"/>
                <w:color w:val="auto"/>
              </w:rPr>
              <w:t>29 bps</w:t>
            </w:r>
          </w:p>
        </w:tc>
        <w:tc>
          <w:tcPr>
            <w:tcW w:w="1360" w:type="dxa"/>
            <w:vAlign w:val="bottom"/>
            <w:tcBorders>
              <w:bottom w:val="single" w:sz="8" w:color="DCE2EF"/>
            </w:tcBorders>
            <w:shd w:val="clear" w:color="auto" w:fill="DCE2EF"/>
          </w:tcPr>
          <w:p>
            <w:pPr>
              <w:spacing w:after="0"/>
              <w:rPr>
                <w:sz w:val="22"/>
                <w:szCs w:val="22"/>
                <w:color w:val="auto"/>
              </w:rPr>
            </w:pPr>
          </w:p>
        </w:tc>
      </w:tr>
      <w:tr>
        <w:trPr>
          <w:trHeight w:val="260"/>
        </w:trPr>
        <w:tc>
          <w:tcPr>
            <w:tcW w:w="5300" w:type="dxa"/>
            <w:vAlign w:val="bottom"/>
            <w:gridSpan w:val="5"/>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0.3%</w:t>
            </w:r>
          </w:p>
        </w:tc>
      </w:tr>
      <w:tr>
        <w:trPr>
          <w:trHeight w:val="260"/>
        </w:trPr>
        <w:tc>
          <w:tcPr>
            <w:tcW w:w="40" w:type="dxa"/>
            <w:vAlign w:val="bottom"/>
            <w:tcBorders>
              <w:bottom w:val="single" w:sz="8" w:color="DCE2EF"/>
            </w:tcBorders>
            <w:shd w:val="clear" w:color="auto" w:fill="DCE2EF"/>
          </w:tcPr>
          <w:p>
            <w:pPr>
              <w:spacing w:after="0"/>
              <w:rPr>
                <w:sz w:val="22"/>
                <w:szCs w:val="22"/>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Restructuring and related expenses</w:t>
            </w: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4.8</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23.1%</w:t>
            </w:r>
          </w:p>
        </w:tc>
      </w:tr>
      <w:tr>
        <w:trPr>
          <w:trHeight w:val="260"/>
        </w:trPr>
        <w:tc>
          <w:tcPr>
            <w:tcW w:w="5300" w:type="dxa"/>
            <w:vAlign w:val="bottom"/>
            <w:gridSpan w:val="5"/>
          </w:tcPr>
          <w:p>
            <w:pPr>
              <w:ind w:left="4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tcBorders>
              <w:bottom w:val="single" w:sz="8" w:color="DCE2EF"/>
            </w:tcBorders>
            <w:shd w:val="clear" w:color="auto" w:fill="DCE2EF"/>
          </w:tcPr>
          <w:p>
            <w:pPr>
              <w:spacing w:after="0"/>
              <w:rPr>
                <w:sz w:val="24"/>
                <w:szCs w:val="24"/>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Impairment loss (recovery)</w:t>
            </w:r>
          </w:p>
        </w:tc>
        <w:tc>
          <w:tcPr>
            <w:tcW w:w="380" w:type="dxa"/>
            <w:vAlign w:val="bottom"/>
            <w:tcBorders>
              <w:bottom w:val="single" w:sz="8" w:color="DCE2EF"/>
            </w:tcBorders>
            <w:shd w:val="clear" w:color="auto" w:fill="DCE2EF"/>
          </w:tcPr>
          <w:p>
            <w:pPr>
              <w:spacing w:after="0"/>
              <w:rPr>
                <w:sz w:val="24"/>
                <w:szCs w:val="24"/>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DCE2EF"/>
            </w:tcBorders>
            <w:shd w:val="clear" w:color="auto" w:fill="DCE2EF"/>
          </w:tcPr>
          <w:p>
            <w:pPr>
              <w:spacing w:after="0"/>
              <w:rPr>
                <w:sz w:val="24"/>
                <w:szCs w:val="24"/>
                <w:color w:val="auto"/>
              </w:rPr>
            </w:pPr>
          </w:p>
        </w:tc>
        <w:tc>
          <w:tcPr>
            <w:tcW w:w="380" w:type="dxa"/>
            <w:vAlign w:val="bottom"/>
            <w:tcBorders>
              <w:bottom w:val="single" w:sz="8" w:color="DCE2EF"/>
            </w:tcBorders>
            <w:shd w:val="clear" w:color="auto" w:fill="DCE2EF"/>
          </w:tcPr>
          <w:p>
            <w:pPr>
              <w:spacing w:after="0"/>
              <w:rPr>
                <w:sz w:val="24"/>
                <w:szCs w:val="24"/>
                <w:color w:val="auto"/>
              </w:rPr>
            </w:pPr>
          </w:p>
        </w:tc>
        <w:tc>
          <w:tcPr>
            <w:tcW w:w="12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DCE2EF"/>
            </w:tcBorders>
            <w:shd w:val="clear" w:color="auto" w:fill="DCE2EF"/>
          </w:tcPr>
          <w:p>
            <w:pPr>
              <w:spacing w:after="0"/>
              <w:rPr>
                <w:sz w:val="24"/>
                <w:szCs w:val="24"/>
                <w:color w:val="auto"/>
              </w:rPr>
            </w:pPr>
          </w:p>
        </w:tc>
        <w:tc>
          <w:tcPr>
            <w:tcW w:w="30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45.0</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40"/>
        </w:trPr>
        <w:tc>
          <w:tcPr>
            <w:tcW w:w="5300" w:type="dxa"/>
            <w:vAlign w:val="bottom"/>
            <w:gridSpan w:val="5"/>
          </w:tcPr>
          <w:p>
            <w:pPr>
              <w:ind w:left="40"/>
              <w:spacing w:after="0"/>
              <w:rPr>
                <w:sz w:val="20"/>
                <w:szCs w:val="20"/>
                <w:color w:val="auto"/>
              </w:rPr>
            </w:pPr>
            <w:r>
              <w:rPr>
                <w:rFonts w:ascii="Arial" w:cs="Arial" w:eastAsia="Arial" w:hAnsi="Arial"/>
                <w:sz w:val="16"/>
                <w:szCs w:val="16"/>
                <w:b w:val="1"/>
                <w:bCs w:val="1"/>
                <w:color w:val="auto"/>
              </w:rPr>
              <w:t>Operating profit</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36.1%</w:t>
            </w:r>
          </w:p>
        </w:tc>
      </w:tr>
      <w:tr>
        <w:trPr>
          <w:trHeight w:val="260"/>
        </w:trPr>
        <w:tc>
          <w:tcPr>
            <w:tcW w:w="40" w:type="dxa"/>
            <w:vAlign w:val="bottom"/>
            <w:tcBorders>
              <w:bottom w:val="single" w:sz="8" w:color="DCE2EF"/>
            </w:tcBorders>
            <w:shd w:val="clear" w:color="auto" w:fill="DCE2EF"/>
          </w:tcPr>
          <w:p>
            <w:pPr>
              <w:spacing w:after="0"/>
              <w:rPr>
                <w:sz w:val="22"/>
                <w:szCs w:val="22"/>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Income from unconsolidated affiliates, net</w:t>
            </w: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9"/>
              </w:rPr>
              <w:t>(23.9)%</w:t>
            </w:r>
          </w:p>
        </w:tc>
      </w:tr>
      <w:tr>
        <w:trPr>
          <w:trHeight w:val="264"/>
        </w:trPr>
        <w:tc>
          <w:tcPr>
            <w:tcW w:w="5300" w:type="dxa"/>
            <w:vAlign w:val="bottom"/>
            <w:tcBorders>
              <w:bottom w:val="single" w:sz="8" w:color="DCE2EF"/>
            </w:tcBorders>
            <w:gridSpan w:val="5"/>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37"/>
        </w:trPr>
        <w:tc>
          <w:tcPr>
            <w:tcW w:w="40" w:type="dxa"/>
            <w:vAlign w:val="bottom"/>
            <w:tcBorders>
              <w:bottom w:val="single" w:sz="8" w:color="DCE2EF"/>
            </w:tcBorders>
            <w:shd w:val="clear" w:color="auto" w:fill="DCE2EF"/>
          </w:tcPr>
          <w:p>
            <w:pPr>
              <w:spacing w:after="0"/>
              <w:rPr>
                <w:sz w:val="20"/>
                <w:szCs w:val="20"/>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Income from continuing operations before income taxes</w:t>
            </w:r>
          </w:p>
        </w:tc>
        <w:tc>
          <w:tcPr>
            <w:tcW w:w="38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0.8</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1.0%</w:t>
            </w:r>
          </w:p>
        </w:tc>
      </w:tr>
      <w:tr>
        <w:trPr>
          <w:trHeight w:val="264"/>
        </w:trPr>
        <w:tc>
          <w:tcPr>
            <w:tcW w:w="5300" w:type="dxa"/>
            <w:vAlign w:val="bottom"/>
            <w:tcBorders>
              <w:bottom w:val="single" w:sz="8" w:color="DCE2EF"/>
            </w:tcBorders>
            <w:gridSpan w:val="5"/>
          </w:tcPr>
          <w:p>
            <w:pPr>
              <w:ind w:left="40"/>
              <w:spacing w:after="0"/>
              <w:rPr>
                <w:sz w:val="20"/>
                <w:szCs w:val="20"/>
                <w:color w:val="auto"/>
              </w:rPr>
            </w:pPr>
            <w:r>
              <w:rPr>
                <w:rFonts w:ascii="Arial" w:cs="Arial" w:eastAsia="Arial" w:hAnsi="Arial"/>
                <w:sz w:val="16"/>
                <w:szCs w:val="16"/>
                <w:color w:val="auto"/>
              </w:rPr>
              <w:t>Income tax benefit (provision)</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37"/>
        </w:trPr>
        <w:tc>
          <w:tcPr>
            <w:tcW w:w="40" w:type="dxa"/>
            <w:vAlign w:val="bottom"/>
            <w:tcBorders>
              <w:bottom w:val="single" w:sz="8" w:color="DCE2EF"/>
            </w:tcBorders>
            <w:shd w:val="clear" w:color="auto" w:fill="DCE2EF"/>
          </w:tcPr>
          <w:p>
            <w:pPr>
              <w:spacing w:after="0"/>
              <w:rPr>
                <w:sz w:val="20"/>
                <w:szCs w:val="20"/>
                <w:color w:val="auto"/>
              </w:rPr>
            </w:pPr>
          </w:p>
        </w:tc>
        <w:tc>
          <w:tcPr>
            <w:tcW w:w="5260" w:type="dxa"/>
            <w:vAlign w:val="bottom"/>
            <w:tcBorders>
              <w:bottom w:val="single" w:sz="8" w:color="DCE2EF"/>
            </w:tcBorders>
            <w:gridSpan w:val="4"/>
            <w:shd w:val="clear" w:color="auto" w:fill="DCE2EF"/>
          </w:tcPr>
          <w:p>
            <w:pPr>
              <w:spacing w:after="0"/>
              <w:rPr>
                <w:sz w:val="20"/>
                <w:szCs w:val="20"/>
                <w:color w:val="auto"/>
              </w:rPr>
            </w:pPr>
            <w:r>
              <w:rPr>
                <w:rFonts w:ascii="Arial" w:cs="Arial" w:eastAsia="Arial" w:hAnsi="Arial"/>
                <w:sz w:val="16"/>
                <w:szCs w:val="16"/>
                <w:color w:val="auto"/>
                <w:shd w:val="clear" w:color="auto" w:fill="DCE2EF"/>
              </w:rPr>
              <w:t>Income from continuing operations</w:t>
            </w:r>
          </w:p>
        </w:tc>
        <w:tc>
          <w:tcPr>
            <w:tcW w:w="38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DCE2EF"/>
            </w:tcBorders>
            <w:shd w:val="clear" w:color="auto" w:fill="DCE2EF"/>
          </w:tcPr>
          <w:p>
            <w:pPr>
              <w:spacing w:after="0"/>
              <w:rPr>
                <w:sz w:val="20"/>
                <w:szCs w:val="20"/>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17.8</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22.9%</w:t>
            </w:r>
          </w:p>
        </w:tc>
      </w:tr>
      <w:tr>
        <w:trPr>
          <w:trHeight w:val="264"/>
        </w:trPr>
        <w:tc>
          <w:tcPr>
            <w:tcW w:w="5300" w:type="dxa"/>
            <w:vAlign w:val="bottom"/>
            <w:tcBorders>
              <w:bottom w:val="single" w:sz="8" w:color="DCE2EF"/>
            </w:tcBorders>
            <w:gridSpan w:val="5"/>
          </w:tcPr>
          <w:p>
            <w:pPr>
              <w:ind w:left="40"/>
              <w:spacing w:after="0"/>
              <w:rPr>
                <w:sz w:val="20"/>
                <w:szCs w:val="20"/>
                <w:color w:val="auto"/>
              </w:rPr>
            </w:pPr>
            <w:r>
              <w:rPr>
                <w:rFonts w:ascii="Arial" w:cs="Arial" w:eastAsia="Arial" w:hAnsi="Arial"/>
                <w:sz w:val="16"/>
                <w:szCs w:val="16"/>
                <w:color w:val="auto"/>
              </w:rPr>
              <w:t>Income (loss) from discontinued operations, net of taxes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76.1</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88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6"/>
                <w:szCs w:val="16"/>
                <w:b w:val="1"/>
                <w:bCs w:val="1"/>
                <w:color w:val="auto"/>
                <w:w w:val="99"/>
                <w:shd w:val="clear" w:color="auto" w:fill="DCE2EF"/>
              </w:rPr>
              <w:t>Net income</w:t>
            </w:r>
          </w:p>
        </w:tc>
        <w:tc>
          <w:tcPr>
            <w:tcW w:w="438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94.0</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54"/>
        </w:trPr>
        <w:tc>
          <w:tcPr>
            <w:tcW w:w="5300" w:type="dxa"/>
            <w:vAlign w:val="bottom"/>
            <w:gridSpan w:val="5"/>
          </w:tcPr>
          <w:p>
            <w:pPr>
              <w:ind w:left="4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360" w:type="dxa"/>
            <w:vAlign w:val="bottom"/>
          </w:tcPr>
          <w:p>
            <w:pPr>
              <w:spacing w:after="0"/>
              <w:rPr>
                <w:sz w:val="22"/>
                <w:szCs w:val="22"/>
                <w:color w:val="auto"/>
              </w:rPr>
            </w:pPr>
          </w:p>
        </w:tc>
      </w:tr>
      <w:tr>
        <w:trPr>
          <w:trHeight w:val="260"/>
        </w:trPr>
        <w:tc>
          <w:tcPr>
            <w:tcW w:w="40" w:type="dxa"/>
            <w:vAlign w:val="bottom"/>
            <w:tcBorders>
              <w:bottom w:val="single" w:sz="8" w:color="DCE2EF"/>
            </w:tcBorders>
            <w:shd w:val="clear" w:color="auto" w:fill="DCE2EF"/>
          </w:tcPr>
          <w:p>
            <w:pPr>
              <w:spacing w:after="0"/>
              <w:rPr>
                <w:sz w:val="22"/>
                <w:szCs w:val="22"/>
                <w:color w:val="auto"/>
              </w:rPr>
            </w:pPr>
          </w:p>
        </w:tc>
        <w:tc>
          <w:tcPr>
            <w:tcW w:w="5260" w:type="dxa"/>
            <w:vAlign w:val="bottom"/>
            <w:tcBorders>
              <w:bottom w:val="single" w:sz="8" w:color="DCE2EF"/>
            </w:tcBorders>
            <w:gridSpan w:val="4"/>
            <w:shd w:val="clear" w:color="auto" w:fill="DCE2EF"/>
          </w:tcPr>
          <w:p>
            <w:pPr>
              <w:ind w:left="340"/>
              <w:spacing w:after="0"/>
              <w:rPr>
                <w:sz w:val="20"/>
                <w:szCs w:val="20"/>
                <w:color w:val="auto"/>
              </w:rPr>
            </w:pPr>
            <w:r>
              <w:rPr>
                <w:rFonts w:ascii="Arial" w:cs="Arial" w:eastAsia="Arial" w:hAnsi="Arial"/>
                <w:sz w:val="16"/>
                <w:szCs w:val="16"/>
                <w:color w:val="auto"/>
                <w:shd w:val="clear" w:color="auto" w:fill="DCE2EF"/>
              </w:rPr>
              <w:t>Interest rate swaps</w:t>
            </w: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19.2</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60"/>
        </w:trPr>
        <w:tc>
          <w:tcPr>
            <w:tcW w:w="40" w:type="dxa"/>
            <w:vAlign w:val="bottom"/>
          </w:tcPr>
          <w:p>
            <w:pPr>
              <w:spacing w:after="0"/>
              <w:rPr>
                <w:sz w:val="22"/>
                <w:szCs w:val="22"/>
                <w:color w:val="auto"/>
              </w:rPr>
            </w:pPr>
          </w:p>
        </w:tc>
        <w:tc>
          <w:tcPr>
            <w:tcW w:w="5260" w:type="dxa"/>
            <w:vAlign w:val="bottom"/>
            <w:gridSpan w:val="4"/>
          </w:tcPr>
          <w:p>
            <w:pPr>
              <w:ind w:left="320"/>
              <w:spacing w:after="0"/>
              <w:rPr>
                <w:sz w:val="20"/>
                <w:szCs w:val="20"/>
                <w:color w:val="auto"/>
              </w:rPr>
            </w:pPr>
            <w:r>
              <w:rPr>
                <w:rFonts w:ascii="Arial" w:cs="Arial" w:eastAsia="Arial" w:hAnsi="Arial"/>
                <w:sz w:val="16"/>
                <w:szCs w:val="16"/>
                <w:color w:val="auto"/>
              </w:rPr>
              <w:t>Foreign currency translation</w:t>
            </w: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tcBorders>
              <w:bottom w:val="single" w:sz="8" w:color="DCE2EF"/>
            </w:tcBorders>
            <w:shd w:val="clear" w:color="auto" w:fill="DCE2EF"/>
          </w:tcPr>
          <w:p>
            <w:pPr>
              <w:spacing w:after="0"/>
              <w:rPr>
                <w:sz w:val="24"/>
                <w:szCs w:val="24"/>
                <w:color w:val="auto"/>
              </w:rPr>
            </w:pPr>
          </w:p>
        </w:tc>
        <w:tc>
          <w:tcPr>
            <w:tcW w:w="5260" w:type="dxa"/>
            <w:vAlign w:val="bottom"/>
            <w:tcBorders>
              <w:bottom w:val="single" w:sz="8" w:color="DCE2EF"/>
            </w:tcBorders>
            <w:gridSpan w:val="4"/>
            <w:shd w:val="clear" w:color="auto" w:fill="DCE2EF"/>
          </w:tcPr>
          <w:p>
            <w:pPr>
              <w:ind w:left="340"/>
              <w:spacing w:after="0"/>
              <w:rPr>
                <w:sz w:val="20"/>
                <w:szCs w:val="20"/>
                <w:color w:val="auto"/>
              </w:rPr>
            </w:pPr>
            <w:r>
              <w:rPr>
                <w:rFonts w:ascii="Arial" w:cs="Arial" w:eastAsia="Arial" w:hAnsi="Arial"/>
                <w:sz w:val="16"/>
                <w:szCs w:val="16"/>
                <w:color w:val="auto"/>
                <w:shd w:val="clear" w:color="auto" w:fill="DCE2EF"/>
              </w:rPr>
              <w:t>Income tax provision</w:t>
            </w:r>
          </w:p>
        </w:tc>
        <w:tc>
          <w:tcPr>
            <w:tcW w:w="380" w:type="dxa"/>
            <w:vAlign w:val="bottom"/>
            <w:tcBorders>
              <w:bottom w:val="single" w:sz="8" w:color="DCE2EF"/>
            </w:tcBorders>
            <w:shd w:val="clear" w:color="auto" w:fill="DCE2EF"/>
          </w:tcPr>
          <w:p>
            <w:pPr>
              <w:spacing w:after="0"/>
              <w:rPr>
                <w:sz w:val="24"/>
                <w:szCs w:val="24"/>
                <w:color w:val="auto"/>
              </w:rPr>
            </w:pPr>
          </w:p>
        </w:tc>
        <w:tc>
          <w:tcPr>
            <w:tcW w:w="12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DCE2EF"/>
            </w:tcBorders>
            <w:shd w:val="clear" w:color="auto" w:fill="DCE2EF"/>
          </w:tcPr>
          <w:p>
            <w:pPr>
              <w:spacing w:after="0"/>
              <w:rPr>
                <w:sz w:val="24"/>
                <w:szCs w:val="24"/>
                <w:color w:val="auto"/>
              </w:rPr>
            </w:pPr>
          </w:p>
        </w:tc>
        <w:tc>
          <w:tcPr>
            <w:tcW w:w="380" w:type="dxa"/>
            <w:vAlign w:val="bottom"/>
            <w:tcBorders>
              <w:bottom w:val="single" w:sz="8" w:color="DCE2EF"/>
            </w:tcBorders>
            <w:shd w:val="clear" w:color="auto" w:fill="DCE2EF"/>
          </w:tcPr>
          <w:p>
            <w:pPr>
              <w:spacing w:after="0"/>
              <w:rPr>
                <w:sz w:val="24"/>
                <w:szCs w:val="24"/>
                <w:color w:val="auto"/>
              </w:rPr>
            </w:pPr>
          </w:p>
        </w:tc>
        <w:tc>
          <w:tcPr>
            <w:tcW w:w="12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DCE2EF"/>
            </w:tcBorders>
            <w:shd w:val="clear" w:color="auto" w:fill="DCE2EF"/>
          </w:tcPr>
          <w:p>
            <w:pPr>
              <w:spacing w:after="0"/>
              <w:rPr>
                <w:sz w:val="24"/>
                <w:szCs w:val="24"/>
                <w:color w:val="auto"/>
              </w:rPr>
            </w:pPr>
          </w:p>
        </w:tc>
        <w:tc>
          <w:tcPr>
            <w:tcW w:w="30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(4.8)</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34"/>
        </w:trPr>
        <w:tc>
          <w:tcPr>
            <w:tcW w:w="5300" w:type="dxa"/>
            <w:vAlign w:val="bottom"/>
            <w:gridSpan w:val="5"/>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93.8</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$988.6 million, or 18.1%, during 2018, as compared to 2017. The increase in revenues was primarily attributable to $858.1 million of incremental revenues from acquisitions, mainly GCA, as well as organic growth in B&amp;I, T&amp;M, Technical Solutions, and Aviation. This increase was partially offset by the sale of our Government Services business on May 31,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$866.2 million, or 17.7%, during 2018, as compared to 2017. The increase was primarily attributable to $763.1 million of incremental operating expenses from the GCA acquisition and an increase in wages and related personnel costs due to a tight labor market. Gross margin increased by 29 bps in 2018, as compared to 2017. The increase in gross margin was primarily associated with a lower self-insurance adjustment related to prior year claims as a result of actuarial studies, favorable margins in our U.S. Technical Solutions business, and the termination of an unprofitable Aviation contract in the third quarter of 2017, all partially offset by lower profit margins on certain B&amp;I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Selling, general and administrative expenses increased by $1.4 million, or 0.3%, during 2018, as compared to 2017.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$32.9 million of incremental expenses related to the GCA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$6.4 million increase in technology investments and related support;</w:t>
      </w:r>
    </w:p>
    <w:p>
      <w:pPr>
        <w:sectPr>
          <w:pgSz w:w="11900" w:h="16838" w:orient="portrait"/>
          <w:cols w:equalWidth="0" w:num="1">
            <w:col w:w="11420"/>
          </w:cols>
          <w:pgMar w:left="240" w:top="846"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846" w:right="239" w:bottom="1440" w:gutter="0" w:footer="0" w:header="0"/>
          <w:type w:val="continuous"/>
        </w:sectPr>
      </w:pPr>
    </w:p>
    <w:bookmarkStart w:id="28" w:name="page29"/>
    <w:bookmarkEnd w:id="28"/>
    <w:p>
      <w:pPr>
        <w:ind w:left="660" w:right="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absence of a $3.2 million reimbursement of previously expensed fees associated with a concluded internal investigation into a foreign entity formerly affiliated with a joint venture during the prior year;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$3.2 million increase in expenses related to certain incentive plans due to the timing of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absence of $24.2 million of transaction expenses related to the GCA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$3.4 million adjustment to decrease our medical and dental insurance reserves as a result of actuarial evaluations performed in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$2.7 million decrease in rental expense due to office consolidations in the prior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$2.5 million decrease in travel and entertainment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$2.1 million decrease in legal settlement costs, net of a $7.0 million reimbursement of previously expensed legal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$1.9 million of lower compensation and related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$1.5 million decrease in bad debt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Restructuring and related expenses increased by $4.8 million, or 23.1%, during 2018, as compared to 2017, as a result of restructuring related to the GCA acquisition, partially offset by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Amortization of intangible assets increased by $34.4 million, during 2018, as compared to 2017, as a result of the amortization of acquired intangible assets associated with the GCA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Loss (Recovery)</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2018, we recorded impairment charges on goodwill and customer relationships related to our U.K. Technical Solutions business totaling $26.5 million. In 2018, declining operating performance of this business primarily reflected the adverse impact of Brexit and the resulting impact on microeconomic conditions in the U.K. retail sector.</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31, 2017, we sold our Government Services business for $ 35.5 million. Based on the initial offer of $35.0 million received during the second quarter of 2017, we recorded a $17.4 million impairment recovery to adjust the fair value of certain previously impaired assets. In connection with the sale, during the third quarter of 2017 we recorded a pre-tax gain of approximately $1.2 million due to a working capital settlement.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Interest expense increased by $34.9 million, during 2018, as compared to 2017, primarily related to increased indebtedness incurred to fund the GCA acquisition and higher relative interest rates under our credit facility, partially offset by amortization of $2.5 million related to the interest rate swap gain.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2018, we had an income tax benefit of $8.2 million, compared to a provision of $8.8 million in 2017. Our income taxes in 2018 benefited from: a net tax benefit of $23.2 million related to the enactment of the Tax Act; $5.8 million, including interest of $1.0 million, related to expiring statutes of limitations for uncertain tax positions; $3.4 million of excess tax benefits related to the vesting of share-based compensation awards; and $2.8 million related to tax deductions for energy efficient government buildings. These benefits were partially offset by a $1.0 million reduction in certain tax credits, including the prior year WOTC for new hires. Comparatively, 2017 was favorably impacted by: a benefit of $17.8 million, including interest of $1.2 million, related to expiring statutes of limitations for uncertain tax positions; $3.6 million of excess tax benefits related to the vesting of share-based compensation awards; $1.9 million of tax deductions for energy efficient government buildings; and the 2017 WOTC for new hires.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4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0046AD"/>
        </w:rPr>
        <w:t>Discontinued Operations, Net of Taxes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2018, we had income from discontinued operations, net of taxes, of $1.8 million, compared with a loss from discontinued operations, net of taxes, of $74.3 million during 2017, a change of $76.1 million. This change was due to an insurance reimbursement on a legal settlement and collection of previously written off receivables, partially offset by union audit settlements during 2018, compared with a legal reserve established in the prior year in connection with certain legal settlement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April 2018, we elected to terminate all of our interest rate swaps for cash proceeds of $25.9 million. The resulting gain is being amortized from AOCI to interest expense over the term of our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2018, we recognized as a component of our comprehensive income a foreign currency translation loss of $4.7 million compared to a gain of $ 9.7 million during 2017. This change was related to the U.S. Dollar (“USD”) strengthening against the Great Britain Pound (“GBP”) during 2018. Future gains and losses on foreign currency translation will be dependent upon changes in the relative value of foreign currencies to the USD and the extent of our foreign assets and liabilities.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2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reportable segments consist of Business &amp; Industry (“B&amp;I”), Aviation, Technology &amp; Manufacturing (“T&amp;M”), Education, Technical Solutions, and Healthcare. Refer to Note 2, “Basis of Presentation and Significant Accounting Policies,” in the Notes to Consolidated Financial Statements for information related to our former Government Services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Years Ended October 31,</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gridSpan w:val="2"/>
          </w:tcPr>
          <w:p>
            <w:pPr>
              <w:ind w:left="24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5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DCE2EF"/>
          </w:tcPr>
          <w:p>
            <w:pPr>
              <w:spacing w:after="0"/>
              <w:rPr>
                <w:sz w:val="20"/>
                <w:szCs w:val="20"/>
                <w:color w:val="auto"/>
              </w:rPr>
            </w:pPr>
          </w:p>
        </w:tc>
        <w:tc>
          <w:tcPr>
            <w:tcW w:w="1080" w:type="dxa"/>
            <w:vAlign w:val="bottom"/>
            <w:shd w:val="clear" w:color="auto" w:fill="DCE2EF"/>
          </w:tcPr>
          <w:p>
            <w:pPr>
              <w:spacing w:after="0"/>
              <w:rPr>
                <w:sz w:val="20"/>
                <w:szCs w:val="20"/>
                <w:color w:val="auto"/>
              </w:rPr>
            </w:pPr>
          </w:p>
        </w:tc>
        <w:tc>
          <w:tcPr>
            <w:tcW w:w="100" w:type="dxa"/>
            <w:vAlign w:val="bottom"/>
            <w:shd w:val="clear" w:color="auto" w:fill="DCE2EF"/>
          </w:tcPr>
          <w:p>
            <w:pPr>
              <w:spacing w:after="0"/>
              <w:rPr>
                <w:sz w:val="20"/>
                <w:szCs w:val="20"/>
                <w:color w:val="auto"/>
              </w:rPr>
            </w:pPr>
          </w:p>
        </w:tc>
        <w:tc>
          <w:tcPr>
            <w:tcW w:w="320" w:type="dxa"/>
            <w:vAlign w:val="bottom"/>
            <w:shd w:val="clear" w:color="auto" w:fill="DCE2EF"/>
          </w:tcPr>
          <w:p>
            <w:pPr>
              <w:spacing w:after="0"/>
              <w:rPr>
                <w:sz w:val="20"/>
                <w:szCs w:val="20"/>
                <w:color w:val="auto"/>
              </w:rPr>
            </w:pPr>
          </w:p>
        </w:tc>
        <w:tc>
          <w:tcPr>
            <w:tcW w:w="1080" w:type="dxa"/>
            <w:vAlign w:val="bottom"/>
            <w:shd w:val="clear" w:color="auto" w:fill="DCE2EF"/>
          </w:tcPr>
          <w:p>
            <w:pPr>
              <w:spacing w:after="0"/>
              <w:rPr>
                <w:sz w:val="20"/>
                <w:szCs w:val="20"/>
                <w:color w:val="auto"/>
              </w:rPr>
            </w:pPr>
          </w:p>
        </w:tc>
        <w:tc>
          <w:tcPr>
            <w:tcW w:w="100" w:type="dxa"/>
            <w:vAlign w:val="bottom"/>
            <w:shd w:val="clear" w:color="auto" w:fill="DCE2EF"/>
          </w:tcPr>
          <w:p>
            <w:pPr>
              <w:spacing w:after="0"/>
              <w:rPr>
                <w:sz w:val="20"/>
                <w:szCs w:val="20"/>
                <w:color w:val="auto"/>
              </w:rPr>
            </w:pPr>
          </w:p>
        </w:tc>
        <w:tc>
          <w:tcPr>
            <w:tcW w:w="360" w:type="dxa"/>
            <w:vAlign w:val="bottom"/>
            <w:shd w:val="clear" w:color="auto" w:fill="DCE2EF"/>
          </w:tcPr>
          <w:p>
            <w:pPr>
              <w:spacing w:after="0"/>
              <w:rPr>
                <w:sz w:val="20"/>
                <w:szCs w:val="20"/>
                <w:color w:val="auto"/>
              </w:rPr>
            </w:pPr>
          </w:p>
        </w:tc>
        <w:tc>
          <w:tcPr>
            <w:tcW w:w="980" w:type="dxa"/>
            <w:vAlign w:val="bottom"/>
            <w:shd w:val="clear" w:color="auto" w:fill="DCE2EF"/>
          </w:tcPr>
          <w:p>
            <w:pPr>
              <w:spacing w:after="0"/>
              <w:rPr>
                <w:sz w:val="20"/>
                <w:szCs w:val="20"/>
                <w:color w:val="auto"/>
              </w:rPr>
            </w:pPr>
          </w:p>
        </w:tc>
        <w:tc>
          <w:tcPr>
            <w:tcW w:w="146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2,917.6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2,629.1</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288.5</w:t>
            </w:r>
          </w:p>
        </w:tc>
        <w:tc>
          <w:tcPr>
            <w:tcW w:w="1460" w:type="dxa"/>
            <w:vAlign w:val="bottom"/>
          </w:tcPr>
          <w:p>
            <w:pPr>
              <w:jc w:val="center"/>
              <w:ind w:left="3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3"/>
        </w:trPr>
        <w:tc>
          <w:tcPr>
            <w:tcW w:w="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Aviation</w:t>
            </w:r>
          </w:p>
        </w:tc>
        <w:tc>
          <w:tcPr>
            <w:tcW w:w="456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DCE2EF"/>
            </w:tcBorders>
            <w:shd w:val="clear" w:color="auto" w:fill="DCE2EF"/>
          </w:tcPr>
          <w:p>
            <w:pPr>
              <w:spacing w:after="0"/>
              <w:rPr>
                <w:sz w:val="20"/>
                <w:szCs w:val="20"/>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1,023.8</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DCE2EF"/>
            </w:tcBorders>
            <w:shd w:val="clear" w:color="auto" w:fill="DCE2EF"/>
          </w:tcPr>
          <w:p>
            <w:pPr>
              <w:spacing w:after="0"/>
              <w:rPr>
                <w:sz w:val="20"/>
                <w:szCs w:val="20"/>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990.4</w:t>
            </w:r>
          </w:p>
        </w:tc>
        <w:tc>
          <w:tcPr>
            <w:tcW w:w="1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33.4</w:t>
            </w:r>
          </w:p>
        </w:tc>
        <w:tc>
          <w:tcPr>
            <w:tcW w:w="14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w w:val="98"/>
              </w:rPr>
              <w:t>3.4%</w:t>
            </w:r>
          </w:p>
        </w:tc>
        <w:tc>
          <w:tcPr>
            <w:tcW w:w="0" w:type="dxa"/>
            <w:vAlign w:val="bottom"/>
          </w:tcPr>
          <w:p>
            <w:pPr>
              <w:spacing w:after="0"/>
              <w:rPr>
                <w:sz w:val="1"/>
                <w:szCs w:val="1"/>
                <w:color w:val="auto"/>
              </w:rPr>
            </w:pPr>
          </w:p>
        </w:tc>
      </w:tr>
      <w:tr>
        <w:trPr>
          <w:trHeight w:val="233"/>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30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924.5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697.4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227.1</w:t>
            </w:r>
          </w:p>
        </w:tc>
        <w:tc>
          <w:tcPr>
            <w:tcW w:w="1460" w:type="dxa"/>
            <w:vAlign w:val="bottom"/>
          </w:tcPr>
          <w:p>
            <w:pPr>
              <w:jc w:val="center"/>
              <w:ind w:left="3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33"/>
        </w:trPr>
        <w:tc>
          <w:tcPr>
            <w:tcW w:w="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Education</w:t>
            </w:r>
          </w:p>
        </w:tc>
        <w:tc>
          <w:tcPr>
            <w:tcW w:w="456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DCE2EF"/>
            </w:tcBorders>
            <w:shd w:val="clear" w:color="auto" w:fill="DCE2EF"/>
          </w:tcPr>
          <w:p>
            <w:pPr>
              <w:spacing w:after="0"/>
              <w:rPr>
                <w:sz w:val="20"/>
                <w:szCs w:val="20"/>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837.5</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DCE2EF"/>
            </w:tcBorders>
            <w:shd w:val="clear" w:color="auto" w:fill="DCE2EF"/>
          </w:tcPr>
          <w:p>
            <w:pPr>
              <w:spacing w:after="0"/>
              <w:rPr>
                <w:sz w:val="20"/>
                <w:szCs w:val="20"/>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363.1</w:t>
            </w:r>
          </w:p>
        </w:tc>
        <w:tc>
          <w:tcPr>
            <w:tcW w:w="1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474.4</w:t>
            </w:r>
          </w:p>
        </w:tc>
        <w:tc>
          <w:tcPr>
            <w:tcW w:w="1460" w:type="dxa"/>
            <w:vAlign w:val="bottom"/>
            <w:tcBorders>
              <w:bottom w:val="single" w:sz="8" w:color="DCE2EF"/>
            </w:tcBorders>
            <w:shd w:val="clear" w:color="auto" w:fill="DCE2E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3"/>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30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439.6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26.0</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w w:val="98"/>
              </w:rPr>
              <w:t>5.9%</w:t>
            </w:r>
          </w:p>
        </w:tc>
        <w:tc>
          <w:tcPr>
            <w:tcW w:w="0" w:type="dxa"/>
            <w:vAlign w:val="bottom"/>
          </w:tcPr>
          <w:p>
            <w:pPr>
              <w:spacing w:after="0"/>
              <w:rPr>
                <w:sz w:val="1"/>
                <w:szCs w:val="1"/>
                <w:color w:val="auto"/>
              </w:rPr>
            </w:pPr>
          </w:p>
        </w:tc>
      </w:tr>
      <w:tr>
        <w:trPr>
          <w:trHeight w:val="233"/>
        </w:trPr>
        <w:tc>
          <w:tcPr>
            <w:tcW w:w="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Healthcare</w:t>
            </w:r>
          </w:p>
        </w:tc>
        <w:tc>
          <w:tcPr>
            <w:tcW w:w="456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DCE2EF"/>
            </w:tcBorders>
            <w:shd w:val="clear" w:color="auto" w:fill="DCE2EF"/>
          </w:tcPr>
          <w:p>
            <w:pPr>
              <w:spacing w:after="0"/>
              <w:rPr>
                <w:sz w:val="20"/>
                <w:szCs w:val="20"/>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273.3</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DCE2EF"/>
            </w:tcBorders>
            <w:shd w:val="clear" w:color="auto" w:fill="DCE2EF"/>
          </w:tcPr>
          <w:p>
            <w:pPr>
              <w:spacing w:after="0"/>
              <w:rPr>
                <w:sz w:val="20"/>
                <w:szCs w:val="20"/>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247.5</w:t>
            </w:r>
          </w:p>
        </w:tc>
        <w:tc>
          <w:tcPr>
            <w:tcW w:w="1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25.8</w:t>
            </w:r>
          </w:p>
        </w:tc>
        <w:tc>
          <w:tcPr>
            <w:tcW w:w="14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7"/>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Government Services</w:t>
            </w:r>
          </w:p>
        </w:tc>
        <w:tc>
          <w:tcPr>
            <w:tcW w:w="3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(86.5)</w:t>
            </w:r>
          </w:p>
        </w:tc>
        <w:tc>
          <w:tcPr>
            <w:tcW w:w="1460" w:type="dxa"/>
            <w:vAlign w:val="bottom"/>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0"/>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820" w:type="dxa"/>
            <w:vAlign w:val="bottom"/>
            <w:tcBorders>
              <w:top w:val="single" w:sz="8" w:color="DCE2EF"/>
              <w:bottom w:val="single" w:sz="8" w:color="DCE2EF"/>
            </w:tcBorders>
            <w:shd w:val="clear" w:color="auto" w:fill="DCE2EF"/>
          </w:tcPr>
          <w:p>
            <w:pPr>
              <w:spacing w:after="0"/>
              <w:rPr>
                <w:sz w:val="20"/>
                <w:szCs w:val="20"/>
                <w:color w:val="auto"/>
              </w:rPr>
            </w:pPr>
          </w:p>
        </w:tc>
        <w:tc>
          <w:tcPr>
            <w:tcW w:w="4560" w:type="dxa"/>
            <w:vAlign w:val="bottom"/>
            <w:tcBorders>
              <w:top w:val="single" w:sz="8" w:color="DCE2EF"/>
              <w:bottom w:val="single" w:sz="8" w:color="DCE2EF"/>
            </w:tcBorders>
            <w:shd w:val="clear" w:color="auto" w:fill="DCE2EF"/>
          </w:tcPr>
          <w:p>
            <w:pPr>
              <w:spacing w:after="0"/>
              <w:rPr>
                <w:sz w:val="20"/>
                <w:szCs w:val="20"/>
                <w:color w:val="auto"/>
              </w:rPr>
            </w:pPr>
          </w:p>
        </w:tc>
        <w:tc>
          <w:tcPr>
            <w:tcW w:w="300" w:type="dxa"/>
            <w:vAlign w:val="bottom"/>
            <w:tcBorders>
              <w:top w:val="single" w:sz="8" w:color="auto"/>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6,442.2</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20" w:type="dxa"/>
            <w:vAlign w:val="bottom"/>
            <w:tcBorders>
              <w:top w:val="single" w:sz="8" w:color="auto"/>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5,453.6</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60" w:type="dxa"/>
            <w:vAlign w:val="bottom"/>
            <w:tcBorders>
              <w:top w:val="single" w:sz="8" w:color="auto"/>
              <w:bottom w:val="single" w:sz="8" w:color="auto"/>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988.6</w:t>
            </w:r>
          </w:p>
        </w:tc>
        <w:tc>
          <w:tcPr>
            <w:tcW w:w="1460" w:type="dxa"/>
            <w:vAlign w:val="bottom"/>
            <w:tcBorders>
              <w:top w:val="single" w:sz="8" w:color="DCE2EF"/>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20" w:type="dxa"/>
            <w:vAlign w:val="bottom"/>
            <w:gridSpan w:val="3"/>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0" w:type="dxa"/>
            <w:vAlign w:val="bottom"/>
            <w:tcBorders>
              <w:bottom w:val="single" w:sz="8" w:color="DCE2EF"/>
            </w:tcBorders>
            <w:shd w:val="clear" w:color="auto" w:fill="DCE2EF"/>
          </w:tcPr>
          <w:p>
            <w:pPr>
              <w:spacing w:after="0"/>
              <w:rPr>
                <w:sz w:val="21"/>
                <w:szCs w:val="21"/>
                <w:color w:val="auto"/>
              </w:rPr>
            </w:pPr>
          </w:p>
        </w:tc>
        <w:tc>
          <w:tcPr>
            <w:tcW w:w="53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Business &amp; Industry</w:t>
            </w:r>
          </w:p>
        </w:tc>
        <w:tc>
          <w:tcPr>
            <w:tcW w:w="300" w:type="dxa"/>
            <w:vAlign w:val="bottom"/>
            <w:tcBorders>
              <w:bottom w:val="single" w:sz="8" w:color="DCE2EF"/>
            </w:tcBorders>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154.6</w:t>
            </w: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19.0</w:t>
            </w:r>
          </w:p>
        </w:tc>
        <w:tc>
          <w:tcPr>
            <w:tcW w:w="14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4"/>
                <w:szCs w:val="14"/>
                <w:i w:val="1"/>
                <w:iCs w:val="1"/>
                <w:color w:val="auto"/>
              </w:rPr>
              <w:t>14 bps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Aviation</w:t>
            </w:r>
          </w:p>
        </w:tc>
        <w:tc>
          <w:tcPr>
            <w:tcW w:w="456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14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4"/>
                <w:szCs w:val="14"/>
                <w:i w:val="1"/>
                <w:iCs w:val="1"/>
                <w:color w:val="auto"/>
              </w:rPr>
              <w:t>(29) bps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DCE2EF"/>
            </w:tcBorders>
            <w:shd w:val="clear" w:color="auto" w:fill="DCE2EF"/>
          </w:tcPr>
          <w:p>
            <w:pPr>
              <w:spacing w:after="0"/>
              <w:rPr>
                <w:sz w:val="21"/>
                <w:szCs w:val="21"/>
                <w:color w:val="auto"/>
              </w:rPr>
            </w:pPr>
          </w:p>
        </w:tc>
        <w:tc>
          <w:tcPr>
            <w:tcW w:w="53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Technology &amp; Manufacturing</w:t>
            </w:r>
          </w:p>
        </w:tc>
        <w:tc>
          <w:tcPr>
            <w:tcW w:w="30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19.6</w:t>
            </w:r>
          </w:p>
        </w:tc>
        <w:tc>
          <w:tcPr>
            <w:tcW w:w="14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4"/>
                <w:szCs w:val="14"/>
                <w:i w:val="1"/>
                <w:iCs w:val="1"/>
                <w:color w:val="auto"/>
              </w:rPr>
              <w:t>43 bps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Education</w:t>
            </w:r>
          </w:p>
        </w:tc>
        <w:tc>
          <w:tcPr>
            <w:tcW w:w="456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25.8</w:t>
            </w:r>
          </w:p>
        </w:tc>
        <w:tc>
          <w:tcPr>
            <w:tcW w:w="1460" w:type="dxa"/>
            <w:vAlign w:val="bottom"/>
            <w:tcBorders>
              <w:bottom w:val="single" w:sz="8" w:color="DCE2EF"/>
            </w:tcBorders>
            <w:shd w:val="clear" w:color="auto" w:fill="DCE2E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4"/>
                <w:szCs w:val="14"/>
                <w:i w:val="1"/>
                <w:iCs w:val="1"/>
                <w:color w:val="auto"/>
              </w:rPr>
              <w:t>27 bps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DCE2EF"/>
            </w:tcBorders>
            <w:shd w:val="clear" w:color="auto" w:fill="DCE2EF"/>
          </w:tcPr>
          <w:p>
            <w:pPr>
              <w:spacing w:after="0"/>
              <w:rPr>
                <w:sz w:val="21"/>
                <w:szCs w:val="21"/>
                <w:color w:val="auto"/>
              </w:rPr>
            </w:pPr>
          </w:p>
        </w:tc>
        <w:tc>
          <w:tcPr>
            <w:tcW w:w="53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Technical Solutions</w:t>
            </w:r>
          </w:p>
        </w:tc>
        <w:tc>
          <w:tcPr>
            <w:tcW w:w="30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(21.1)</w:t>
            </w:r>
          </w:p>
        </w:tc>
        <w:tc>
          <w:tcPr>
            <w:tcW w:w="14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w w:val="99"/>
              </w:rPr>
              <w:t>(56.0)%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4"/>
                <w:szCs w:val="14"/>
                <w:i w:val="1"/>
                <w:iCs w:val="1"/>
                <w:color w:val="auto"/>
              </w:rPr>
              <w:t>(499) bps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Healthcare</w:t>
            </w:r>
          </w:p>
        </w:tc>
        <w:tc>
          <w:tcPr>
            <w:tcW w:w="456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14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w w:val="99"/>
              </w:rPr>
              <w:t>(17.4)%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4"/>
                <w:szCs w:val="14"/>
                <w:i w:val="1"/>
                <w:iCs w:val="1"/>
                <w:color w:val="auto"/>
              </w:rPr>
              <w:t>(108) bps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53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Government Services</w:t>
            </w:r>
          </w:p>
        </w:tc>
        <w:tc>
          <w:tcPr>
            <w:tcW w:w="300" w:type="dxa"/>
            <w:vAlign w:val="bottom"/>
            <w:tcBorders>
              <w:bottom w:val="single" w:sz="8" w:color="DCE2EF"/>
            </w:tcBorders>
            <w:shd w:val="clear" w:color="auto" w:fill="DCE2EF"/>
          </w:tcPr>
          <w:p>
            <w:pPr>
              <w:spacing w:after="0"/>
              <w:rPr>
                <w:sz w:val="22"/>
                <w:szCs w:val="22"/>
                <w:color w:val="auto"/>
              </w:rPr>
            </w:pPr>
          </w:p>
        </w:tc>
        <w:tc>
          <w:tcPr>
            <w:tcW w:w="10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DCE2EF"/>
            </w:tcBorders>
            <w:shd w:val="clear" w:color="auto" w:fill="DCE2EF"/>
          </w:tcPr>
          <w:p>
            <w:pPr>
              <w:spacing w:after="0"/>
              <w:rPr>
                <w:sz w:val="22"/>
                <w:szCs w:val="22"/>
                <w:color w:val="auto"/>
              </w:rPr>
            </w:pPr>
          </w:p>
        </w:tc>
        <w:tc>
          <w:tcPr>
            <w:tcW w:w="320" w:type="dxa"/>
            <w:vAlign w:val="bottom"/>
            <w:tcBorders>
              <w:bottom w:val="single" w:sz="8" w:color="DCE2EF"/>
            </w:tcBorders>
            <w:shd w:val="clear" w:color="auto" w:fill="DCE2EF"/>
          </w:tcPr>
          <w:p>
            <w:pPr>
              <w:spacing w:after="0"/>
              <w:rPr>
                <w:sz w:val="22"/>
                <w:szCs w:val="22"/>
                <w:color w:val="auto"/>
              </w:rPr>
            </w:pPr>
          </w:p>
        </w:tc>
        <w:tc>
          <w:tcPr>
            <w:tcW w:w="108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9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(22.6)</w:t>
            </w:r>
          </w:p>
        </w:tc>
        <w:tc>
          <w:tcPr>
            <w:tcW w:w="1460" w:type="dxa"/>
            <w:vAlign w:val="bottom"/>
            <w:tcBorders>
              <w:bottom w:val="single" w:sz="8" w:color="DCE2EF"/>
            </w:tcBorders>
            <w:shd w:val="clear" w:color="auto" w:fill="DCE2E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00" w:type="dxa"/>
            <w:vAlign w:val="bottom"/>
          </w:tcPr>
          <w:p>
            <w:pPr>
              <w:spacing w:after="0"/>
              <w:rPr>
                <w:sz w:val="22"/>
                <w:szCs w:val="22"/>
                <w:color w:val="auto"/>
              </w:rPr>
            </w:pPr>
          </w:p>
        </w:tc>
        <w:tc>
          <w:tcPr>
            <w:tcW w:w="1180" w:type="dxa"/>
            <w:vAlign w:val="bottom"/>
            <w:gridSpan w:val="2"/>
          </w:tcPr>
          <w:p>
            <w:pPr>
              <w:ind w:left="640"/>
              <w:spacing w:after="0"/>
              <w:rPr>
                <w:sz w:val="20"/>
                <w:szCs w:val="20"/>
                <w:color w:val="auto"/>
              </w:rPr>
            </w:pPr>
            <w:r>
              <w:rPr>
                <w:rFonts w:ascii="Arial" w:cs="Arial" w:eastAsia="Arial" w:hAnsi="Arial"/>
                <w:sz w:val="14"/>
                <w:szCs w:val="14"/>
                <w:i w:val="1"/>
                <w:iCs w:val="1"/>
                <w:color w:val="auto"/>
              </w:rPr>
              <w:t>NM*</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25.2%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4"/>
                <w:szCs w:val="14"/>
                <w:i w:val="1"/>
                <w:iCs w:val="1"/>
                <w:color w:val="auto"/>
              </w:rPr>
              <w:t>NM*</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Corporate</w:t>
            </w:r>
          </w:p>
        </w:tc>
        <w:tc>
          <w:tcPr>
            <w:tcW w:w="456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10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(168.8)</w:t>
            </w:r>
          </w:p>
        </w:tc>
        <w:tc>
          <w:tcPr>
            <w:tcW w:w="100" w:type="dxa"/>
            <w:vAlign w:val="bottom"/>
            <w:tcBorders>
              <w:bottom w:val="single" w:sz="8" w:color="DCE2EF"/>
            </w:tcBorders>
            <w:shd w:val="clear" w:color="auto" w:fill="DCE2EF"/>
          </w:tcPr>
          <w:p>
            <w:pPr>
              <w:spacing w:after="0"/>
              <w:rPr>
                <w:sz w:val="22"/>
                <w:szCs w:val="22"/>
                <w:color w:val="auto"/>
              </w:rPr>
            </w:pPr>
          </w:p>
        </w:tc>
        <w:tc>
          <w:tcPr>
            <w:tcW w:w="320" w:type="dxa"/>
            <w:vAlign w:val="bottom"/>
            <w:tcBorders>
              <w:bottom w:val="single" w:sz="8" w:color="DCE2EF"/>
            </w:tcBorders>
            <w:shd w:val="clear" w:color="auto" w:fill="DCE2EF"/>
          </w:tcPr>
          <w:p>
            <w:pPr>
              <w:spacing w:after="0"/>
              <w:rPr>
                <w:sz w:val="22"/>
                <w:szCs w:val="22"/>
                <w:color w:val="auto"/>
              </w:rPr>
            </w:pPr>
          </w:p>
        </w:tc>
        <w:tc>
          <w:tcPr>
            <w:tcW w:w="10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(189.0)</w:t>
            </w:r>
          </w:p>
        </w:tc>
        <w:tc>
          <w:tcPr>
            <w:tcW w:w="10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9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20.2</w:t>
            </w:r>
          </w:p>
        </w:tc>
        <w:tc>
          <w:tcPr>
            <w:tcW w:w="14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8"/>
        </w:trPr>
        <w:tc>
          <w:tcPr>
            <w:tcW w:w="5420" w:type="dxa"/>
            <w:vAlign w:val="bottom"/>
            <w:gridSpan w:val="3"/>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38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30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1460" w:type="dxa"/>
            <w:vAlign w:val="bottom"/>
          </w:tcPr>
          <w:p>
            <w:pPr>
              <w:jc w:val="center"/>
              <w:ind w:left="3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26"/>
        </w:trPr>
        <w:tc>
          <w:tcPr>
            <w:tcW w:w="40" w:type="dxa"/>
            <w:vAlign w:val="bottom"/>
            <w:shd w:val="clear" w:color="auto" w:fill="DCE2EF"/>
          </w:tcPr>
          <w:p>
            <w:pPr>
              <w:spacing w:after="0"/>
              <w:rPr>
                <w:sz w:val="19"/>
                <w:szCs w:val="19"/>
                <w:color w:val="auto"/>
              </w:rPr>
            </w:pPr>
          </w:p>
        </w:tc>
        <w:tc>
          <w:tcPr>
            <w:tcW w:w="5380" w:type="dxa"/>
            <w:vAlign w:val="bottom"/>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Adjustment for tax deductions for energy efficient government buildings,</w:t>
            </w:r>
          </w:p>
        </w:tc>
        <w:tc>
          <w:tcPr>
            <w:tcW w:w="30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DCE2EF"/>
            </w:tcBorders>
            <w:shd w:val="clear" w:color="auto" w:fill="DCE2EF"/>
          </w:tcPr>
          <w:p>
            <w:pPr>
              <w:spacing w:after="0"/>
              <w:rPr>
                <w:sz w:val="18"/>
                <w:szCs w:val="18"/>
                <w:color w:val="auto"/>
              </w:rPr>
            </w:pPr>
          </w:p>
        </w:tc>
        <w:tc>
          <w:tcPr>
            <w:tcW w:w="5380" w:type="dxa"/>
            <w:vAlign w:val="bottom"/>
            <w:tcBorders>
              <w:bottom w:val="single" w:sz="8" w:color="DCE2EF"/>
            </w:tcBorders>
            <w:gridSpan w:val="2"/>
            <w:shd w:val="clear" w:color="auto" w:fill="DCE2EF"/>
          </w:tcPr>
          <w:p>
            <w:pPr>
              <w:ind w:left="160"/>
              <w:spacing w:after="0"/>
              <w:rPr>
                <w:sz w:val="20"/>
                <w:szCs w:val="20"/>
                <w:color w:val="auto"/>
              </w:rPr>
            </w:pPr>
            <w:r>
              <w:rPr>
                <w:rFonts w:ascii="Arial" w:cs="Arial" w:eastAsia="Arial" w:hAnsi="Arial"/>
                <w:sz w:val="16"/>
                <w:szCs w:val="16"/>
                <w:color w:val="auto"/>
                <w:shd w:val="clear" w:color="auto" w:fill="DCE2EF"/>
              </w:rPr>
              <w:t>included in Technical Solutions</w:t>
            </w:r>
          </w:p>
        </w:tc>
        <w:tc>
          <w:tcPr>
            <w:tcW w:w="300" w:type="dxa"/>
            <w:vAlign w:val="bottom"/>
            <w:tcBorders>
              <w:bottom w:val="single" w:sz="8" w:color="DCE2EF"/>
            </w:tcBorders>
            <w:shd w:val="clear" w:color="auto" w:fill="DCE2EF"/>
          </w:tcPr>
          <w:p>
            <w:pPr>
              <w:spacing w:after="0"/>
              <w:rPr>
                <w:sz w:val="18"/>
                <w:szCs w:val="18"/>
                <w:color w:val="auto"/>
              </w:rPr>
            </w:pPr>
          </w:p>
        </w:tc>
        <w:tc>
          <w:tcPr>
            <w:tcW w:w="10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DCE2EF"/>
            </w:tcBorders>
            <w:shd w:val="clear" w:color="auto" w:fill="DCE2EF"/>
          </w:tcPr>
          <w:p>
            <w:pPr>
              <w:spacing w:after="0"/>
              <w:rPr>
                <w:sz w:val="18"/>
                <w:szCs w:val="18"/>
                <w:color w:val="auto"/>
              </w:rPr>
            </w:pPr>
          </w:p>
        </w:tc>
        <w:tc>
          <w:tcPr>
            <w:tcW w:w="320" w:type="dxa"/>
            <w:vAlign w:val="bottom"/>
            <w:tcBorders>
              <w:bottom w:val="single" w:sz="8" w:color="DCE2EF"/>
            </w:tcBorders>
            <w:shd w:val="clear" w:color="auto" w:fill="DCE2EF"/>
          </w:tcPr>
          <w:p>
            <w:pPr>
              <w:spacing w:after="0"/>
              <w:rPr>
                <w:sz w:val="18"/>
                <w:szCs w:val="18"/>
                <w:color w:val="auto"/>
              </w:rPr>
            </w:pPr>
          </w:p>
        </w:tc>
        <w:tc>
          <w:tcPr>
            <w:tcW w:w="108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DCE2EF"/>
            </w:tcBorders>
            <w:shd w:val="clear" w:color="auto" w:fill="DCE2EF"/>
          </w:tcPr>
          <w:p>
            <w:pPr>
              <w:spacing w:after="0"/>
              <w:rPr>
                <w:sz w:val="18"/>
                <w:szCs w:val="18"/>
                <w:color w:val="auto"/>
              </w:rPr>
            </w:pPr>
          </w:p>
        </w:tc>
        <w:tc>
          <w:tcPr>
            <w:tcW w:w="360" w:type="dxa"/>
            <w:vAlign w:val="bottom"/>
            <w:tcBorders>
              <w:bottom w:val="single" w:sz="8" w:color="DCE2EF"/>
            </w:tcBorders>
            <w:shd w:val="clear" w:color="auto" w:fill="DCE2EF"/>
          </w:tcPr>
          <w:p>
            <w:pPr>
              <w:spacing w:after="0"/>
              <w:rPr>
                <w:sz w:val="18"/>
                <w:szCs w:val="18"/>
                <w:color w:val="auto"/>
              </w:rPr>
            </w:pPr>
          </w:p>
        </w:tc>
        <w:tc>
          <w:tcPr>
            <w:tcW w:w="9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4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w w:val="99"/>
              </w:rPr>
              <w:t>(48.1)%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36.7</w:t>
            </w:r>
          </w:p>
        </w:tc>
        <w:tc>
          <w:tcPr>
            <w:tcW w:w="1460" w:type="dxa"/>
            <w:vAlign w:val="bottom"/>
          </w:tcPr>
          <w:p>
            <w:pPr>
              <w:jc w:val="center"/>
              <w:ind w:left="3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Not meaningful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2,917.6</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2,629.1</w:t>
            </w:r>
          </w:p>
        </w:tc>
        <w:tc>
          <w:tcPr>
            <w:tcW w:w="100" w:type="dxa"/>
            <w:vAlign w:val="bottom"/>
            <w:tcBorders>
              <w:bottom w:val="single" w:sz="8" w:color="DCE2EF"/>
            </w:tcBorders>
            <w:shd w:val="clear" w:color="auto" w:fill="DCE2EF"/>
          </w:tcPr>
          <w:p>
            <w:pPr>
              <w:spacing w:after="0"/>
              <w:rPr>
                <w:sz w:val="21"/>
                <w:szCs w:val="21"/>
                <w:color w:val="auto"/>
              </w:rPr>
            </w:pPr>
          </w:p>
        </w:tc>
        <w:tc>
          <w:tcPr>
            <w:tcW w:w="640" w:type="dxa"/>
            <w:vAlign w:val="bottom"/>
            <w:tcBorders>
              <w:bottom w:val="single" w:sz="8" w:color="DCE2EF"/>
            </w:tcBorders>
            <w:shd w:val="clear" w:color="auto" w:fill="DCE2EF"/>
          </w:tcPr>
          <w:p>
            <w:pPr>
              <w:jc w:val="right"/>
              <w:ind w:right="4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DCE2EF"/>
            </w:tcBorders>
            <w:shd w:val="clear" w:color="auto" w:fill="DCE2EF"/>
          </w:tcPr>
          <w:p>
            <w:pPr>
              <w:jc w:val="right"/>
              <w:ind w:right="594"/>
              <w:spacing w:after="0"/>
              <w:rPr>
                <w:sz w:val="20"/>
                <w:szCs w:val="20"/>
                <w:color w:val="auto"/>
              </w:rPr>
            </w:pPr>
            <w:r>
              <w:rPr>
                <w:rFonts w:ascii="Arial" w:cs="Arial" w:eastAsia="Arial" w:hAnsi="Arial"/>
                <w:sz w:val="18"/>
                <w:szCs w:val="18"/>
                <w:color w:val="auto"/>
              </w:rPr>
              <w:t>288.5</w:t>
            </w:r>
          </w:p>
        </w:tc>
        <w:tc>
          <w:tcPr>
            <w:tcW w:w="1240" w:type="dxa"/>
            <w:vAlign w:val="bottom"/>
            <w:tcBorders>
              <w:bottom w:val="single" w:sz="8" w:color="DCE2EF"/>
            </w:tcBorders>
            <w:shd w:val="clear" w:color="auto" w:fill="DCE2EF"/>
          </w:tcPr>
          <w:p>
            <w:pPr>
              <w:jc w:val="right"/>
              <w:ind w:right="510"/>
              <w:spacing w:after="0"/>
              <w:rPr>
                <w:sz w:val="20"/>
                <w:szCs w:val="20"/>
                <w:color w:val="auto"/>
              </w:rPr>
            </w:pPr>
            <w:r>
              <w:rPr>
                <w:rFonts w:ascii="Arial" w:cs="Arial" w:eastAsia="Arial" w:hAnsi="Arial"/>
                <w:sz w:val="18"/>
                <w:szCs w:val="18"/>
                <w:color w:val="auto"/>
              </w:rPr>
              <w:t>11.0%</w:t>
            </w:r>
          </w:p>
        </w:tc>
      </w:tr>
      <w:tr>
        <w:trPr>
          <w:trHeight w:val="270"/>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19.0</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14.0%</w:t>
            </w:r>
          </w:p>
        </w:tc>
      </w:tr>
      <w:tr>
        <w:trPr>
          <w:trHeight w:val="243"/>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5.3%</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5.2%</w:t>
            </w:r>
          </w:p>
        </w:tc>
        <w:tc>
          <w:tcPr>
            <w:tcW w:w="100" w:type="dxa"/>
            <w:vAlign w:val="bottom"/>
            <w:shd w:val="clear" w:color="auto" w:fill="DCE2EF"/>
          </w:tcPr>
          <w:p>
            <w:pPr>
              <w:spacing w:after="0"/>
              <w:rPr>
                <w:sz w:val="21"/>
                <w:szCs w:val="21"/>
                <w:color w:val="auto"/>
              </w:rPr>
            </w:pPr>
          </w:p>
        </w:tc>
        <w:tc>
          <w:tcPr>
            <w:tcW w:w="640" w:type="dxa"/>
            <w:vAlign w:val="bottom"/>
            <w:shd w:val="clear" w:color="auto" w:fill="DCE2EF"/>
          </w:tcPr>
          <w:p>
            <w:pPr>
              <w:spacing w:after="0"/>
              <w:rPr>
                <w:sz w:val="21"/>
                <w:szCs w:val="21"/>
                <w:color w:val="auto"/>
              </w:rPr>
            </w:pPr>
          </w:p>
        </w:tc>
        <w:tc>
          <w:tcPr>
            <w:tcW w:w="164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14 bps</w:t>
            </w:r>
          </w:p>
        </w:tc>
        <w:tc>
          <w:tcPr>
            <w:tcW w:w="124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40" w:type="dxa"/>
            <w:vAlign w:val="bottom"/>
            <w:shd w:val="clear" w:color="auto" w:fill="DCE2EF"/>
          </w:tcPr>
          <w:p>
            <w:pPr>
              <w:spacing w:after="0"/>
              <w:rPr>
                <w:sz w:val="2"/>
                <w:szCs w:val="2"/>
                <w:color w:val="auto"/>
              </w:rPr>
            </w:pPr>
          </w:p>
        </w:tc>
        <w:tc>
          <w:tcPr>
            <w:tcW w:w="1640" w:type="dxa"/>
            <w:vAlign w:val="bottom"/>
            <w:shd w:val="clear" w:color="auto" w:fill="DCE2EF"/>
          </w:tcPr>
          <w:p>
            <w:pPr>
              <w:spacing w:after="0"/>
              <w:rPr>
                <w:sz w:val="2"/>
                <w:szCs w:val="2"/>
                <w:color w:val="auto"/>
              </w:rPr>
            </w:pPr>
          </w:p>
        </w:tc>
        <w:tc>
          <w:tcPr>
            <w:tcW w:w="1240" w:type="dxa"/>
            <w:vAlign w:val="bottom"/>
            <w:shd w:val="clear" w:color="auto" w:fill="DCE2EF"/>
          </w:tcPr>
          <w:p>
            <w:pPr>
              <w:spacing w:after="0"/>
              <w:rPr>
                <w:sz w:val="2"/>
                <w:szCs w:val="2"/>
                <w:color w:val="auto"/>
              </w:rPr>
            </w:pPr>
          </w:p>
        </w:tc>
      </w:tr>
    </w:tbl>
    <w:p>
      <w:pPr>
        <w:spacing w:after="0" w:line="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2018 and 2017 include $7.5 million and $1.3 million, respectively, of amortization expense related to the GCA acquisition.</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B&amp;I revenues increased by $288.5 million, or 11.0%, during 2018, as compared to 2017. The increase was primarily attributable to incremental revenues of $143.0 million from the GCA acquisition and to organic net new business, primarily new contract wins in the United Kingdom, as well as targeted expansion of key clients within the United States. Management reimbursement revenues for this segment totaled $257.1 million and $234.1 million during 2018 and 2017, respectively.</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$19.0 million, or 14.0%, during 2018, as compared to 2017. Operating profit margin increased by 14 bps to 5.3% in 2018 from 5.2% in 2017. Operating profit margin was positively impacted by the management of selling, general and administrative expenses and higher margins on certain accounts. The improvement was partially offset by lower margins on certain accounts and an increase in amortization expense related to the GCA acquisition. While labor challenges are present in certain areas of our B&amp;I business, it is our most mature business and has the highest proportion of unionized labor.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1,023.8</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990.4</w:t>
            </w:r>
          </w:p>
        </w:tc>
        <w:tc>
          <w:tcPr>
            <w:tcW w:w="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DCE2EF"/>
            </w:tcBorders>
            <w:shd w:val="clear" w:color="auto" w:fill="DCE2EF"/>
          </w:tcPr>
          <w:p>
            <w:pPr>
              <w:jc w:val="right"/>
              <w:ind w:right="354"/>
              <w:spacing w:after="0"/>
              <w:rPr>
                <w:sz w:val="20"/>
                <w:szCs w:val="20"/>
                <w:color w:val="auto"/>
              </w:rPr>
            </w:pPr>
            <w:r>
              <w:rPr>
                <w:rFonts w:ascii="Arial" w:cs="Arial" w:eastAsia="Arial" w:hAnsi="Arial"/>
                <w:sz w:val="18"/>
                <w:szCs w:val="18"/>
                <w:color w:val="auto"/>
              </w:rPr>
              <w:t>33.4</w:t>
            </w:r>
          </w:p>
        </w:tc>
        <w:tc>
          <w:tcPr>
            <w:tcW w:w="148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3.4%</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ind w:right="294"/>
              <w:spacing w:after="0"/>
              <w:rPr>
                <w:sz w:val="20"/>
                <w:szCs w:val="20"/>
                <w:color w:val="auto"/>
              </w:rPr>
            </w:pPr>
            <w:r>
              <w:rPr>
                <w:rFonts w:ascii="Arial" w:cs="Arial" w:eastAsia="Arial" w:hAnsi="Arial"/>
                <w:sz w:val="18"/>
                <w:szCs w:val="18"/>
                <w:color w:val="auto"/>
              </w:rPr>
              <w:t>(2.1)</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(8.5)%</w:t>
            </w:r>
          </w:p>
        </w:tc>
      </w:tr>
      <w:tr>
        <w:trPr>
          <w:trHeight w:val="250"/>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2.3%</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2.6%</w:t>
            </w:r>
          </w:p>
        </w:tc>
        <w:tc>
          <w:tcPr>
            <w:tcW w:w="100" w:type="dxa"/>
            <w:vAlign w:val="bottom"/>
            <w:shd w:val="clear" w:color="auto" w:fill="DCE2EF"/>
          </w:tcPr>
          <w:p>
            <w:pPr>
              <w:spacing w:after="0"/>
              <w:rPr>
                <w:sz w:val="21"/>
                <w:szCs w:val="21"/>
                <w:color w:val="auto"/>
              </w:rPr>
            </w:pPr>
          </w:p>
        </w:tc>
        <w:tc>
          <w:tcPr>
            <w:tcW w:w="500" w:type="dxa"/>
            <w:vAlign w:val="bottom"/>
            <w:shd w:val="clear" w:color="auto" w:fill="DCE2EF"/>
          </w:tcPr>
          <w:p>
            <w:pPr>
              <w:spacing w:after="0"/>
              <w:rPr>
                <w:sz w:val="21"/>
                <w:szCs w:val="21"/>
                <w:color w:val="auto"/>
              </w:rPr>
            </w:pPr>
          </w:p>
        </w:tc>
        <w:tc>
          <w:tcPr>
            <w:tcW w:w="154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(29) bps</w:t>
            </w:r>
          </w:p>
        </w:tc>
        <w:tc>
          <w:tcPr>
            <w:tcW w:w="148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40" w:type="dxa"/>
            <w:vAlign w:val="bottom"/>
            <w:shd w:val="clear" w:color="auto" w:fill="DCE2EF"/>
          </w:tcPr>
          <w:p>
            <w:pPr>
              <w:spacing w:after="0"/>
              <w:rPr>
                <w:sz w:val="2"/>
                <w:szCs w:val="2"/>
                <w:color w:val="auto"/>
              </w:rPr>
            </w:pPr>
          </w:p>
        </w:tc>
        <w:tc>
          <w:tcPr>
            <w:tcW w:w="148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Aviation revenues increased by $33.4 million, or 3.4%, during 2018, as compared to 2017. The increase was primarily attributable to higher management reimbursement revenue and organic growth in catering logistics, cabin cleaning, and transportation services, as well as incremental revenues of $14.5 million from the GCA acquisition. This increase was partially offset by the loss of certain passenger services, facility services, and janitorial accounts. Management reimbursement revenues for this segment totaled $99.9 million and $80.4 million during 2018 and 2017, respectively.</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$2.1 million, or 8.5%, during 2018, as compared to 2017. Operating profit margin decreased by 29 bps to 2.3% in 2018 from 2.6% in 2017. This decrease in operating profit margin was primarily attributable to lower margins and operational pressures on certain accounts and a provision for the settlement of a union wage and benefits audit. This decrease was partially offset by the termination of an unprofitable contract in the third quarter of 2017.</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1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8"/>
                <w:szCs w:val="18"/>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924.5</w:t>
            </w:r>
          </w:p>
        </w:tc>
        <w:tc>
          <w:tcPr>
            <w:tcW w:w="10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697.4</w:t>
            </w:r>
          </w:p>
        </w:tc>
        <w:tc>
          <w:tcPr>
            <w:tcW w:w="100" w:type="dxa"/>
            <w:vAlign w:val="bottom"/>
            <w:tcBorders>
              <w:bottom w:val="single" w:sz="8" w:color="DCE2EF"/>
            </w:tcBorders>
            <w:shd w:val="clear" w:color="auto" w:fill="DCE2EF"/>
          </w:tcPr>
          <w:p>
            <w:pPr>
              <w:spacing w:after="0"/>
              <w:rPr>
                <w:sz w:val="21"/>
                <w:szCs w:val="21"/>
                <w:color w:val="auto"/>
              </w:rPr>
            </w:pPr>
          </w:p>
        </w:tc>
        <w:tc>
          <w:tcPr>
            <w:tcW w:w="640" w:type="dxa"/>
            <w:vAlign w:val="bottom"/>
            <w:tcBorders>
              <w:bottom w:val="single" w:sz="8" w:color="DCE2EF"/>
            </w:tcBorders>
            <w:shd w:val="clear" w:color="auto" w:fill="DCE2EF"/>
          </w:tcPr>
          <w:p>
            <w:pPr>
              <w:jc w:val="right"/>
              <w:ind w:right="4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DCE2EF"/>
            </w:tcBorders>
            <w:shd w:val="clear" w:color="auto" w:fill="DCE2EF"/>
          </w:tcPr>
          <w:p>
            <w:pPr>
              <w:jc w:val="right"/>
              <w:ind w:right="594"/>
              <w:spacing w:after="0"/>
              <w:rPr>
                <w:sz w:val="20"/>
                <w:szCs w:val="20"/>
                <w:color w:val="auto"/>
              </w:rPr>
            </w:pPr>
            <w:r>
              <w:rPr>
                <w:rFonts w:ascii="Arial" w:cs="Arial" w:eastAsia="Arial" w:hAnsi="Arial"/>
                <w:sz w:val="18"/>
                <w:szCs w:val="18"/>
                <w:color w:val="auto"/>
              </w:rPr>
              <w:t>227.1</w:t>
            </w:r>
          </w:p>
        </w:tc>
        <w:tc>
          <w:tcPr>
            <w:tcW w:w="1240" w:type="dxa"/>
            <w:vAlign w:val="bottom"/>
            <w:tcBorders>
              <w:bottom w:val="single" w:sz="8" w:color="DCE2EF"/>
            </w:tcBorders>
            <w:shd w:val="clear" w:color="auto" w:fill="DCE2EF"/>
          </w:tcPr>
          <w:p>
            <w:pPr>
              <w:jc w:val="right"/>
              <w:ind w:right="510"/>
              <w:spacing w:after="0"/>
              <w:rPr>
                <w:sz w:val="20"/>
                <w:szCs w:val="20"/>
                <w:color w:val="auto"/>
              </w:rPr>
            </w:pPr>
            <w:r>
              <w:rPr>
                <w:rFonts w:ascii="Arial" w:cs="Arial" w:eastAsia="Arial" w:hAnsi="Arial"/>
                <w:sz w:val="18"/>
                <w:szCs w:val="18"/>
                <w:color w:val="auto"/>
              </w:rPr>
              <w:t>32.6%</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19.6</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40.8%</w:t>
            </w:r>
          </w:p>
        </w:tc>
      </w:tr>
      <w:tr>
        <w:trPr>
          <w:trHeight w:val="243"/>
        </w:trPr>
        <w:tc>
          <w:tcPr>
            <w:tcW w:w="40" w:type="dxa"/>
            <w:vAlign w:val="bottom"/>
            <w:shd w:val="clear" w:color="auto" w:fill="DCE2EF"/>
          </w:tcPr>
          <w:p>
            <w:pPr>
              <w:spacing w:after="0"/>
              <w:rPr>
                <w:sz w:val="21"/>
                <w:szCs w:val="21"/>
                <w:color w:val="auto"/>
              </w:rPr>
            </w:pPr>
          </w:p>
        </w:tc>
        <w:tc>
          <w:tcPr>
            <w:tcW w:w="414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6.9%</w:t>
            </w:r>
          </w:p>
        </w:tc>
        <w:tc>
          <w:tcPr>
            <w:tcW w:w="100" w:type="dxa"/>
            <w:vAlign w:val="bottom"/>
            <w:shd w:val="clear" w:color="auto" w:fill="DCE2EF"/>
          </w:tcPr>
          <w:p>
            <w:pPr>
              <w:spacing w:after="0"/>
              <w:rPr>
                <w:sz w:val="21"/>
                <w:szCs w:val="21"/>
                <w:color w:val="auto"/>
              </w:rPr>
            </w:pPr>
          </w:p>
        </w:tc>
        <w:tc>
          <w:tcPr>
            <w:tcW w:w="640" w:type="dxa"/>
            <w:vAlign w:val="bottom"/>
            <w:shd w:val="clear" w:color="auto" w:fill="DCE2EF"/>
          </w:tcPr>
          <w:p>
            <w:pPr>
              <w:spacing w:after="0"/>
              <w:rPr>
                <w:sz w:val="21"/>
                <w:szCs w:val="21"/>
                <w:color w:val="auto"/>
              </w:rPr>
            </w:pPr>
          </w:p>
        </w:tc>
        <w:tc>
          <w:tcPr>
            <w:tcW w:w="164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43 bps</w:t>
            </w:r>
          </w:p>
        </w:tc>
        <w:tc>
          <w:tcPr>
            <w:tcW w:w="124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40" w:type="dxa"/>
            <w:vAlign w:val="bottom"/>
            <w:shd w:val="clear" w:color="auto" w:fill="DCE2EF"/>
          </w:tcPr>
          <w:p>
            <w:pPr>
              <w:spacing w:after="0"/>
              <w:rPr>
                <w:sz w:val="2"/>
                <w:szCs w:val="2"/>
                <w:color w:val="auto"/>
              </w:rPr>
            </w:pPr>
          </w:p>
        </w:tc>
        <w:tc>
          <w:tcPr>
            <w:tcW w:w="1640" w:type="dxa"/>
            <w:vAlign w:val="bottom"/>
            <w:shd w:val="clear" w:color="auto" w:fill="DCE2EF"/>
          </w:tcPr>
          <w:p>
            <w:pPr>
              <w:spacing w:after="0"/>
              <w:rPr>
                <w:sz w:val="2"/>
                <w:szCs w:val="2"/>
                <w:color w:val="auto"/>
              </w:rPr>
            </w:pPr>
          </w:p>
        </w:tc>
        <w:tc>
          <w:tcPr>
            <w:tcW w:w="1240" w:type="dxa"/>
            <w:vAlign w:val="bottom"/>
            <w:shd w:val="clear" w:color="auto" w:fill="DCE2EF"/>
          </w:tcPr>
          <w:p>
            <w:pPr>
              <w:spacing w:after="0"/>
              <w:rPr>
                <w:sz w:val="2"/>
                <w:szCs w:val="2"/>
                <w:color w:val="auto"/>
              </w:rPr>
            </w:pPr>
          </w:p>
        </w:tc>
      </w:tr>
    </w:tbl>
    <w:p>
      <w:pPr>
        <w:spacing w:after="0" w:line="9"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2018 and 2017 include $10.6 million and $1.9 million, respectively, of amortization expense related to the GCA acquisition.</w:t>
      </w:r>
    </w:p>
    <w:p>
      <w:pPr>
        <w:spacing w:after="0" w:line="154"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T&amp;M revenues increased by $227.1 million, or 32.6%, during 2018, as compared to 2017. The increase was primarily attributable to incremental revenues from the GCA acquisition of $198.1 million, expansion of existing accounts, and net new business.</w:t>
      </w:r>
    </w:p>
    <w:p>
      <w:pPr>
        <w:spacing w:after="0" w:line="14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Operating profit increased by $19.6 million, or 40.8%, during 2018, as compared to 2017. Operating profit margin increased by 43 bps to 7.3% in 2018 from 6.9% in 2017. Operating profit margin was positively impacted by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7" w:right="239" w:bottom="1440" w:gutter="0" w:footer="0" w:header="0"/>
        </w:sectPr>
      </w:pPr>
    </w:p>
    <w:bookmarkStart w:id="32" w:name="page33"/>
    <w:bookmarkEnd w:id="32"/>
    <w:p>
      <w:pPr>
        <w:spacing w:after="0" w:line="262" w:lineRule="auto"/>
        <w:rPr>
          <w:sz w:val="20"/>
          <w:szCs w:val="20"/>
          <w:color w:val="auto"/>
        </w:rPr>
      </w:pPr>
      <w:r>
        <w:rPr>
          <w:rFonts w:ascii="Arial" w:cs="Arial" w:eastAsia="Arial" w:hAnsi="Arial"/>
          <w:sz w:val="18"/>
          <w:szCs w:val="18"/>
          <w:color w:val="auto"/>
        </w:rPr>
        <w:t>certain higher margin acquired contracts, partially offset by higher amortization expense related to the GCA acquisition and an increase in wages and related personnel costs in certain markets.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1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1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28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28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837.5</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363.1</w:t>
            </w:r>
          </w:p>
        </w:tc>
        <w:tc>
          <w:tcPr>
            <w:tcW w:w="120" w:type="dxa"/>
            <w:vAlign w:val="bottom"/>
            <w:tcBorders>
              <w:bottom w:val="single" w:sz="8" w:color="DCE2EF"/>
            </w:tcBorders>
            <w:shd w:val="clear" w:color="auto" w:fill="DCE2EF"/>
          </w:tcPr>
          <w:p>
            <w:pPr>
              <w:spacing w:after="0"/>
              <w:rPr>
                <w:sz w:val="21"/>
                <w:szCs w:val="21"/>
                <w:color w:val="auto"/>
              </w:rPr>
            </w:pPr>
          </w:p>
        </w:tc>
        <w:tc>
          <w:tcPr>
            <w:tcW w:w="640" w:type="dxa"/>
            <w:vAlign w:val="bottom"/>
            <w:tcBorders>
              <w:bottom w:val="single" w:sz="8" w:color="DCE2EF"/>
            </w:tcBorders>
            <w:shd w:val="clear" w:color="auto" w:fill="DCE2EF"/>
          </w:tcPr>
          <w:p>
            <w:pPr>
              <w:jc w:val="right"/>
              <w:ind w:right="4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DCE2EF"/>
            </w:tcBorders>
            <w:shd w:val="clear" w:color="auto" w:fill="DCE2EF"/>
          </w:tcPr>
          <w:p>
            <w:pPr>
              <w:jc w:val="right"/>
              <w:ind w:right="634"/>
              <w:spacing w:after="0"/>
              <w:rPr>
                <w:sz w:val="20"/>
                <w:szCs w:val="20"/>
                <w:color w:val="auto"/>
              </w:rPr>
            </w:pPr>
            <w:r>
              <w:rPr>
                <w:rFonts w:ascii="Arial" w:cs="Arial" w:eastAsia="Arial" w:hAnsi="Arial"/>
                <w:sz w:val="18"/>
                <w:szCs w:val="18"/>
                <w:color w:val="auto"/>
              </w:rPr>
              <w:t>474.4</w:t>
            </w:r>
          </w:p>
        </w:tc>
        <w:tc>
          <w:tcPr>
            <w:tcW w:w="1200" w:type="dxa"/>
            <w:vAlign w:val="bottom"/>
            <w:tcBorders>
              <w:bottom w:val="single" w:sz="8" w:color="DCE2EF"/>
            </w:tcBorders>
            <w:shd w:val="clear" w:color="auto" w:fill="DCE2EF"/>
          </w:tcPr>
          <w:p>
            <w:pPr>
              <w:ind w:left="180"/>
              <w:spacing w:after="0"/>
              <w:rPr>
                <w:sz w:val="20"/>
                <w:szCs w:val="20"/>
                <w:color w:val="auto"/>
              </w:rPr>
            </w:pPr>
            <w:r>
              <w:rPr>
                <w:rFonts w:ascii="Arial" w:cs="Arial" w:eastAsia="Arial" w:hAnsi="Arial"/>
                <w:sz w:val="18"/>
                <w:szCs w:val="18"/>
                <w:color w:val="auto"/>
              </w:rPr>
              <w:t>NM*</w:t>
            </w:r>
          </w:p>
        </w:tc>
      </w:tr>
      <w:tr>
        <w:trPr>
          <w:trHeight w:val="270"/>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60" w:type="dxa"/>
            <w:vAlign w:val="bottom"/>
          </w:tcPr>
          <w:p>
            <w:pPr>
              <w:jc w:val="right"/>
              <w:ind w:right="634"/>
              <w:spacing w:after="0"/>
              <w:rPr>
                <w:sz w:val="20"/>
                <w:szCs w:val="20"/>
                <w:color w:val="auto"/>
              </w:rPr>
            </w:pPr>
            <w:r>
              <w:rPr>
                <w:rFonts w:ascii="Arial" w:cs="Arial" w:eastAsia="Arial" w:hAnsi="Arial"/>
                <w:sz w:val="18"/>
                <w:szCs w:val="18"/>
                <w:color w:val="auto"/>
              </w:rPr>
              <w:t>25.8</w:t>
            </w:r>
          </w:p>
        </w:tc>
        <w:tc>
          <w:tcPr>
            <w:tcW w:w="1200" w:type="dxa"/>
            <w:vAlign w:val="bottom"/>
          </w:tcPr>
          <w:p>
            <w:pPr>
              <w:ind w:left="180"/>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shd w:val="clear" w:color="auto" w:fill="DCE2EF"/>
          </w:tcPr>
          <w:p>
            <w:pPr>
              <w:spacing w:after="0"/>
              <w:rPr>
                <w:sz w:val="21"/>
                <w:szCs w:val="21"/>
                <w:color w:val="auto"/>
              </w:rPr>
            </w:pPr>
          </w:p>
        </w:tc>
        <w:tc>
          <w:tcPr>
            <w:tcW w:w="410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5.2%</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5.0%</w:t>
            </w:r>
          </w:p>
        </w:tc>
        <w:tc>
          <w:tcPr>
            <w:tcW w:w="120" w:type="dxa"/>
            <w:vAlign w:val="bottom"/>
            <w:shd w:val="clear" w:color="auto" w:fill="DCE2EF"/>
          </w:tcPr>
          <w:p>
            <w:pPr>
              <w:spacing w:after="0"/>
              <w:rPr>
                <w:sz w:val="21"/>
                <w:szCs w:val="21"/>
                <w:color w:val="auto"/>
              </w:rPr>
            </w:pPr>
          </w:p>
        </w:tc>
        <w:tc>
          <w:tcPr>
            <w:tcW w:w="640" w:type="dxa"/>
            <w:vAlign w:val="bottom"/>
            <w:shd w:val="clear" w:color="auto" w:fill="DCE2EF"/>
          </w:tcPr>
          <w:p>
            <w:pPr>
              <w:spacing w:after="0"/>
              <w:rPr>
                <w:sz w:val="21"/>
                <w:szCs w:val="21"/>
                <w:color w:val="auto"/>
              </w:rPr>
            </w:pPr>
          </w:p>
        </w:tc>
        <w:tc>
          <w:tcPr>
            <w:tcW w:w="1660" w:type="dxa"/>
            <w:vAlign w:val="bottom"/>
            <w:shd w:val="clear" w:color="auto" w:fill="DCE2EF"/>
          </w:tcPr>
          <w:p>
            <w:pPr>
              <w:jc w:val="right"/>
              <w:ind w:right="634"/>
              <w:spacing w:after="0"/>
              <w:rPr>
                <w:sz w:val="20"/>
                <w:szCs w:val="20"/>
                <w:color w:val="auto"/>
              </w:rPr>
            </w:pPr>
            <w:r>
              <w:rPr>
                <w:rFonts w:ascii="Arial" w:cs="Arial" w:eastAsia="Arial" w:hAnsi="Arial"/>
                <w:sz w:val="14"/>
                <w:szCs w:val="14"/>
                <w:i w:val="1"/>
                <w:iCs w:val="1"/>
                <w:color w:val="auto"/>
              </w:rPr>
              <w:t>27 bps</w:t>
            </w:r>
          </w:p>
        </w:tc>
        <w:tc>
          <w:tcPr>
            <w:tcW w:w="120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28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640" w:type="dxa"/>
            <w:vAlign w:val="bottom"/>
            <w:shd w:val="clear" w:color="auto" w:fill="DCE2EF"/>
          </w:tcPr>
          <w:p>
            <w:pPr>
              <w:spacing w:after="0"/>
              <w:rPr>
                <w:sz w:val="2"/>
                <w:szCs w:val="2"/>
                <w:color w:val="auto"/>
              </w:rPr>
            </w:pPr>
          </w:p>
        </w:tc>
        <w:tc>
          <w:tcPr>
            <w:tcW w:w="1660" w:type="dxa"/>
            <w:vAlign w:val="bottom"/>
            <w:shd w:val="clear" w:color="auto" w:fill="DCE2EF"/>
          </w:tcPr>
          <w:p>
            <w:pPr>
              <w:spacing w:after="0"/>
              <w:rPr>
                <w:sz w:val="2"/>
                <w:szCs w:val="2"/>
                <w:color w:val="auto"/>
              </w:rPr>
            </w:pPr>
          </w:p>
        </w:tc>
        <w:tc>
          <w:tcPr>
            <w:tcW w:w="1200" w:type="dxa"/>
            <w:vAlign w:val="bottom"/>
            <w:shd w:val="clear" w:color="auto" w:fill="DCE2EF"/>
          </w:tcPr>
          <w:p>
            <w:pPr>
              <w:spacing w:after="0"/>
              <w:rPr>
                <w:sz w:val="2"/>
                <w:szCs w:val="2"/>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2"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2018 and 2017 include $26.1 million and $4.6 million, respectively, of amortization expense related to the GCA acquisition.</w:t>
      </w:r>
    </w:p>
    <w:p>
      <w:pPr>
        <w:spacing w:after="0" w:line="15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Education revenues increased by $474.4 million during 2018, as compared to 2017. The increase was primarily attributable to incremental revenues from the GCA acquisition of $475.5 million.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$25.8 million during 2018, as compared to 2017. Operating profit margin increased by 27 bps to 5.2% in 2018 from 5.0% in 2017. The increase in operating profit margin was primarily due to certain higher margin contracts and the reversal of certain reserves, partially offset by higher amortization expense related to the GCA acquisition and an increase in wages and related personnel costs in certain markets.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Technical Solutions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DCE2EF"/>
            </w:tcBorders>
            <w:shd w:val="clear" w:color="auto" w:fill="DCE2EF"/>
          </w:tcPr>
          <w:p>
            <w:pPr>
              <w:jc w:val="right"/>
              <w:ind w:right="314"/>
              <w:spacing w:after="0"/>
              <w:rPr>
                <w:sz w:val="20"/>
                <w:szCs w:val="20"/>
                <w:color w:val="auto"/>
              </w:rPr>
            </w:pPr>
            <w:r>
              <w:rPr>
                <w:rFonts w:ascii="Arial" w:cs="Arial" w:eastAsia="Arial" w:hAnsi="Arial"/>
                <w:sz w:val="18"/>
                <w:szCs w:val="18"/>
                <w:color w:val="auto"/>
              </w:rPr>
              <w:t>26.0</w:t>
            </w:r>
          </w:p>
        </w:tc>
        <w:tc>
          <w:tcPr>
            <w:tcW w:w="152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5.9%</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jc w:val="right"/>
              <w:ind w:right="254"/>
              <w:spacing w:after="0"/>
              <w:rPr>
                <w:sz w:val="20"/>
                <w:szCs w:val="20"/>
                <w:color w:val="auto"/>
              </w:rPr>
            </w:pPr>
            <w:r>
              <w:rPr>
                <w:rFonts w:ascii="Arial" w:cs="Arial" w:eastAsia="Arial" w:hAnsi="Arial"/>
                <w:sz w:val="18"/>
                <w:szCs w:val="18"/>
                <w:color w:val="auto"/>
              </w:rPr>
              <w:t>(21.1)</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(56.0)%</w:t>
            </w:r>
          </w:p>
        </w:tc>
      </w:tr>
      <w:tr>
        <w:trPr>
          <w:trHeight w:val="250"/>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3.6%</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8.5%</w:t>
            </w:r>
          </w:p>
        </w:tc>
        <w:tc>
          <w:tcPr>
            <w:tcW w:w="100" w:type="dxa"/>
            <w:vAlign w:val="bottom"/>
            <w:shd w:val="clear" w:color="auto" w:fill="DCE2EF"/>
          </w:tcPr>
          <w:p>
            <w:pPr>
              <w:spacing w:after="0"/>
              <w:rPr>
                <w:sz w:val="21"/>
                <w:szCs w:val="21"/>
                <w:color w:val="auto"/>
              </w:rPr>
            </w:pPr>
          </w:p>
        </w:tc>
        <w:tc>
          <w:tcPr>
            <w:tcW w:w="500" w:type="dxa"/>
            <w:vAlign w:val="bottom"/>
            <w:shd w:val="clear" w:color="auto" w:fill="DCE2EF"/>
          </w:tcPr>
          <w:p>
            <w:pPr>
              <w:spacing w:after="0"/>
              <w:rPr>
                <w:sz w:val="21"/>
                <w:szCs w:val="21"/>
                <w:color w:val="auto"/>
              </w:rPr>
            </w:pPr>
          </w:p>
        </w:tc>
        <w:tc>
          <w:tcPr>
            <w:tcW w:w="1500" w:type="dxa"/>
            <w:vAlign w:val="bottom"/>
            <w:shd w:val="clear" w:color="auto" w:fill="DCE2EF"/>
          </w:tcPr>
          <w:p>
            <w:pPr>
              <w:jc w:val="right"/>
              <w:ind w:right="314"/>
              <w:spacing w:after="0"/>
              <w:rPr>
                <w:sz w:val="20"/>
                <w:szCs w:val="20"/>
                <w:color w:val="auto"/>
              </w:rPr>
            </w:pPr>
            <w:r>
              <w:rPr>
                <w:rFonts w:ascii="Arial" w:cs="Arial" w:eastAsia="Arial" w:hAnsi="Arial"/>
                <w:sz w:val="14"/>
                <w:szCs w:val="14"/>
                <w:i w:val="1"/>
                <w:iCs w:val="1"/>
                <w:color w:val="auto"/>
              </w:rPr>
              <w:t>(499) bps</w:t>
            </w:r>
          </w:p>
        </w:tc>
        <w:tc>
          <w:tcPr>
            <w:tcW w:w="152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00" w:type="dxa"/>
            <w:vAlign w:val="bottom"/>
            <w:shd w:val="clear" w:color="auto" w:fill="DCE2EF"/>
          </w:tcPr>
          <w:p>
            <w:pPr>
              <w:spacing w:after="0"/>
              <w:rPr>
                <w:sz w:val="2"/>
                <w:szCs w:val="2"/>
                <w:color w:val="auto"/>
              </w:rPr>
            </w:pPr>
          </w:p>
        </w:tc>
        <w:tc>
          <w:tcPr>
            <w:tcW w:w="152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Technical Solutions revenues increased by $26.0 million, or 5.9%, during 2018, as compared to 2017. The increase was primarily attributable to higher bundled energy solutions project revenues in our U.S. business due to the timing of new projects.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$ 21.1 million, or 56.0%, during 2018, as compared to 2017. Operating profit margin decreased by 499 bps to 3.6% in 2018 from 8.5% in 2017. The decrease in operating profit margin was primarily attributable to impairment charges on goodwill and customer relationships related to our U.K. business totaling $26.5 million during 2018, as well as the loss of certain higher margin contracts in our U.K. business, partially offset by favorable margins on certain projects in our U.S. business and higher tax deductions for energy efficient government building projects.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Healthcare</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28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28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DCE2EF"/>
            </w:tcBorders>
            <w:shd w:val="clear" w:color="auto" w:fill="DCE2EF"/>
          </w:tcPr>
          <w:p>
            <w:pPr>
              <w:jc w:val="right"/>
              <w:ind w:right="314"/>
              <w:spacing w:after="0"/>
              <w:rPr>
                <w:sz w:val="20"/>
                <w:szCs w:val="20"/>
                <w:color w:val="auto"/>
              </w:rPr>
            </w:pPr>
            <w:r>
              <w:rPr>
                <w:rFonts w:ascii="Arial" w:cs="Arial" w:eastAsia="Arial" w:hAnsi="Arial"/>
                <w:sz w:val="18"/>
                <w:szCs w:val="18"/>
                <w:color w:val="auto"/>
              </w:rPr>
              <w:t>25.8</w:t>
            </w:r>
          </w:p>
        </w:tc>
        <w:tc>
          <w:tcPr>
            <w:tcW w:w="1500" w:type="dxa"/>
            <w:vAlign w:val="bottom"/>
            <w:tcBorders>
              <w:bottom w:val="single" w:sz="8" w:color="DCE2EF"/>
            </w:tcBorders>
            <w:shd w:val="clear" w:color="auto" w:fill="DCE2EF"/>
          </w:tcPr>
          <w:p>
            <w:pPr>
              <w:jc w:val="right"/>
              <w:ind w:right="490"/>
              <w:spacing w:after="0"/>
              <w:rPr>
                <w:sz w:val="20"/>
                <w:szCs w:val="20"/>
                <w:color w:val="auto"/>
              </w:rPr>
            </w:pPr>
            <w:r>
              <w:rPr>
                <w:rFonts w:ascii="Arial" w:cs="Arial" w:eastAsia="Arial" w:hAnsi="Arial"/>
                <w:sz w:val="18"/>
                <w:szCs w:val="18"/>
                <w:color w:val="auto"/>
              </w:rPr>
              <w:t>10.4%</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jc w:val="right"/>
              <w:ind w:right="254"/>
              <w:spacing w:after="0"/>
              <w:rPr>
                <w:sz w:val="20"/>
                <w:szCs w:val="20"/>
                <w:color w:val="auto"/>
              </w:rPr>
            </w:pPr>
            <w:r>
              <w:rPr>
                <w:rFonts w:ascii="Arial" w:cs="Arial" w:eastAsia="Arial" w:hAnsi="Arial"/>
                <w:sz w:val="18"/>
                <w:szCs w:val="18"/>
                <w:color w:val="auto"/>
              </w:rPr>
              <w:t>(1.8)</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(17.4)%</w:t>
            </w:r>
          </w:p>
        </w:tc>
      </w:tr>
      <w:tr>
        <w:trPr>
          <w:trHeight w:val="250"/>
        </w:trPr>
        <w:tc>
          <w:tcPr>
            <w:tcW w:w="40" w:type="dxa"/>
            <w:vAlign w:val="bottom"/>
            <w:shd w:val="clear" w:color="auto" w:fill="DCE2EF"/>
          </w:tcPr>
          <w:p>
            <w:pPr>
              <w:spacing w:after="0"/>
              <w:rPr>
                <w:sz w:val="21"/>
                <w:szCs w:val="21"/>
                <w:color w:val="auto"/>
              </w:rPr>
            </w:pPr>
          </w:p>
        </w:tc>
        <w:tc>
          <w:tcPr>
            <w:tcW w:w="410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shd w:val="clear" w:color="auto" w:fill="DCE2EF"/>
          </w:tcPr>
          <w:p>
            <w:pPr>
              <w:spacing w:after="0"/>
              <w:rPr>
                <w:sz w:val="21"/>
                <w:szCs w:val="21"/>
                <w:color w:val="auto"/>
              </w:rPr>
            </w:pPr>
          </w:p>
        </w:tc>
        <w:tc>
          <w:tcPr>
            <w:tcW w:w="500" w:type="dxa"/>
            <w:vAlign w:val="bottom"/>
            <w:shd w:val="clear" w:color="auto" w:fill="DCE2EF"/>
          </w:tcPr>
          <w:p>
            <w:pPr>
              <w:spacing w:after="0"/>
              <w:rPr>
                <w:sz w:val="21"/>
                <w:szCs w:val="21"/>
                <w:color w:val="auto"/>
              </w:rPr>
            </w:pPr>
          </w:p>
        </w:tc>
        <w:tc>
          <w:tcPr>
            <w:tcW w:w="1500" w:type="dxa"/>
            <w:vAlign w:val="bottom"/>
            <w:shd w:val="clear" w:color="auto" w:fill="DCE2EF"/>
          </w:tcPr>
          <w:p>
            <w:pPr>
              <w:jc w:val="right"/>
              <w:ind w:right="314"/>
              <w:spacing w:after="0"/>
              <w:rPr>
                <w:sz w:val="20"/>
                <w:szCs w:val="20"/>
                <w:color w:val="auto"/>
              </w:rPr>
            </w:pPr>
            <w:r>
              <w:rPr>
                <w:rFonts w:ascii="Arial" w:cs="Arial" w:eastAsia="Arial" w:hAnsi="Arial"/>
                <w:sz w:val="14"/>
                <w:szCs w:val="14"/>
                <w:i w:val="1"/>
                <w:iCs w:val="1"/>
                <w:color w:val="auto"/>
              </w:rPr>
              <w:t>(108) bps</w:t>
            </w:r>
          </w:p>
        </w:tc>
        <w:tc>
          <w:tcPr>
            <w:tcW w:w="150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28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00" w:type="dxa"/>
            <w:vAlign w:val="bottom"/>
            <w:shd w:val="clear" w:color="auto" w:fill="DCE2EF"/>
          </w:tcPr>
          <w:p>
            <w:pPr>
              <w:spacing w:after="0"/>
              <w:rPr>
                <w:sz w:val="2"/>
                <w:szCs w:val="2"/>
                <w:color w:val="auto"/>
              </w:rPr>
            </w:pPr>
          </w:p>
        </w:tc>
        <w:tc>
          <w:tcPr>
            <w:tcW w:w="150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Healthcare revenues increased by $25.8 million, or 10.4%, during 2018, as compared to 2017. This increase was primarily attributable to incremental revenues from the GCA acquisition of $24.6 million and net new business.</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decreased by $1.8 million, or 17.4%, during 2018, as compared to 2017. Operating profit margin decreased by 108 bps to 3.2% in 2018 from 4.3% in 2017. This decrease was primarily attributable to lower margin new business, partially offset by the management of selling, general and administrative expenses and the absence of a specific reserve for a client receivable.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4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9"/>
        </w:trPr>
        <w:tc>
          <w:tcPr>
            <w:tcW w:w="4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Corporate</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3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Decrease</w:t>
            </w:r>
          </w:p>
        </w:tc>
        <w:tc>
          <w:tcPr>
            <w:tcW w:w="120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50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shd w:val="clear" w:color="auto" w:fill="DCE2EF"/>
          </w:tcPr>
          <w:p>
            <w:pPr>
              <w:spacing w:after="0"/>
              <w:rPr>
                <w:sz w:val="20"/>
                <w:szCs w:val="20"/>
                <w:color w:val="auto"/>
              </w:rPr>
            </w:pPr>
          </w:p>
        </w:tc>
        <w:tc>
          <w:tcPr>
            <w:tcW w:w="4320" w:type="dxa"/>
            <w:vAlign w:val="bottom"/>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Corporate expenses</w:t>
            </w:r>
          </w:p>
        </w:tc>
        <w:tc>
          <w:tcPr>
            <w:tcW w:w="1100" w:type="dxa"/>
            <w:vAlign w:val="bottom"/>
            <w:shd w:val="clear" w:color="auto" w:fill="DCE2E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DCE2EF"/>
          </w:tcPr>
          <w:p>
            <w:pPr>
              <w:spacing w:after="0"/>
              <w:rPr>
                <w:sz w:val="20"/>
                <w:szCs w:val="20"/>
                <w:color w:val="auto"/>
              </w:rPr>
            </w:pPr>
          </w:p>
        </w:tc>
        <w:tc>
          <w:tcPr>
            <w:tcW w:w="1100" w:type="dxa"/>
            <w:vAlign w:val="bottom"/>
            <w:shd w:val="clear" w:color="auto" w:fill="DCE2E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DCE2EF"/>
          </w:tcPr>
          <w:p>
            <w:pPr>
              <w:spacing w:after="0"/>
              <w:rPr>
                <w:sz w:val="20"/>
                <w:szCs w:val="20"/>
                <w:color w:val="auto"/>
              </w:rPr>
            </w:pPr>
          </w:p>
        </w:tc>
        <w:tc>
          <w:tcPr>
            <w:tcW w:w="660" w:type="dxa"/>
            <w:vAlign w:val="bottom"/>
            <w:shd w:val="clear" w:color="auto" w:fill="DCE2EF"/>
          </w:tcPr>
          <w:p>
            <w:pPr>
              <w:jc w:val="right"/>
              <w:ind w:right="4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CE2EF"/>
          </w:tcPr>
          <w:p>
            <w:pPr>
              <w:jc w:val="right"/>
              <w:ind w:right="450"/>
              <w:spacing w:after="0"/>
              <w:rPr>
                <w:sz w:val="20"/>
                <w:szCs w:val="20"/>
                <w:color w:val="auto"/>
              </w:rPr>
            </w:pPr>
            <w:r>
              <w:rPr>
                <w:rFonts w:ascii="Arial" w:cs="Arial" w:eastAsia="Arial" w:hAnsi="Arial"/>
                <w:sz w:val="18"/>
                <w:szCs w:val="18"/>
                <w:color w:val="auto"/>
              </w:rPr>
              <w:t>(20.2)</w:t>
            </w:r>
          </w:p>
        </w:tc>
        <w:tc>
          <w:tcPr>
            <w:tcW w:w="1200" w:type="dxa"/>
            <w:vAlign w:val="bottom"/>
            <w:shd w:val="clear" w:color="auto" w:fill="DCE2EF"/>
          </w:tcPr>
          <w:p>
            <w:pPr>
              <w:jc w:val="right"/>
              <w:ind w:right="390"/>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500" w:type="dxa"/>
            <w:vAlign w:val="bottom"/>
            <w:shd w:val="clear" w:color="auto" w:fill="DCE2EF"/>
          </w:tcPr>
          <w:p>
            <w:pPr>
              <w:spacing w:after="0"/>
              <w:rPr>
                <w:sz w:val="2"/>
                <w:szCs w:val="2"/>
                <w:color w:val="auto"/>
              </w:rPr>
            </w:pPr>
          </w:p>
        </w:tc>
        <w:tc>
          <w:tcPr>
            <w:tcW w:w="1100" w:type="dxa"/>
            <w:vAlign w:val="bottom"/>
            <w:shd w:val="clear" w:color="auto" w:fill="DCE2EF"/>
          </w:tcPr>
          <w:p>
            <w:pPr>
              <w:spacing w:after="0"/>
              <w:rPr>
                <w:sz w:val="2"/>
                <w:szCs w:val="2"/>
                <w:color w:val="auto"/>
              </w:rPr>
            </w:pPr>
          </w:p>
        </w:tc>
        <w:tc>
          <w:tcPr>
            <w:tcW w:w="62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1100" w:type="dxa"/>
            <w:vAlign w:val="bottom"/>
            <w:shd w:val="clear" w:color="auto" w:fill="DCE2EF"/>
          </w:tcPr>
          <w:p>
            <w:pPr>
              <w:spacing w:after="0"/>
              <w:rPr>
                <w:sz w:val="2"/>
                <w:szCs w:val="2"/>
                <w:color w:val="auto"/>
              </w:rPr>
            </w:pPr>
          </w:p>
        </w:tc>
        <w:tc>
          <w:tcPr>
            <w:tcW w:w="62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60" w:type="dxa"/>
            <w:vAlign w:val="bottom"/>
            <w:shd w:val="clear" w:color="auto" w:fill="DCE2EF"/>
          </w:tcPr>
          <w:p>
            <w:pPr>
              <w:spacing w:after="0"/>
              <w:rPr>
                <w:sz w:val="2"/>
                <w:szCs w:val="2"/>
                <w:color w:val="auto"/>
              </w:rPr>
            </w:pPr>
          </w:p>
        </w:tc>
        <w:tc>
          <w:tcPr>
            <w:tcW w:w="1560" w:type="dxa"/>
            <w:vAlign w:val="bottom"/>
            <w:shd w:val="clear" w:color="auto" w:fill="DCE2EF"/>
          </w:tcPr>
          <w:p>
            <w:pPr>
              <w:spacing w:after="0"/>
              <w:rPr>
                <w:sz w:val="2"/>
                <w:szCs w:val="2"/>
                <w:color w:val="auto"/>
              </w:rPr>
            </w:pPr>
          </w:p>
        </w:tc>
        <w:tc>
          <w:tcPr>
            <w:tcW w:w="120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decreased by $20.2 million, or 10.7%, during 2018, as compared to 2017. The decrease in corporate expenses was primarily related to:</w:t>
      </w:r>
    </w:p>
    <w:p>
      <w:pPr>
        <w:spacing w:after="0" w:line="14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$24.2 million of transaction expenses related to the GCA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$11.8 million lower adjustment to self-insurance reserves related to prior year claims;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$3.4 million adjustment to decrease our medical and dental insurance reserves as a result of actuarial evaluations performed in 2018; and</w:t>
      </w:r>
    </w:p>
    <w:p>
      <w:pPr>
        <w:spacing w:after="0" w:line="142" w:lineRule="exact"/>
        <w:rPr>
          <w:rFonts w:ascii="Arial" w:cs="Arial" w:eastAsia="Arial" w:hAnsi="Arial"/>
          <w:sz w:val="18"/>
          <w:szCs w:val="18"/>
          <w:color w:val="auto"/>
        </w:rPr>
      </w:pPr>
    </w:p>
    <w:p>
      <w:pPr>
        <w:ind w:right="300" w:firstLine="332"/>
        <w:spacing w:after="0" w:line="43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$2.0 million decrease in legal settlement costs, net of a $7.0 million reimbursement of previously expensed legal settlement costs. This decrease was partially offset by:</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$6.4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$4.8 million increase in restructuring and related costs as a result of the GCA acquisition;</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a $3.2 million reimbursement of previously expensed fees associated with a concluded internal investigation into a foreign entity formerly affiliated with a joint venture during the prior year;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$3.2 million increase in expenses related to certain incentive plans due to the timing of awards; and</w:t>
      </w:r>
    </w:p>
    <w:p>
      <w:pPr>
        <w:spacing w:after="0" w:line="149"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$1.5 million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as well as incremental expenses related to the GCA acquisition.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7" w:right="239" w:bottom="1440" w:gutter="0" w:footer="0" w:header="0"/>
        </w:sectPr>
      </w:pPr>
    </w:p>
    <w:bookmarkStart w:id="34" w:name="page35"/>
    <w:bookmarkEnd w:id="34"/>
    <w:p>
      <w:pPr>
        <w:ind w:right="4380"/>
        <w:spacing w:after="0" w:line="475" w:lineRule="auto"/>
        <w:rPr>
          <w:sz w:val="20"/>
          <w:szCs w:val="20"/>
          <w:color w:val="auto"/>
        </w:rPr>
      </w:pPr>
      <w:r>
        <w:rPr>
          <w:rFonts w:ascii="Arial" w:cs="Arial" w:eastAsia="Arial" w:hAnsi="Arial"/>
          <w:sz w:val="18"/>
          <w:szCs w:val="18"/>
          <w:b w:val="1"/>
          <w:bCs w:val="1"/>
          <w:i w:val="1"/>
          <w:iCs w:val="1"/>
          <w:color w:val="0046AD"/>
        </w:rPr>
        <w:t>The Year Ended October 31, 2017 Compared with the Year Ended October 31, 2016 Consolidated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300" w:type="dxa"/>
            <w:vAlign w:val="bottom"/>
            <w:gridSpan w:val="4"/>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6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b w:val="1"/>
                <w:bCs w:val="1"/>
                <w:color w:val="auto"/>
                <w:w w:val="97"/>
                <w:shd w:val="clear" w:color="auto" w:fill="DCE2EF"/>
              </w:rPr>
              <w:t>Revenues</w:t>
            </w:r>
          </w:p>
        </w:tc>
        <w:tc>
          <w:tcPr>
            <w:tcW w:w="4500" w:type="dxa"/>
            <w:vAlign w:val="bottom"/>
            <w:tcBorders>
              <w:bottom w:val="single" w:sz="8" w:color="DCE2EF"/>
            </w:tcBorders>
            <w:gridSpan w:val="2"/>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5,453.6</w:t>
            </w: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CE2EF"/>
            </w:tcBorders>
            <w:shd w:val="clear" w:color="auto" w:fill="DCE2EF"/>
          </w:tcPr>
          <w:p>
            <w:pPr>
              <w:jc w:val="right"/>
              <w:ind w:right="79"/>
              <w:spacing w:after="0"/>
              <w:rPr>
                <w:sz w:val="20"/>
                <w:szCs w:val="20"/>
                <w:color w:val="auto"/>
              </w:rPr>
            </w:pPr>
            <w:r>
              <w:rPr>
                <w:rFonts w:ascii="Arial" w:cs="Arial" w:eastAsia="Arial" w:hAnsi="Arial"/>
                <w:sz w:val="16"/>
                <w:szCs w:val="16"/>
                <w:color w:val="auto"/>
              </w:rPr>
              <w:t>5,144.7</w:t>
            </w:r>
          </w:p>
        </w:tc>
        <w:tc>
          <w:tcPr>
            <w:tcW w:w="120" w:type="dxa"/>
            <w:vAlign w:val="bottom"/>
            <w:tcBorders>
              <w:bottom w:val="single" w:sz="8" w:color="DCE2EF"/>
            </w:tcBorders>
            <w:shd w:val="clear" w:color="auto" w:fill="DCE2EF"/>
          </w:tcPr>
          <w:p>
            <w:pPr>
              <w:spacing w:after="0"/>
              <w:rPr>
                <w:sz w:val="21"/>
                <w:szCs w:val="21"/>
                <w:color w:val="auto"/>
              </w:rPr>
            </w:pPr>
          </w:p>
        </w:tc>
        <w:tc>
          <w:tcPr>
            <w:tcW w:w="300" w:type="dxa"/>
            <w:vAlign w:val="bottom"/>
            <w:tcBorders>
              <w:bottom w:val="single" w:sz="8" w:color="DCE2EF"/>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308.9</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6.0%</w:t>
            </w:r>
          </w:p>
        </w:tc>
      </w:tr>
      <w:tr>
        <w:trPr>
          <w:trHeight w:val="260"/>
        </w:trPr>
        <w:tc>
          <w:tcPr>
            <w:tcW w:w="5300" w:type="dxa"/>
            <w:vAlign w:val="bottom"/>
            <w:gridSpan w:val="4"/>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4,881.2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4,603.4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277.8</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6.0%</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3"/>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4"/>
                <w:szCs w:val="14"/>
                <w:i w:val="1"/>
                <w:iCs w:val="1"/>
                <w:color w:val="auto"/>
              </w:rPr>
              <w:t>—</w:t>
            </w:r>
          </w:p>
        </w:tc>
        <w:tc>
          <w:tcPr>
            <w:tcW w:w="1360" w:type="dxa"/>
            <w:vAlign w:val="bottom"/>
            <w:shd w:val="clear" w:color="auto" w:fill="DCE2EF"/>
          </w:tcPr>
          <w:p>
            <w:pPr>
              <w:spacing w:after="0"/>
              <w:rPr>
                <w:sz w:val="24"/>
                <w:szCs w:val="24"/>
                <w:color w:val="auto"/>
              </w:rPr>
            </w:pPr>
          </w:p>
        </w:tc>
      </w:tr>
      <w:tr>
        <w:trPr>
          <w:trHeight w:val="260"/>
        </w:trPr>
        <w:tc>
          <w:tcPr>
            <w:tcW w:w="5300" w:type="dxa"/>
            <w:vAlign w:val="bottom"/>
            <w:gridSpan w:val="4"/>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436.6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6.5%</w:t>
            </w:r>
          </w:p>
        </w:tc>
      </w:tr>
      <w:tr>
        <w:trPr>
          <w:trHeight w:val="280"/>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(8.1)</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(28.1)%</w:t>
            </w:r>
          </w:p>
        </w:tc>
      </w:tr>
      <w:tr>
        <w:trPr>
          <w:trHeight w:val="260"/>
        </w:trPr>
        <w:tc>
          <w:tcPr>
            <w:tcW w:w="5300" w:type="dxa"/>
            <w:vAlign w:val="bottom"/>
            <w:gridSpan w:val="4"/>
          </w:tcPr>
          <w:p>
            <w:pPr>
              <w:ind w:left="4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26.5%</w:t>
            </w:r>
          </w:p>
        </w:tc>
      </w:tr>
      <w:tr>
        <w:trPr>
          <w:trHeight w:val="280"/>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Impairment (recovery) loss</w:t>
            </w: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DCE2EF"/>
          </w:tcPr>
          <w:p>
            <w:pPr>
              <w:spacing w:after="0"/>
              <w:rPr>
                <w:sz w:val="24"/>
                <w:szCs w:val="24"/>
                <w:color w:val="auto"/>
              </w:rPr>
            </w:pPr>
          </w:p>
        </w:tc>
        <w:tc>
          <w:tcPr>
            <w:tcW w:w="300" w:type="dxa"/>
            <w:vAlign w:val="bottom"/>
            <w:tcBorders>
              <w:bottom w:val="single" w:sz="8" w:color="auto"/>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(41.0)</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40"/>
        </w:trPr>
        <w:tc>
          <w:tcPr>
            <w:tcW w:w="5300" w:type="dxa"/>
            <w:vAlign w:val="bottom"/>
            <w:gridSpan w:val="4"/>
          </w:tcPr>
          <w:p>
            <w:pPr>
              <w:ind w:left="40"/>
              <w:spacing w:after="0"/>
              <w:rPr>
                <w:sz w:val="20"/>
                <w:szCs w:val="20"/>
                <w:color w:val="auto"/>
              </w:rPr>
            </w:pPr>
            <w:r>
              <w:rPr>
                <w:rFonts w:ascii="Arial" w:cs="Arial" w:eastAsia="Arial" w:hAnsi="Arial"/>
                <w:sz w:val="16"/>
                <w:szCs w:val="16"/>
                <w:b w:val="1"/>
                <w:bCs w:val="1"/>
                <w:color w:val="auto"/>
              </w:rPr>
              <w:t>Operating profit</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86.2%</w:t>
            </w:r>
          </w:p>
        </w:tc>
      </w:tr>
      <w:tr>
        <w:trPr>
          <w:trHeight w:val="280"/>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(44.6)%</w:t>
            </w:r>
          </w:p>
        </w:tc>
      </w:tr>
      <w:tr>
        <w:trPr>
          <w:trHeight w:val="264"/>
        </w:trPr>
        <w:tc>
          <w:tcPr>
            <w:tcW w:w="5300" w:type="dxa"/>
            <w:vAlign w:val="bottom"/>
            <w:tcBorders>
              <w:bottom w:val="single" w:sz="8" w:color="DCE2EF"/>
            </w:tcBorders>
            <w:gridSpan w:val="4"/>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36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w w:val="99"/>
              </w:rPr>
              <w:t>(84.3)%</w:t>
            </w:r>
          </w:p>
        </w:tc>
      </w:tr>
      <w:tr>
        <w:trPr>
          <w:trHeight w:val="257"/>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35.0</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67.3%</w:t>
            </w:r>
          </w:p>
        </w:tc>
      </w:tr>
      <w:tr>
        <w:trPr>
          <w:trHeight w:val="264"/>
        </w:trPr>
        <w:tc>
          <w:tcPr>
            <w:tcW w:w="5300" w:type="dxa"/>
            <w:vAlign w:val="bottom"/>
            <w:tcBorders>
              <w:bottom w:val="single" w:sz="8" w:color="DCE2EF"/>
            </w:tcBorders>
            <w:gridSpan w:val="4"/>
          </w:tcPr>
          <w:p>
            <w:pPr>
              <w:ind w:left="40"/>
              <w:spacing w:after="0"/>
              <w:rPr>
                <w:sz w:val="20"/>
                <w:szCs w:val="20"/>
                <w:color w:val="auto"/>
              </w:rPr>
            </w:pPr>
            <w:r>
              <w:rPr>
                <w:rFonts w:ascii="Arial" w:cs="Arial" w:eastAsia="Arial" w:hAnsi="Arial"/>
                <w:sz w:val="16"/>
                <w:szCs w:val="16"/>
                <w:color w:val="auto"/>
              </w:rPr>
              <w:t>Income tax (provision) benefit</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15.8</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25.3%</w:t>
            </w:r>
          </w:p>
        </w:tc>
      </w:tr>
      <w:tr>
        <w:trPr>
          <w:trHeight w:val="264"/>
        </w:trPr>
        <w:tc>
          <w:tcPr>
            <w:tcW w:w="5300" w:type="dxa"/>
            <w:vAlign w:val="bottom"/>
            <w:tcBorders>
              <w:bottom w:val="single" w:sz="8" w:color="DCE2EF"/>
            </w:tcBorders>
            <w:gridSpan w:val="4"/>
          </w:tcPr>
          <w:p>
            <w:pPr>
              <w:ind w:left="40"/>
              <w:spacing w:after="0"/>
              <w:rPr>
                <w:sz w:val="20"/>
                <w:szCs w:val="20"/>
                <w:color w:val="auto"/>
              </w:rPr>
            </w:pPr>
            <w:r>
              <w:rPr>
                <w:rFonts w:ascii="Arial" w:cs="Arial" w:eastAsia="Arial" w:hAnsi="Arial"/>
                <w:sz w:val="16"/>
                <w:szCs w:val="16"/>
                <w:color w:val="auto"/>
              </w:rPr>
              <w:t>Loss from discontinued operations, net of taxes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4"/>
            <w:shd w:val="clear" w:color="auto" w:fill="DCE2EF"/>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shd w:val="clear" w:color="auto" w:fill="DCE2EF"/>
          </w:tcPr>
          <w:p>
            <w:pPr>
              <w:spacing w:after="0"/>
              <w:rPr>
                <w:sz w:val="22"/>
                <w:szCs w:val="22"/>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spacing w:after="0"/>
              <w:rPr>
                <w:sz w:val="22"/>
                <w:szCs w:val="22"/>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DCE2EF"/>
          </w:tcPr>
          <w:p>
            <w:pPr>
              <w:spacing w:after="0"/>
              <w:rPr>
                <w:sz w:val="22"/>
                <w:szCs w:val="22"/>
                <w:color w:val="auto"/>
              </w:rPr>
            </w:pPr>
          </w:p>
        </w:tc>
        <w:tc>
          <w:tcPr>
            <w:tcW w:w="300" w:type="dxa"/>
            <w:vAlign w:val="bottom"/>
            <w:tcBorders>
              <w:bottom w:val="single" w:sz="8" w:color="auto"/>
            </w:tcBorders>
            <w:shd w:val="clear" w:color="auto" w:fill="DCE2EF"/>
          </w:tcPr>
          <w:p>
            <w:pPr>
              <w:spacing w:after="0"/>
              <w:rPr>
                <w:sz w:val="22"/>
                <w:szCs w:val="22"/>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(53.4)</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(93.3)%</w:t>
            </w:r>
          </w:p>
        </w:tc>
      </w:tr>
      <w:tr>
        <w:trPr>
          <w:trHeight w:val="254"/>
        </w:trPr>
        <w:tc>
          <w:tcPr>
            <w:tcW w:w="5300" w:type="dxa"/>
            <w:vAlign w:val="bottom"/>
            <w:gridSpan w:val="4"/>
          </w:tcPr>
          <w:p>
            <w:pPr>
              <w:ind w:left="4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3"/>
            <w:shd w:val="clear" w:color="auto" w:fill="DCE2EF"/>
          </w:tcPr>
          <w:p>
            <w:pPr>
              <w:ind w:left="240"/>
              <w:spacing w:after="0"/>
              <w:rPr>
                <w:sz w:val="20"/>
                <w:szCs w:val="20"/>
                <w:color w:val="auto"/>
              </w:rPr>
            </w:pPr>
            <w:r>
              <w:rPr>
                <w:rFonts w:ascii="Arial" w:cs="Arial" w:eastAsia="Arial" w:hAnsi="Arial"/>
                <w:sz w:val="16"/>
                <w:szCs w:val="16"/>
                <w:color w:val="auto"/>
              </w:rPr>
              <w:t>Interest rate swaps and other</w:t>
            </w: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2.8</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60"/>
        </w:trPr>
        <w:tc>
          <w:tcPr>
            <w:tcW w:w="40" w:type="dxa"/>
            <w:vAlign w:val="bottom"/>
          </w:tcPr>
          <w:p>
            <w:pPr>
              <w:spacing w:after="0"/>
              <w:rPr>
                <w:sz w:val="22"/>
                <w:szCs w:val="22"/>
                <w:color w:val="auto"/>
              </w:rPr>
            </w:pPr>
          </w:p>
        </w:tc>
        <w:tc>
          <w:tcPr>
            <w:tcW w:w="5260" w:type="dxa"/>
            <w:vAlign w:val="bottom"/>
            <w:gridSpan w:val="3"/>
          </w:tcPr>
          <w:p>
            <w:pPr>
              <w:ind w:left="240"/>
              <w:spacing w:after="0"/>
              <w:rPr>
                <w:sz w:val="20"/>
                <w:szCs w:val="20"/>
                <w:color w:val="auto"/>
              </w:rPr>
            </w:pPr>
            <w:r>
              <w:rPr>
                <w:rFonts w:ascii="Arial" w:cs="Arial" w:eastAsia="Arial" w:hAnsi="Arial"/>
                <w:sz w:val="16"/>
                <w:szCs w:val="16"/>
                <w:color w:val="auto"/>
              </w:rPr>
              <w:t>Foreign currency translation</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3"/>
            <w:shd w:val="clear" w:color="auto" w:fill="DCE2EF"/>
          </w:tcPr>
          <w:p>
            <w:pPr>
              <w:ind w:left="240"/>
              <w:spacing w:after="0"/>
              <w:rPr>
                <w:sz w:val="20"/>
                <w:szCs w:val="20"/>
                <w:color w:val="auto"/>
              </w:rPr>
            </w:pPr>
            <w:r>
              <w:rPr>
                <w:rFonts w:ascii="Arial" w:cs="Arial" w:eastAsia="Arial" w:hAnsi="Arial"/>
                <w:sz w:val="16"/>
                <w:szCs w:val="16"/>
                <w:color w:val="auto"/>
              </w:rPr>
              <w:t>Income tax provision</w:t>
            </w: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4"/>
                <w:szCs w:val="24"/>
                <w:color w:val="auto"/>
              </w:rPr>
            </w:pPr>
          </w:p>
        </w:tc>
        <w:tc>
          <w:tcPr>
            <w:tcW w:w="300" w:type="dxa"/>
            <w:vAlign w:val="bottom"/>
            <w:tcBorders>
              <w:bottom w:val="single" w:sz="8" w:color="auto"/>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34"/>
        </w:trPr>
        <w:tc>
          <w:tcPr>
            <w:tcW w:w="5300" w:type="dxa"/>
            <w:vAlign w:val="bottom"/>
            <w:gridSpan w:val="4"/>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(50.5)%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Revenues increased by $308.9 million, or 6.0%, during 2017, as compared to 2016. The increase in revenues was primarily attributable to $ 208.1 million of incremental revenues from acquisitions, including GCA, and organic growth of $ 120.7 million in Aviation and $39.6 million in B&amp;I. This increase was partially offset by the sale of our Government Services business on May 31, 2017, the loss of certain contracts in T&amp;M, and the completion of a large energy savings performance contract (“ESPC”).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Operating expenses increased by $277.8 million, or 6.0%, during 2017, as compared to 2016. Gross margin remained flat at 10.5% in 2017 and 2016. Gross margin was positively impacted by a lower self-insurance adjustment related to prior year claims and savings from our </w:t>
      </w: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color w:val="000000"/>
        </w:rPr>
        <w:t>initiatives. However, gross margin was negatively impacted by a contract termination within our Aviation business and the loss of a</w:t>
      </w:r>
      <w:r>
        <w:rPr>
          <w:rFonts w:ascii="Arial" w:cs="Arial" w:eastAsia="Arial" w:hAnsi="Arial"/>
          <w:sz w:val="18"/>
          <w:szCs w:val="18"/>
          <w:b w:val="1"/>
          <w:bCs w:val="1"/>
          <w:color w:val="FF9900"/>
        </w:rPr>
        <w:t xml:space="preserve"> </w:t>
      </w:r>
      <w:r>
        <w:rPr>
          <w:rFonts w:ascii="Arial" w:cs="Arial" w:eastAsia="Arial" w:hAnsi="Arial"/>
          <w:sz w:val="18"/>
          <w:szCs w:val="18"/>
          <w:color w:val="000000"/>
        </w:rPr>
        <w:t>multi-location janitorial account in T&amp;M.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$26.5 million, or 6.5%, during 2017, as compared to 2016.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$24.2 million of transaction expenses related to the GCA acquisition;</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 $8.1 million increase in costs associated with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technology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2" w:right="239" w:bottom="1440" w:gutter="0" w:footer="0" w:header="0"/>
        </w:sectPr>
      </w:pPr>
    </w:p>
    <w:bookmarkStart w:id="35" w:name="page36"/>
    <w:bookmarkEnd w:id="35"/>
    <w:p>
      <w:pPr>
        <w:ind w:left="660" w:right="20" w:hanging="328"/>
        <w:spacing w:after="0" w:line="28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$5.8 million of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which was reduced by a reversal of certain expenses related to incentive plans;</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$4.1 million of incremental selling, general and administrative expenses related to the GCA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$2.3 million increase in legal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$8.8 million reduction in bad debt expense primarily associated with the absence of specific reserves for certain client receivables that were recorded in 2016;</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$3.2 million reimbursement during 2017 of previously expensed fees associated with a concluded internal investigation into a foreign entity formerly affiliated with a joint venture;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$2.7 million decrease in sales tax reserve compared with the sales tax reserve in 2016; and</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Restructuring and related costs decreased by $8.1 million, or 28.1%, during 2017, as compared to 2016,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 and related employee severance in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(Recovery) Loss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31, 2017, we sold our Government Services business for $ 35.5 million. Based on the initial offer of $35.0 million received during the second quarter of 2017, we recorded a $17.4 million impairment recovery to adjust the fair value of certain previously impaired assets. In connection with the sale, we recorded a pre-tax gain of approximately $1.2 million, which is reflected as part of impairment (recovery) loss in the results of operations table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Interest expense increased by $8.8 million, or 84.3%, during 2017, as compared to 2016, primarily related to increased indebtedness incurred to fund the GCA acquisition and higher relative interest rates under our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2017, we had an income tax provision of $8.8 million, compared with an income tax benefit of $10.4 million in the prior year. In 2017 we benefited from $17.8 million related to expiring statutes of limitations for uncertain tax positions, compared with $20.8 million in 2016. The 2017 period also benefited from $3.6 million of excess tax benefits related to the vesting of share-based compensation awards and $1.9 million of tax deductions on energy efficient government buildings, compared with $2.2 million and $1.2 million in 2016, respectively. Additionally, in 2016 we benefited from WOTC of $5.1 million from the retroactive reinstatement of the WOTC for calendar year 2015. Both periods benefited from in-year WOTC.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Loss from Discontinued Operations, Net of Taxes</w:t>
      </w:r>
    </w:p>
    <w:p>
      <w:pPr>
        <w:spacing w:after="0" w:line="19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Loss from discontinued operations, net of taxes was $74.3 million during 2017 related to a legal reserve established in connection with certain settlement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2017 we recognized as a component of our comprehensive income a foreign currency translation gain of $9.7 million compared with a loss of $26.3 million during 2016. This change was related to the USD weakening against the GBP during 2017.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4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8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3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13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8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2,629.1</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2,557.1</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72.0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2.8%</w:t>
            </w:r>
          </w:p>
        </w:tc>
        <w:tc>
          <w:tcPr>
            <w:tcW w:w="0" w:type="dxa"/>
            <w:vAlign w:val="bottom"/>
          </w:tcPr>
          <w:p>
            <w:pPr>
              <w:spacing w:after="0"/>
              <w:rPr>
                <w:sz w:val="1"/>
                <w:szCs w:val="1"/>
                <w:color w:val="auto"/>
              </w:rPr>
            </w:pPr>
          </w:p>
        </w:tc>
      </w:tr>
      <w:tr>
        <w:trPr>
          <w:trHeight w:val="260"/>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Aviation</w:t>
            </w:r>
          </w:p>
        </w:tc>
        <w:tc>
          <w:tcPr>
            <w:tcW w:w="44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990.4</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141"/>
              <w:spacing w:after="0"/>
              <w:rPr>
                <w:sz w:val="20"/>
                <w:szCs w:val="20"/>
                <w:color w:val="auto"/>
              </w:rPr>
            </w:pPr>
            <w:r>
              <w:rPr>
                <w:rFonts w:ascii="Arial" w:cs="Arial" w:eastAsia="Arial" w:hAnsi="Arial"/>
                <w:sz w:val="16"/>
                <w:szCs w:val="16"/>
                <w:color w:val="auto"/>
              </w:rPr>
              <w:t>851.5</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138.9</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60"/>
        </w:trPr>
        <w:tc>
          <w:tcPr>
            <w:tcW w:w="528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380" w:type="dxa"/>
            <w:vAlign w:val="bottom"/>
          </w:tcPr>
          <w:p>
            <w:pPr>
              <w:spacing w:after="0"/>
              <w:rPr>
                <w:sz w:val="22"/>
                <w:szCs w:val="22"/>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697.4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679.3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18.1</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2.7%</w:t>
            </w:r>
          </w:p>
        </w:tc>
        <w:tc>
          <w:tcPr>
            <w:tcW w:w="0" w:type="dxa"/>
            <w:vAlign w:val="bottom"/>
          </w:tcPr>
          <w:p>
            <w:pPr>
              <w:spacing w:after="0"/>
              <w:rPr>
                <w:sz w:val="1"/>
                <w:szCs w:val="1"/>
                <w:color w:val="auto"/>
              </w:rPr>
            </w:pPr>
          </w:p>
        </w:tc>
      </w:tr>
      <w:tr>
        <w:trPr>
          <w:trHeight w:val="260"/>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Education</w:t>
            </w:r>
          </w:p>
        </w:tc>
        <w:tc>
          <w:tcPr>
            <w:tcW w:w="44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363.1</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141"/>
              <w:spacing w:after="0"/>
              <w:rPr>
                <w:sz w:val="20"/>
                <w:szCs w:val="20"/>
                <w:color w:val="auto"/>
              </w:rPr>
            </w:pPr>
            <w:r>
              <w:rPr>
                <w:rFonts w:ascii="Arial" w:cs="Arial" w:eastAsia="Arial" w:hAnsi="Arial"/>
                <w:sz w:val="16"/>
                <w:szCs w:val="16"/>
                <w:color w:val="auto"/>
              </w:rPr>
              <w:t>272.1</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91.0</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60"/>
        </w:trPr>
        <w:tc>
          <w:tcPr>
            <w:tcW w:w="528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380" w:type="dxa"/>
            <w:vAlign w:val="bottom"/>
          </w:tcPr>
          <w:p>
            <w:pPr>
              <w:spacing w:after="0"/>
              <w:rPr>
                <w:sz w:val="22"/>
                <w:szCs w:val="22"/>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439.6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425.3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14.3</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3.4%</w:t>
            </w:r>
          </w:p>
        </w:tc>
        <w:tc>
          <w:tcPr>
            <w:tcW w:w="0" w:type="dxa"/>
            <w:vAlign w:val="bottom"/>
          </w:tcPr>
          <w:p>
            <w:pPr>
              <w:spacing w:after="0"/>
              <w:rPr>
                <w:sz w:val="1"/>
                <w:szCs w:val="1"/>
                <w:color w:val="auto"/>
              </w:rPr>
            </w:pPr>
          </w:p>
        </w:tc>
      </w:tr>
      <w:tr>
        <w:trPr>
          <w:trHeight w:val="260"/>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Healthcare</w:t>
            </w:r>
          </w:p>
        </w:tc>
        <w:tc>
          <w:tcPr>
            <w:tcW w:w="44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247.5</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141"/>
              <w:spacing w:after="0"/>
              <w:rPr>
                <w:sz w:val="20"/>
                <w:szCs w:val="20"/>
                <w:color w:val="auto"/>
              </w:rPr>
            </w:pPr>
            <w:r>
              <w:rPr>
                <w:rFonts w:ascii="Arial" w:cs="Arial" w:eastAsia="Arial" w:hAnsi="Arial"/>
                <w:sz w:val="16"/>
                <w:szCs w:val="16"/>
                <w:color w:val="auto"/>
              </w:rPr>
              <w:t>242.7</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4.8</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2.0%</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Government Services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116.7</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36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w w:val="99"/>
              </w:rPr>
              <w:t>(25.8)%</w:t>
            </w:r>
          </w:p>
        </w:tc>
        <w:tc>
          <w:tcPr>
            <w:tcW w:w="0" w:type="dxa"/>
            <w:vAlign w:val="bottom"/>
          </w:tcPr>
          <w:p>
            <w:pPr>
              <w:spacing w:after="0"/>
              <w:rPr>
                <w:sz w:val="1"/>
                <w:szCs w:val="1"/>
                <w:color w:val="auto"/>
              </w:rPr>
            </w:pP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44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5,453.6</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5,144.7</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308.9</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6.0%</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80" w:type="dxa"/>
            <w:vAlign w:val="bottom"/>
            <w:gridSpan w:val="3"/>
            <w:vMerge w:val="continue"/>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Borders>
              <w:bottom w:val="single" w:sz="8" w:color="DCE2EF"/>
            </w:tcBorders>
            <w:shd w:val="clear" w:color="auto" w:fill="DCE2EF"/>
          </w:tcPr>
          <w:p>
            <w:pPr>
              <w:spacing w:after="0"/>
              <w:rPr>
                <w:sz w:val="22"/>
                <w:szCs w:val="22"/>
                <w:color w:val="auto"/>
              </w:rPr>
            </w:pPr>
          </w:p>
        </w:tc>
        <w:tc>
          <w:tcPr>
            <w:tcW w:w="52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Business &amp; Industry</w:t>
            </w: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135.6</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DCE2EF"/>
            </w:tcBorders>
            <w:shd w:val="clear" w:color="auto" w:fill="DCE2EF"/>
          </w:tcPr>
          <w:p>
            <w:pPr>
              <w:jc w:val="right"/>
              <w:ind w:right="141"/>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24.0</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79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Aviation</w:t>
            </w:r>
          </w:p>
        </w:tc>
        <w:tc>
          <w:tcPr>
            <w:tcW w:w="44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141"/>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(70)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52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Technology &amp; Manufacturing</w:t>
            </w: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141"/>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(7.0)</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9"/>
              </w:rPr>
              <w:t>(12.7)%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6.9%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(121)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Education</w:t>
            </w:r>
          </w:p>
        </w:tc>
        <w:tc>
          <w:tcPr>
            <w:tcW w:w="44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141"/>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0.6</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3.7%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(143)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52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Technical Solutions</w:t>
            </w: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141"/>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8.7</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8.5%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175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Healthcare</w:t>
            </w:r>
          </w:p>
        </w:tc>
        <w:tc>
          <w:tcPr>
            <w:tcW w:w="44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141"/>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9"/>
              </w:rPr>
              <w:t>(16.2)%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4.3%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(93)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52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Government Services</w:t>
            </w: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45.2</w:t>
            </w:r>
          </w:p>
        </w:tc>
        <w:tc>
          <w:tcPr>
            <w:tcW w:w="136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(20.1)%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NM*</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6"/>
                <w:szCs w:val="16"/>
                <w:color w:val="auto"/>
                <w:shd w:val="clear" w:color="auto" w:fill="DCE2EF"/>
              </w:rPr>
              <w:t>Corporate</w:t>
            </w:r>
          </w:p>
        </w:tc>
        <w:tc>
          <w:tcPr>
            <w:tcW w:w="44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(189.0)</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30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(167.2)</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(21.8)</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9"/>
              </w:rPr>
              <w:t>(13.0)%</w:t>
            </w:r>
          </w:p>
        </w:tc>
        <w:tc>
          <w:tcPr>
            <w:tcW w:w="0" w:type="dxa"/>
            <w:vAlign w:val="bottom"/>
          </w:tcPr>
          <w:p>
            <w:pPr>
              <w:spacing w:after="0"/>
              <w:rPr>
                <w:sz w:val="1"/>
                <w:szCs w:val="1"/>
                <w:color w:val="auto"/>
              </w:rPr>
            </w:pPr>
          </w:p>
        </w:tc>
      </w:tr>
      <w:tr>
        <w:trPr>
          <w:trHeight w:val="218"/>
        </w:trPr>
        <w:tc>
          <w:tcPr>
            <w:tcW w:w="5280" w:type="dxa"/>
            <w:vAlign w:val="bottom"/>
            <w:gridSpan w:val="3"/>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24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38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26"/>
        </w:trPr>
        <w:tc>
          <w:tcPr>
            <w:tcW w:w="40" w:type="dxa"/>
            <w:vAlign w:val="bottom"/>
            <w:shd w:val="clear" w:color="auto" w:fill="DCE2EF"/>
          </w:tcPr>
          <w:p>
            <w:pPr>
              <w:spacing w:after="0"/>
              <w:rPr>
                <w:sz w:val="19"/>
                <w:szCs w:val="19"/>
                <w:color w:val="auto"/>
              </w:rPr>
            </w:pPr>
          </w:p>
        </w:tc>
        <w:tc>
          <w:tcPr>
            <w:tcW w:w="5240" w:type="dxa"/>
            <w:vAlign w:val="bottom"/>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Adjustment for tax deductions for energy efficient government buildings,</w:t>
            </w:r>
          </w:p>
        </w:tc>
        <w:tc>
          <w:tcPr>
            <w:tcW w:w="38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3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4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DCE2EF"/>
            </w:tcBorders>
            <w:shd w:val="clear" w:color="auto" w:fill="DCE2EF"/>
          </w:tcPr>
          <w:p>
            <w:pPr>
              <w:spacing w:after="0"/>
              <w:rPr>
                <w:sz w:val="18"/>
                <w:szCs w:val="18"/>
                <w:color w:val="auto"/>
              </w:rPr>
            </w:pPr>
          </w:p>
        </w:tc>
        <w:tc>
          <w:tcPr>
            <w:tcW w:w="5240" w:type="dxa"/>
            <w:vAlign w:val="bottom"/>
            <w:tcBorders>
              <w:bottom w:val="single" w:sz="8" w:color="DCE2EF"/>
            </w:tcBorders>
            <w:gridSpan w:val="2"/>
            <w:shd w:val="clear" w:color="auto" w:fill="DCE2EF"/>
          </w:tcPr>
          <w:p>
            <w:pPr>
              <w:ind w:left="160"/>
              <w:spacing w:after="0"/>
              <w:rPr>
                <w:sz w:val="20"/>
                <w:szCs w:val="20"/>
                <w:color w:val="auto"/>
              </w:rPr>
            </w:pPr>
            <w:r>
              <w:rPr>
                <w:rFonts w:ascii="Arial" w:cs="Arial" w:eastAsia="Arial" w:hAnsi="Arial"/>
                <w:sz w:val="16"/>
                <w:szCs w:val="16"/>
                <w:color w:val="auto"/>
                <w:shd w:val="clear" w:color="auto" w:fill="DCE2EF"/>
              </w:rPr>
              <w:t>included in Technical Solutions</w:t>
            </w:r>
          </w:p>
        </w:tc>
        <w:tc>
          <w:tcPr>
            <w:tcW w:w="380" w:type="dxa"/>
            <w:vAlign w:val="bottom"/>
            <w:tcBorders>
              <w:bottom w:val="single" w:sz="8" w:color="DCE2EF"/>
            </w:tcBorders>
            <w:shd w:val="clear" w:color="auto" w:fill="DCE2EF"/>
          </w:tcPr>
          <w:p>
            <w:pPr>
              <w:spacing w:after="0"/>
              <w:rPr>
                <w:sz w:val="18"/>
                <w:szCs w:val="18"/>
                <w:color w:val="auto"/>
              </w:rPr>
            </w:pPr>
          </w:p>
        </w:tc>
        <w:tc>
          <w:tcPr>
            <w:tcW w:w="12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DCE2EF"/>
            </w:tcBorders>
            <w:shd w:val="clear" w:color="auto" w:fill="DCE2EF"/>
          </w:tcPr>
          <w:p>
            <w:pPr>
              <w:spacing w:after="0"/>
              <w:rPr>
                <w:sz w:val="18"/>
                <w:szCs w:val="18"/>
                <w:color w:val="auto"/>
              </w:rPr>
            </w:pPr>
          </w:p>
        </w:tc>
        <w:tc>
          <w:tcPr>
            <w:tcW w:w="380" w:type="dxa"/>
            <w:vAlign w:val="bottom"/>
            <w:tcBorders>
              <w:bottom w:val="single" w:sz="8" w:color="DCE2EF"/>
            </w:tcBorders>
            <w:shd w:val="clear" w:color="auto" w:fill="DCE2EF"/>
          </w:tcPr>
          <w:p>
            <w:pPr>
              <w:spacing w:after="0"/>
              <w:rPr>
                <w:sz w:val="18"/>
                <w:szCs w:val="18"/>
                <w:color w:val="auto"/>
              </w:rPr>
            </w:pPr>
          </w:p>
        </w:tc>
        <w:tc>
          <w:tcPr>
            <w:tcW w:w="1300" w:type="dxa"/>
            <w:vAlign w:val="bottom"/>
            <w:tcBorders>
              <w:bottom w:val="single" w:sz="8" w:color="DCE2EF"/>
            </w:tcBorders>
            <w:shd w:val="clear" w:color="auto" w:fill="DCE2EF"/>
          </w:tcPr>
          <w:p>
            <w:pPr>
              <w:jc w:val="right"/>
              <w:ind w:right="8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DCE2EF"/>
            </w:tcBorders>
            <w:shd w:val="clear" w:color="auto" w:fill="DCE2EF"/>
          </w:tcPr>
          <w:p>
            <w:pPr>
              <w:spacing w:after="0"/>
              <w:rPr>
                <w:sz w:val="18"/>
                <w:szCs w:val="18"/>
                <w:color w:val="auto"/>
              </w:rPr>
            </w:pPr>
          </w:p>
        </w:tc>
        <w:tc>
          <w:tcPr>
            <w:tcW w:w="300" w:type="dxa"/>
            <w:vAlign w:val="bottom"/>
            <w:tcBorders>
              <w:bottom w:val="single" w:sz="8" w:color="DCE2EF"/>
            </w:tcBorders>
            <w:shd w:val="clear" w:color="auto" w:fill="DCE2EF"/>
          </w:tcPr>
          <w:p>
            <w:pPr>
              <w:spacing w:after="0"/>
              <w:rPr>
                <w:sz w:val="18"/>
                <w:szCs w:val="18"/>
                <w:color w:val="auto"/>
              </w:rPr>
            </w:pPr>
          </w:p>
        </w:tc>
        <w:tc>
          <w:tcPr>
            <w:tcW w:w="9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(0.7)</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9"/>
              </w:rPr>
              <w:t>(52.9)%</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47.2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2"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2,629.1</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2,557.1</w:t>
            </w:r>
          </w:p>
        </w:tc>
        <w:tc>
          <w:tcPr>
            <w:tcW w:w="100" w:type="dxa"/>
            <w:vAlign w:val="bottom"/>
            <w:tcBorders>
              <w:bottom w:val="single" w:sz="8" w:color="DCE2EF"/>
            </w:tcBorders>
            <w:shd w:val="clear" w:color="auto" w:fill="DCE2EF"/>
          </w:tcPr>
          <w:p>
            <w:pPr>
              <w:spacing w:after="0"/>
              <w:rPr>
                <w:sz w:val="21"/>
                <w:szCs w:val="21"/>
                <w:color w:val="auto"/>
              </w:rPr>
            </w:pPr>
          </w:p>
        </w:tc>
        <w:tc>
          <w:tcPr>
            <w:tcW w:w="660" w:type="dxa"/>
            <w:vAlign w:val="bottom"/>
            <w:tcBorders>
              <w:bottom w:val="single" w:sz="8" w:color="DCE2EF"/>
            </w:tcBorders>
            <w:shd w:val="clear" w:color="auto" w:fill="DCE2EF"/>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DCE2EF"/>
            </w:tcBorders>
            <w:shd w:val="clear" w:color="auto" w:fill="DCE2EF"/>
          </w:tcPr>
          <w:p>
            <w:pPr>
              <w:jc w:val="right"/>
              <w:ind w:right="594"/>
              <w:spacing w:after="0"/>
              <w:rPr>
                <w:sz w:val="20"/>
                <w:szCs w:val="20"/>
                <w:color w:val="auto"/>
              </w:rPr>
            </w:pPr>
            <w:r>
              <w:rPr>
                <w:rFonts w:ascii="Arial" w:cs="Arial" w:eastAsia="Arial" w:hAnsi="Arial"/>
                <w:sz w:val="18"/>
                <w:szCs w:val="18"/>
                <w:color w:val="auto"/>
              </w:rPr>
              <w:t>72.0</w:t>
            </w:r>
          </w:p>
        </w:tc>
        <w:tc>
          <w:tcPr>
            <w:tcW w:w="124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2.8%</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24.0</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21.5%</w:t>
            </w:r>
          </w:p>
        </w:tc>
      </w:tr>
      <w:tr>
        <w:trPr>
          <w:trHeight w:val="250"/>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5.2%</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shd w:val="clear" w:color="auto" w:fill="DCE2EF"/>
          </w:tcPr>
          <w:p>
            <w:pPr>
              <w:spacing w:after="0"/>
              <w:rPr>
                <w:sz w:val="21"/>
                <w:szCs w:val="21"/>
                <w:color w:val="auto"/>
              </w:rPr>
            </w:pPr>
          </w:p>
        </w:tc>
        <w:tc>
          <w:tcPr>
            <w:tcW w:w="660" w:type="dxa"/>
            <w:vAlign w:val="bottom"/>
            <w:shd w:val="clear" w:color="auto" w:fill="DCE2EF"/>
          </w:tcPr>
          <w:p>
            <w:pPr>
              <w:spacing w:after="0"/>
              <w:rPr>
                <w:sz w:val="21"/>
                <w:szCs w:val="21"/>
                <w:color w:val="auto"/>
              </w:rPr>
            </w:pPr>
          </w:p>
        </w:tc>
        <w:tc>
          <w:tcPr>
            <w:tcW w:w="162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79 bps</w:t>
            </w:r>
          </w:p>
        </w:tc>
        <w:tc>
          <w:tcPr>
            <w:tcW w:w="124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60" w:type="dxa"/>
            <w:vAlign w:val="bottom"/>
            <w:shd w:val="clear" w:color="auto" w:fill="DCE2EF"/>
          </w:tcPr>
          <w:p>
            <w:pPr>
              <w:spacing w:after="0"/>
              <w:rPr>
                <w:sz w:val="2"/>
                <w:szCs w:val="2"/>
                <w:color w:val="auto"/>
              </w:rPr>
            </w:pPr>
          </w:p>
        </w:tc>
        <w:tc>
          <w:tcPr>
            <w:tcW w:w="1620" w:type="dxa"/>
            <w:vAlign w:val="bottom"/>
            <w:shd w:val="clear" w:color="auto" w:fill="DCE2EF"/>
          </w:tcPr>
          <w:p>
            <w:pPr>
              <w:spacing w:after="0"/>
              <w:rPr>
                <w:sz w:val="2"/>
                <w:szCs w:val="2"/>
                <w:color w:val="auto"/>
              </w:rPr>
            </w:pPr>
          </w:p>
        </w:tc>
        <w:tc>
          <w:tcPr>
            <w:tcW w:w="124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B&amp;I revenues increased by $72.0 million, or 2.8%, during 2017, as compared to 2016. The increase was primarily attributable to new janitorial business, including new contract wins in the United Kingdom and additional tag revenue, as well as expansion of existing facility services accounts, and $27.4 million of incremental revenues from the GCA acquisition. Management reimbursement revenues for this segment totaled $234.1 million and $227.8 million during 2017 and 2016, respectively.</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Operating profit increased by $24.0 million, or 21.5%, during 2017, as compared to 2016. Operating profit margin increased by 79 bps to 5.2% in 2017 from 4.4% in 2016. The increase in operating profit margin was primarily associated with higher margin revenues, cost control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lower legal settlement costs. This increase was partially offset by reserves recorded for multiemployer union benefit obligations from previous years and by lower profit margins associated with certain leased location arrangements.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990.4</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851.5</w:t>
            </w:r>
          </w:p>
        </w:tc>
        <w:tc>
          <w:tcPr>
            <w:tcW w:w="12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DCE2EF"/>
            </w:tcBorders>
            <w:shd w:val="clear" w:color="auto" w:fill="DCE2E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DCE2EF"/>
            </w:tcBorders>
            <w:shd w:val="clear" w:color="auto" w:fill="DCE2EF"/>
          </w:tcPr>
          <w:p>
            <w:pPr>
              <w:jc w:val="right"/>
              <w:ind w:right="354"/>
              <w:spacing w:after="0"/>
              <w:rPr>
                <w:sz w:val="20"/>
                <w:szCs w:val="20"/>
                <w:color w:val="auto"/>
              </w:rPr>
            </w:pPr>
            <w:r>
              <w:rPr>
                <w:rFonts w:ascii="Arial" w:cs="Arial" w:eastAsia="Arial" w:hAnsi="Arial"/>
                <w:sz w:val="18"/>
                <w:szCs w:val="18"/>
                <w:color w:val="auto"/>
              </w:rPr>
              <w:t>138.9</w:t>
            </w:r>
          </w:p>
        </w:tc>
        <w:tc>
          <w:tcPr>
            <w:tcW w:w="1480" w:type="dxa"/>
            <w:vAlign w:val="bottom"/>
            <w:tcBorders>
              <w:bottom w:val="single" w:sz="8" w:color="DCE2EF"/>
            </w:tcBorders>
            <w:shd w:val="clear" w:color="auto" w:fill="DCE2EF"/>
          </w:tcPr>
          <w:p>
            <w:pPr>
              <w:jc w:val="right"/>
              <w:ind w:right="510"/>
              <w:spacing w:after="0"/>
              <w:rPr>
                <w:sz w:val="20"/>
                <w:szCs w:val="20"/>
                <w:color w:val="auto"/>
              </w:rPr>
            </w:pPr>
            <w:r>
              <w:rPr>
                <w:rFonts w:ascii="Arial" w:cs="Arial" w:eastAsia="Arial" w:hAnsi="Arial"/>
                <w:sz w:val="18"/>
                <w:szCs w:val="18"/>
                <w:color w:val="auto"/>
              </w:rPr>
              <w:t>16.3%</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ind w:right="294"/>
              <w:spacing w:after="0"/>
              <w:rPr>
                <w:sz w:val="20"/>
                <w:szCs w:val="20"/>
                <w:color w:val="auto"/>
              </w:rPr>
            </w:pPr>
            <w:r>
              <w:rPr>
                <w:rFonts w:ascii="Arial" w:cs="Arial" w:eastAsia="Arial" w:hAnsi="Arial"/>
                <w:sz w:val="18"/>
                <w:szCs w:val="18"/>
                <w:color w:val="auto"/>
              </w:rPr>
              <w:t>(2.4)</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(8.6)%</w:t>
            </w:r>
          </w:p>
        </w:tc>
      </w:tr>
      <w:tr>
        <w:trPr>
          <w:trHeight w:val="250"/>
        </w:trPr>
        <w:tc>
          <w:tcPr>
            <w:tcW w:w="40" w:type="dxa"/>
            <w:vAlign w:val="bottom"/>
            <w:shd w:val="clear" w:color="auto" w:fill="DCE2EF"/>
          </w:tcPr>
          <w:p>
            <w:pPr>
              <w:spacing w:after="0"/>
              <w:rPr>
                <w:sz w:val="21"/>
                <w:szCs w:val="21"/>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2.6%</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DCE2EF"/>
          </w:tcPr>
          <w:p>
            <w:pPr>
              <w:spacing w:after="0"/>
              <w:rPr>
                <w:sz w:val="21"/>
                <w:szCs w:val="21"/>
                <w:color w:val="auto"/>
              </w:rPr>
            </w:pPr>
          </w:p>
        </w:tc>
        <w:tc>
          <w:tcPr>
            <w:tcW w:w="500" w:type="dxa"/>
            <w:vAlign w:val="bottom"/>
            <w:shd w:val="clear" w:color="auto" w:fill="DCE2EF"/>
          </w:tcPr>
          <w:p>
            <w:pPr>
              <w:spacing w:after="0"/>
              <w:rPr>
                <w:sz w:val="21"/>
                <w:szCs w:val="21"/>
                <w:color w:val="auto"/>
              </w:rPr>
            </w:pPr>
          </w:p>
        </w:tc>
        <w:tc>
          <w:tcPr>
            <w:tcW w:w="154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(70) bps</w:t>
            </w:r>
          </w:p>
        </w:tc>
        <w:tc>
          <w:tcPr>
            <w:tcW w:w="148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40" w:type="dxa"/>
            <w:vAlign w:val="bottom"/>
            <w:shd w:val="clear" w:color="auto" w:fill="DCE2EF"/>
          </w:tcPr>
          <w:p>
            <w:pPr>
              <w:spacing w:after="0"/>
              <w:rPr>
                <w:sz w:val="2"/>
                <w:szCs w:val="2"/>
                <w:color w:val="auto"/>
              </w:rPr>
            </w:pPr>
          </w:p>
        </w:tc>
        <w:tc>
          <w:tcPr>
            <w:tcW w:w="148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Aviation revenues increased by $138.9 million, or 16.3%, during 2017, as compared to 2016. The increase was primarily attributable to organic growth in parking, transportation, passenger services, cabin cleaning, and facility services. Management reimbursement revenues for this segment totaled $80.4 million and $78.2 million during 2017 and 2016, respectively.</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Operating profit decreased by $2.4 million, or 8.6%, during 2017, as compared to 2016. Operating profit margin decreased by 70 bps to 2.6% in 2017 from 3.3% in 2016. The decrease in operating profit margin was primarily attributable to a contract termination during 2017 and operational issues in certain geographic markets. This decrease was partially offset by lower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absence of both a penalty imposed by a regulatory agency and a specific reserve established for a client receivable in 2016.</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41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697.4</w:t>
            </w:r>
          </w:p>
        </w:tc>
        <w:tc>
          <w:tcPr>
            <w:tcW w:w="10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679.3</w:t>
            </w:r>
          </w:p>
        </w:tc>
        <w:tc>
          <w:tcPr>
            <w:tcW w:w="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DCE2EF"/>
            </w:tcBorders>
            <w:shd w:val="clear" w:color="auto" w:fill="DCE2EF"/>
          </w:tcPr>
          <w:p>
            <w:pPr>
              <w:jc w:val="right"/>
              <w:ind w:right="314"/>
              <w:spacing w:after="0"/>
              <w:rPr>
                <w:sz w:val="20"/>
                <w:szCs w:val="20"/>
                <w:color w:val="auto"/>
              </w:rPr>
            </w:pPr>
            <w:r>
              <w:rPr>
                <w:rFonts w:ascii="Arial" w:cs="Arial" w:eastAsia="Arial" w:hAnsi="Arial"/>
                <w:sz w:val="18"/>
                <w:szCs w:val="18"/>
                <w:color w:val="auto"/>
              </w:rPr>
              <w:t>18.1</w:t>
            </w:r>
          </w:p>
        </w:tc>
        <w:tc>
          <w:tcPr>
            <w:tcW w:w="152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2.7%</w:t>
            </w:r>
          </w:p>
        </w:tc>
      </w:tr>
      <w:tr>
        <w:trPr>
          <w:trHeight w:val="26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jc w:val="right"/>
              <w:ind w:right="254"/>
              <w:spacing w:after="0"/>
              <w:rPr>
                <w:sz w:val="20"/>
                <w:szCs w:val="20"/>
                <w:color w:val="auto"/>
              </w:rPr>
            </w:pPr>
            <w:r>
              <w:rPr>
                <w:rFonts w:ascii="Arial" w:cs="Arial" w:eastAsia="Arial" w:hAnsi="Arial"/>
                <w:sz w:val="18"/>
                <w:szCs w:val="18"/>
                <w:color w:val="auto"/>
              </w:rPr>
              <w:t>(7.0)</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(12.7)%</w:t>
            </w:r>
          </w:p>
        </w:tc>
      </w:tr>
      <w:tr>
        <w:trPr>
          <w:trHeight w:val="250"/>
        </w:trPr>
        <w:tc>
          <w:tcPr>
            <w:tcW w:w="40" w:type="dxa"/>
            <w:vAlign w:val="bottom"/>
            <w:shd w:val="clear" w:color="auto" w:fill="DCE2EF"/>
          </w:tcPr>
          <w:p>
            <w:pPr>
              <w:spacing w:after="0"/>
              <w:rPr>
                <w:sz w:val="21"/>
                <w:szCs w:val="21"/>
                <w:color w:val="auto"/>
              </w:rPr>
            </w:pPr>
          </w:p>
        </w:tc>
        <w:tc>
          <w:tcPr>
            <w:tcW w:w="414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6.9%</w:t>
            </w:r>
          </w:p>
        </w:tc>
        <w:tc>
          <w:tcPr>
            <w:tcW w:w="10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8.1%</w:t>
            </w:r>
          </w:p>
        </w:tc>
        <w:tc>
          <w:tcPr>
            <w:tcW w:w="100" w:type="dxa"/>
            <w:vAlign w:val="bottom"/>
            <w:shd w:val="clear" w:color="auto" w:fill="DCE2EF"/>
          </w:tcPr>
          <w:p>
            <w:pPr>
              <w:spacing w:after="0"/>
              <w:rPr>
                <w:sz w:val="21"/>
                <w:szCs w:val="21"/>
                <w:color w:val="auto"/>
              </w:rPr>
            </w:pPr>
          </w:p>
        </w:tc>
        <w:tc>
          <w:tcPr>
            <w:tcW w:w="500" w:type="dxa"/>
            <w:vAlign w:val="bottom"/>
            <w:shd w:val="clear" w:color="auto" w:fill="DCE2EF"/>
          </w:tcPr>
          <w:p>
            <w:pPr>
              <w:spacing w:after="0"/>
              <w:rPr>
                <w:sz w:val="21"/>
                <w:szCs w:val="21"/>
                <w:color w:val="auto"/>
              </w:rPr>
            </w:pPr>
          </w:p>
        </w:tc>
        <w:tc>
          <w:tcPr>
            <w:tcW w:w="1500" w:type="dxa"/>
            <w:vAlign w:val="bottom"/>
            <w:shd w:val="clear" w:color="auto" w:fill="DCE2EF"/>
          </w:tcPr>
          <w:p>
            <w:pPr>
              <w:jc w:val="right"/>
              <w:ind w:right="314"/>
              <w:spacing w:after="0"/>
              <w:rPr>
                <w:sz w:val="20"/>
                <w:szCs w:val="20"/>
                <w:color w:val="auto"/>
              </w:rPr>
            </w:pPr>
            <w:r>
              <w:rPr>
                <w:rFonts w:ascii="Arial" w:cs="Arial" w:eastAsia="Arial" w:hAnsi="Arial"/>
                <w:sz w:val="14"/>
                <w:szCs w:val="14"/>
                <w:i w:val="1"/>
                <w:iCs w:val="1"/>
                <w:color w:val="auto"/>
              </w:rPr>
              <w:t>(121) bps</w:t>
            </w:r>
          </w:p>
        </w:tc>
        <w:tc>
          <w:tcPr>
            <w:tcW w:w="152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00" w:type="dxa"/>
            <w:vAlign w:val="bottom"/>
            <w:shd w:val="clear" w:color="auto" w:fill="DCE2EF"/>
          </w:tcPr>
          <w:p>
            <w:pPr>
              <w:spacing w:after="0"/>
              <w:rPr>
                <w:sz w:val="2"/>
                <w:szCs w:val="2"/>
                <w:color w:val="auto"/>
              </w:rPr>
            </w:pPr>
          </w:p>
        </w:tc>
        <w:tc>
          <w:tcPr>
            <w:tcW w:w="1500" w:type="dxa"/>
            <w:vAlign w:val="bottom"/>
            <w:shd w:val="clear" w:color="auto" w:fill="DCE2EF"/>
          </w:tcPr>
          <w:p>
            <w:pPr>
              <w:spacing w:after="0"/>
              <w:rPr>
                <w:sz w:val="2"/>
                <w:szCs w:val="2"/>
                <w:color w:val="auto"/>
              </w:rPr>
            </w:pPr>
          </w:p>
        </w:tc>
        <w:tc>
          <w:tcPr>
            <w:tcW w:w="152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T&amp;M revenues increased by $18.1 million, or 2.7%, during 2017, as compared to 2016. The increase was primarily related to incremental revenues from the GCA acquisition of $39.6 million, partially offset by the loss of certain accounts.</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decreased by $7.0 million, or 12.7%, during 2017, as compared to 2016. Operating profit margin decreased by 121 bps to 6.9% in 2017 from 8.1% in 2016. The decrease in operating profit margin was primarily attributable to lower contribution margin from certain contracts, including the loss of a multi-location janitorial account, and higher amortization expense from the GCA acquisition.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7" w:right="239" w:bottom="1440" w:gutter="0" w:footer="0" w:header="0"/>
        </w:sectPr>
      </w:pPr>
    </w:p>
    <w:bookmarkStart w:id="38" w:name="page39"/>
    <w:bookmarkEnd w:id="38"/>
    <w:tbl>
      <w:tblPr>
        <w:tblLayout w:type="fixed"/>
        <w:tblInd w:w="40" w:type="dxa"/>
        <w:tblCellMar>
          <w:top w:w="0" w:type="dxa"/>
          <w:left w:w="0" w:type="dxa"/>
          <w:bottom w:w="0" w:type="dxa"/>
          <w:right w:w="0" w:type="dxa"/>
        </w:tblCellMar>
      </w:tblPr>
      <w:tr>
        <w:trPr>
          <w:trHeight w:val="239"/>
        </w:trPr>
        <w:tc>
          <w:tcPr>
            <w:tcW w:w="41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0"/>
        </w:trPr>
        <w:tc>
          <w:tcPr>
            <w:tcW w:w="41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28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28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363.1</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DCE2EF"/>
            </w:tcBorders>
            <w:shd w:val="clear" w:color="auto" w:fill="DCE2EF"/>
          </w:tcPr>
          <w:p>
            <w:pPr>
              <w:spacing w:after="0"/>
              <w:rPr>
                <w:sz w:val="21"/>
                <w:szCs w:val="21"/>
                <w:color w:val="auto"/>
              </w:rPr>
            </w:pPr>
          </w:p>
        </w:tc>
        <w:tc>
          <w:tcPr>
            <w:tcW w:w="48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DCE2EF"/>
            </w:tcBorders>
            <w:shd w:val="clear" w:color="auto" w:fill="DCE2EF"/>
          </w:tcPr>
          <w:p>
            <w:pPr>
              <w:jc w:val="right"/>
              <w:ind w:right="334"/>
              <w:spacing w:after="0"/>
              <w:rPr>
                <w:sz w:val="20"/>
                <w:szCs w:val="20"/>
                <w:color w:val="auto"/>
              </w:rPr>
            </w:pPr>
            <w:r>
              <w:rPr>
                <w:rFonts w:ascii="Arial" w:cs="Arial" w:eastAsia="Arial" w:hAnsi="Arial"/>
                <w:sz w:val="18"/>
                <w:szCs w:val="18"/>
                <w:color w:val="auto"/>
              </w:rPr>
              <w:t>91.0</w:t>
            </w:r>
          </w:p>
        </w:tc>
        <w:tc>
          <w:tcPr>
            <w:tcW w:w="1500" w:type="dxa"/>
            <w:vAlign w:val="bottom"/>
            <w:tcBorders>
              <w:bottom w:val="single" w:sz="8" w:color="DCE2EF"/>
            </w:tcBorders>
            <w:shd w:val="clear" w:color="auto" w:fill="DCE2EF"/>
          </w:tcPr>
          <w:p>
            <w:pPr>
              <w:jc w:val="right"/>
              <w:ind w:right="510"/>
              <w:spacing w:after="0"/>
              <w:rPr>
                <w:sz w:val="20"/>
                <w:szCs w:val="20"/>
                <w:color w:val="auto"/>
              </w:rPr>
            </w:pPr>
            <w:r>
              <w:rPr>
                <w:rFonts w:ascii="Arial" w:cs="Arial" w:eastAsia="Arial" w:hAnsi="Arial"/>
                <w:sz w:val="18"/>
                <w:szCs w:val="18"/>
                <w:color w:val="auto"/>
              </w:rPr>
              <w:t>33.5%</w:t>
            </w:r>
          </w:p>
        </w:tc>
      </w:tr>
      <w:tr>
        <w:trPr>
          <w:trHeight w:val="263"/>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jc w:val="right"/>
              <w:ind w:right="334"/>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3.7%</w:t>
            </w:r>
          </w:p>
        </w:tc>
      </w:tr>
      <w:tr>
        <w:trPr>
          <w:trHeight w:val="250"/>
        </w:trPr>
        <w:tc>
          <w:tcPr>
            <w:tcW w:w="20" w:type="dxa"/>
            <w:vAlign w:val="bottom"/>
            <w:shd w:val="clear" w:color="auto" w:fill="DCE2EF"/>
          </w:tcPr>
          <w:p>
            <w:pPr>
              <w:spacing w:after="0"/>
              <w:rPr>
                <w:sz w:val="21"/>
                <w:szCs w:val="21"/>
                <w:color w:val="auto"/>
              </w:rPr>
            </w:pPr>
          </w:p>
        </w:tc>
        <w:tc>
          <w:tcPr>
            <w:tcW w:w="410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5.0%</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6.4%</w:t>
            </w:r>
          </w:p>
        </w:tc>
        <w:tc>
          <w:tcPr>
            <w:tcW w:w="120" w:type="dxa"/>
            <w:vAlign w:val="bottom"/>
            <w:shd w:val="clear" w:color="auto" w:fill="DCE2EF"/>
          </w:tcPr>
          <w:p>
            <w:pPr>
              <w:spacing w:after="0"/>
              <w:rPr>
                <w:sz w:val="21"/>
                <w:szCs w:val="21"/>
                <w:color w:val="auto"/>
              </w:rPr>
            </w:pPr>
          </w:p>
        </w:tc>
        <w:tc>
          <w:tcPr>
            <w:tcW w:w="480" w:type="dxa"/>
            <w:vAlign w:val="bottom"/>
            <w:shd w:val="clear" w:color="auto" w:fill="DCE2EF"/>
          </w:tcPr>
          <w:p>
            <w:pPr>
              <w:spacing w:after="0"/>
              <w:rPr>
                <w:sz w:val="21"/>
                <w:szCs w:val="21"/>
                <w:color w:val="auto"/>
              </w:rPr>
            </w:pPr>
          </w:p>
        </w:tc>
        <w:tc>
          <w:tcPr>
            <w:tcW w:w="1520" w:type="dxa"/>
            <w:vAlign w:val="bottom"/>
            <w:shd w:val="clear" w:color="auto" w:fill="DCE2EF"/>
          </w:tcPr>
          <w:p>
            <w:pPr>
              <w:jc w:val="right"/>
              <w:ind w:right="334"/>
              <w:spacing w:after="0"/>
              <w:rPr>
                <w:sz w:val="20"/>
                <w:szCs w:val="20"/>
                <w:color w:val="auto"/>
              </w:rPr>
            </w:pPr>
            <w:r>
              <w:rPr>
                <w:rFonts w:ascii="Arial" w:cs="Arial" w:eastAsia="Arial" w:hAnsi="Arial"/>
                <w:sz w:val="14"/>
                <w:szCs w:val="14"/>
                <w:i w:val="1"/>
                <w:iCs w:val="1"/>
                <w:color w:val="auto"/>
              </w:rPr>
              <w:t>(143) bps</w:t>
            </w:r>
          </w:p>
        </w:tc>
        <w:tc>
          <w:tcPr>
            <w:tcW w:w="150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28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80" w:type="dxa"/>
            <w:vAlign w:val="bottom"/>
            <w:shd w:val="clear" w:color="auto" w:fill="DCE2EF"/>
          </w:tcPr>
          <w:p>
            <w:pPr>
              <w:spacing w:after="0"/>
              <w:rPr>
                <w:sz w:val="2"/>
                <w:szCs w:val="2"/>
                <w:color w:val="auto"/>
              </w:rPr>
            </w:pPr>
          </w:p>
        </w:tc>
        <w:tc>
          <w:tcPr>
            <w:tcW w:w="1520" w:type="dxa"/>
            <w:vAlign w:val="bottom"/>
            <w:shd w:val="clear" w:color="auto" w:fill="DCE2EF"/>
          </w:tcPr>
          <w:p>
            <w:pPr>
              <w:spacing w:after="0"/>
              <w:rPr>
                <w:sz w:val="2"/>
                <w:szCs w:val="2"/>
                <w:color w:val="auto"/>
              </w:rPr>
            </w:pPr>
          </w:p>
        </w:tc>
        <w:tc>
          <w:tcPr>
            <w:tcW w:w="150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Education revenues increased by $91.0 million, or 33.5%, during 2017, as compared to 2016. The increase was primarily attributable to incremental revenues from the GCA acquisition of $94.9 million.</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increased by $0.6 million, or 3.7%, during 2017, as compared to 2016. Operating profit margin decreased by 143 bps to 5.0% in 2017 from 6.4% in 2016. The decrease in operating profit margin was primarily attributable to the loss of certain higher margin contracts and higher amortization expense from the GCA acquisition.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Technical Solutions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4"/>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8"/>
                <w:szCs w:val="18"/>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30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439.6</w:t>
            </w:r>
          </w:p>
        </w:tc>
        <w:tc>
          <w:tcPr>
            <w:tcW w:w="120" w:type="dxa"/>
            <w:vAlign w:val="bottom"/>
            <w:tcBorders>
              <w:bottom w:val="single" w:sz="8" w:color="DCE2EF"/>
            </w:tcBorders>
            <w:shd w:val="clear" w:color="auto" w:fill="DCE2EF"/>
          </w:tcPr>
          <w:p>
            <w:pPr>
              <w:spacing w:after="0"/>
              <w:rPr>
                <w:sz w:val="20"/>
                <w:szCs w:val="20"/>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425.3</w:t>
            </w:r>
          </w:p>
        </w:tc>
        <w:tc>
          <w:tcPr>
            <w:tcW w:w="100" w:type="dxa"/>
            <w:vAlign w:val="bottom"/>
            <w:tcBorders>
              <w:bottom w:val="single" w:sz="8" w:color="DCE2EF"/>
            </w:tcBorders>
            <w:shd w:val="clear" w:color="auto" w:fill="DCE2EF"/>
          </w:tcPr>
          <w:p>
            <w:pPr>
              <w:spacing w:after="0"/>
              <w:rPr>
                <w:sz w:val="20"/>
                <w:szCs w:val="20"/>
                <w:color w:val="auto"/>
              </w:rPr>
            </w:pPr>
          </w:p>
        </w:tc>
        <w:tc>
          <w:tcPr>
            <w:tcW w:w="620" w:type="dxa"/>
            <w:vAlign w:val="bottom"/>
            <w:tcBorders>
              <w:bottom w:val="single" w:sz="8" w:color="DCE2EF"/>
            </w:tcBorders>
            <w:shd w:val="clear" w:color="auto" w:fill="DCE2E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DCE2EF"/>
            </w:tcBorders>
            <w:shd w:val="clear" w:color="auto" w:fill="DCE2EF"/>
          </w:tcPr>
          <w:p>
            <w:pPr>
              <w:jc w:val="right"/>
              <w:ind w:right="594"/>
              <w:spacing w:after="0"/>
              <w:rPr>
                <w:sz w:val="20"/>
                <w:szCs w:val="20"/>
                <w:color w:val="auto"/>
              </w:rPr>
            </w:pPr>
            <w:r>
              <w:rPr>
                <w:rFonts w:ascii="Arial" w:cs="Arial" w:eastAsia="Arial" w:hAnsi="Arial"/>
                <w:sz w:val="18"/>
                <w:szCs w:val="18"/>
                <w:color w:val="auto"/>
              </w:rPr>
              <w:t>14.3</w:t>
            </w:r>
          </w:p>
        </w:tc>
        <w:tc>
          <w:tcPr>
            <w:tcW w:w="124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3.4%</w:t>
            </w:r>
          </w:p>
        </w:tc>
      </w:tr>
      <w:tr>
        <w:trPr>
          <w:trHeight w:val="250"/>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8.7</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29.9%</w:t>
            </w:r>
          </w:p>
        </w:tc>
      </w:tr>
      <w:tr>
        <w:trPr>
          <w:trHeight w:val="196"/>
        </w:trPr>
        <w:tc>
          <w:tcPr>
            <w:tcW w:w="40" w:type="dxa"/>
            <w:vAlign w:val="bottom"/>
            <w:shd w:val="clear" w:color="auto" w:fill="DCE2EF"/>
          </w:tcPr>
          <w:p>
            <w:pPr>
              <w:spacing w:after="0"/>
              <w:rPr>
                <w:sz w:val="17"/>
                <w:szCs w:val="17"/>
                <w:color w:val="auto"/>
              </w:rPr>
            </w:pPr>
          </w:p>
        </w:tc>
        <w:tc>
          <w:tcPr>
            <w:tcW w:w="41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17"/>
                <w:szCs w:val="17"/>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8.5%</w:t>
            </w:r>
          </w:p>
        </w:tc>
        <w:tc>
          <w:tcPr>
            <w:tcW w:w="12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6.8%</w:t>
            </w:r>
          </w:p>
        </w:tc>
        <w:tc>
          <w:tcPr>
            <w:tcW w:w="100" w:type="dxa"/>
            <w:vAlign w:val="bottom"/>
            <w:shd w:val="clear" w:color="auto" w:fill="DCE2EF"/>
          </w:tcPr>
          <w:p>
            <w:pPr>
              <w:spacing w:after="0"/>
              <w:rPr>
                <w:sz w:val="17"/>
                <w:szCs w:val="17"/>
                <w:color w:val="auto"/>
              </w:rPr>
            </w:pPr>
          </w:p>
        </w:tc>
        <w:tc>
          <w:tcPr>
            <w:tcW w:w="62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175 bps</w:t>
            </w:r>
          </w:p>
        </w:tc>
        <w:tc>
          <w:tcPr>
            <w:tcW w:w="1240" w:type="dxa"/>
            <w:vAlign w:val="bottom"/>
            <w:shd w:val="clear" w:color="auto" w:fill="DCE2EF"/>
          </w:tcPr>
          <w:p>
            <w:pPr>
              <w:spacing w:after="0"/>
              <w:rPr>
                <w:sz w:val="17"/>
                <w:szCs w:val="17"/>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0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20" w:type="dxa"/>
            <w:vAlign w:val="bottom"/>
            <w:shd w:val="clear" w:color="auto" w:fill="DCE2EF"/>
          </w:tcPr>
          <w:p>
            <w:pPr>
              <w:spacing w:after="0"/>
              <w:rPr>
                <w:sz w:val="2"/>
                <w:szCs w:val="2"/>
                <w:color w:val="auto"/>
              </w:rPr>
            </w:pPr>
          </w:p>
        </w:tc>
        <w:tc>
          <w:tcPr>
            <w:tcW w:w="1660" w:type="dxa"/>
            <w:vAlign w:val="bottom"/>
            <w:shd w:val="clear" w:color="auto" w:fill="DCE2EF"/>
          </w:tcPr>
          <w:p>
            <w:pPr>
              <w:spacing w:after="0"/>
              <w:rPr>
                <w:sz w:val="2"/>
                <w:szCs w:val="2"/>
                <w:color w:val="auto"/>
              </w:rPr>
            </w:pPr>
          </w:p>
        </w:tc>
        <w:tc>
          <w:tcPr>
            <w:tcW w:w="124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Technical Solutions revenues increased by $ 14.3 million, or 3.4%, during 2017, as compared to 2016. The increase was primarily attributable to incremental revenues from acquisitions of $18.1 million and higher project revenues, partially offset by the completion of a large ESPC project.</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$8.7 million, or 29.9%, during 2017, as compared to 2016. Operating profit margin increased by 175 bps to 8.5% in 2017 from 6.8% in 2016. The increase in operating profit margin was primarily attributable to the completion of a relatively lower margin ESPC project that started in 2016, the management of our selling, general and administrative expenses, a reduction in bad debt, and higher operational tax credits for energy efficient government building projects.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1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Healthcare</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0"/>
        </w:trPr>
        <w:tc>
          <w:tcPr>
            <w:tcW w:w="41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28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328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DCE2EF"/>
            </w:tcBorders>
            <w:shd w:val="clear" w:color="auto" w:fill="DCE2EF"/>
          </w:tcPr>
          <w:p>
            <w:pPr>
              <w:spacing w:after="0"/>
              <w:rPr>
                <w:sz w:val="21"/>
                <w:szCs w:val="21"/>
                <w:color w:val="auto"/>
              </w:rPr>
            </w:pP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242.7</w:t>
            </w:r>
          </w:p>
        </w:tc>
        <w:tc>
          <w:tcPr>
            <w:tcW w:w="120" w:type="dxa"/>
            <w:vAlign w:val="bottom"/>
            <w:tcBorders>
              <w:bottom w:val="single" w:sz="8" w:color="DCE2EF"/>
            </w:tcBorders>
            <w:shd w:val="clear" w:color="auto" w:fill="DCE2EF"/>
          </w:tcPr>
          <w:p>
            <w:pPr>
              <w:spacing w:after="0"/>
              <w:rPr>
                <w:sz w:val="21"/>
                <w:szCs w:val="21"/>
                <w:color w:val="auto"/>
              </w:rPr>
            </w:pPr>
          </w:p>
        </w:tc>
        <w:tc>
          <w:tcPr>
            <w:tcW w:w="480" w:type="dxa"/>
            <w:vAlign w:val="bottom"/>
            <w:tcBorders>
              <w:bottom w:val="single" w:sz="8" w:color="DCE2EF"/>
            </w:tcBorders>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DCE2EF"/>
            </w:tcBorders>
            <w:shd w:val="clear" w:color="auto" w:fill="DCE2EF"/>
          </w:tcPr>
          <w:p>
            <w:pPr>
              <w:jc w:val="right"/>
              <w:ind w:right="334"/>
              <w:spacing w:after="0"/>
              <w:rPr>
                <w:sz w:val="20"/>
                <w:szCs w:val="20"/>
                <w:color w:val="auto"/>
              </w:rPr>
            </w:pPr>
            <w:r>
              <w:rPr>
                <w:rFonts w:ascii="Arial" w:cs="Arial" w:eastAsia="Arial" w:hAnsi="Arial"/>
                <w:sz w:val="18"/>
                <w:szCs w:val="18"/>
                <w:color w:val="auto"/>
              </w:rPr>
              <w:t>4.8</w:t>
            </w:r>
          </w:p>
        </w:tc>
        <w:tc>
          <w:tcPr>
            <w:tcW w:w="150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2.0%</w:t>
            </w:r>
          </w:p>
        </w:tc>
      </w:tr>
      <w:tr>
        <w:trPr>
          <w:trHeight w:val="263"/>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jc w:val="right"/>
              <w:ind w:right="274"/>
              <w:spacing w:after="0"/>
              <w:rPr>
                <w:sz w:val="20"/>
                <w:szCs w:val="20"/>
                <w:color w:val="auto"/>
              </w:rPr>
            </w:pPr>
            <w:r>
              <w:rPr>
                <w:rFonts w:ascii="Arial" w:cs="Arial" w:eastAsia="Arial" w:hAnsi="Arial"/>
                <w:sz w:val="18"/>
                <w:szCs w:val="18"/>
                <w:color w:val="auto"/>
              </w:rPr>
              <w:t>(2.1)</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(16.2)%</w:t>
            </w:r>
          </w:p>
        </w:tc>
      </w:tr>
      <w:tr>
        <w:trPr>
          <w:trHeight w:val="250"/>
        </w:trPr>
        <w:tc>
          <w:tcPr>
            <w:tcW w:w="20" w:type="dxa"/>
            <w:vAlign w:val="bottom"/>
            <w:shd w:val="clear" w:color="auto" w:fill="DCE2EF"/>
          </w:tcPr>
          <w:p>
            <w:pPr>
              <w:spacing w:after="0"/>
              <w:rPr>
                <w:sz w:val="21"/>
                <w:szCs w:val="21"/>
                <w:color w:val="auto"/>
              </w:rPr>
            </w:pPr>
          </w:p>
        </w:tc>
        <w:tc>
          <w:tcPr>
            <w:tcW w:w="410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4.3%</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5.2%</w:t>
            </w:r>
          </w:p>
        </w:tc>
        <w:tc>
          <w:tcPr>
            <w:tcW w:w="120" w:type="dxa"/>
            <w:vAlign w:val="bottom"/>
            <w:shd w:val="clear" w:color="auto" w:fill="DCE2EF"/>
          </w:tcPr>
          <w:p>
            <w:pPr>
              <w:spacing w:after="0"/>
              <w:rPr>
                <w:sz w:val="21"/>
                <w:szCs w:val="21"/>
                <w:color w:val="auto"/>
              </w:rPr>
            </w:pPr>
          </w:p>
        </w:tc>
        <w:tc>
          <w:tcPr>
            <w:tcW w:w="480" w:type="dxa"/>
            <w:vAlign w:val="bottom"/>
            <w:shd w:val="clear" w:color="auto" w:fill="DCE2EF"/>
          </w:tcPr>
          <w:p>
            <w:pPr>
              <w:spacing w:after="0"/>
              <w:rPr>
                <w:sz w:val="21"/>
                <w:szCs w:val="21"/>
                <w:color w:val="auto"/>
              </w:rPr>
            </w:pPr>
          </w:p>
        </w:tc>
        <w:tc>
          <w:tcPr>
            <w:tcW w:w="1520" w:type="dxa"/>
            <w:vAlign w:val="bottom"/>
            <w:shd w:val="clear" w:color="auto" w:fill="DCE2EF"/>
          </w:tcPr>
          <w:p>
            <w:pPr>
              <w:jc w:val="right"/>
              <w:ind w:right="334"/>
              <w:spacing w:after="0"/>
              <w:rPr>
                <w:sz w:val="20"/>
                <w:szCs w:val="20"/>
                <w:color w:val="auto"/>
              </w:rPr>
            </w:pPr>
            <w:r>
              <w:rPr>
                <w:rFonts w:ascii="Arial" w:cs="Arial" w:eastAsia="Arial" w:hAnsi="Arial"/>
                <w:sz w:val="14"/>
                <w:szCs w:val="14"/>
                <w:i w:val="1"/>
                <w:iCs w:val="1"/>
                <w:color w:val="auto"/>
              </w:rPr>
              <w:t>(93) bps</w:t>
            </w:r>
          </w:p>
        </w:tc>
        <w:tc>
          <w:tcPr>
            <w:tcW w:w="150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28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80" w:type="dxa"/>
            <w:vAlign w:val="bottom"/>
            <w:shd w:val="clear" w:color="auto" w:fill="DCE2EF"/>
          </w:tcPr>
          <w:p>
            <w:pPr>
              <w:spacing w:after="0"/>
              <w:rPr>
                <w:sz w:val="2"/>
                <w:szCs w:val="2"/>
                <w:color w:val="auto"/>
              </w:rPr>
            </w:pPr>
          </w:p>
        </w:tc>
        <w:tc>
          <w:tcPr>
            <w:tcW w:w="1520" w:type="dxa"/>
            <w:vAlign w:val="bottom"/>
            <w:shd w:val="clear" w:color="auto" w:fill="DCE2EF"/>
          </w:tcPr>
          <w:p>
            <w:pPr>
              <w:spacing w:after="0"/>
              <w:rPr>
                <w:sz w:val="2"/>
                <w:szCs w:val="2"/>
                <w:color w:val="auto"/>
              </w:rPr>
            </w:pPr>
          </w:p>
        </w:tc>
        <w:tc>
          <w:tcPr>
            <w:tcW w:w="150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Healthcare revenues increased by $4.8 million, or 2.0%, during 2017, as compared to 2016. This increase was primarily attributable to incremental revenues from the GCA acquisition of $5.0 million.</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decreased by $2.1 million, or 16.2%, during 2017, as compared to 2016. Operating profit margin decreased by 93 bps to 4.3% in 2017 from 5.2% in 2016. This decrease was primarily attributable to lower margin new business and a specific reserve established for a client receivable.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9"/>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Corporate</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Years Ended October 31,</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2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38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shd w:val="clear" w:color="auto" w:fill="DCE2EF"/>
          </w:tcPr>
          <w:p>
            <w:pPr>
              <w:spacing w:after="0"/>
              <w:rPr>
                <w:sz w:val="20"/>
                <w:szCs w:val="20"/>
                <w:color w:val="auto"/>
              </w:rPr>
            </w:pPr>
          </w:p>
        </w:tc>
        <w:tc>
          <w:tcPr>
            <w:tcW w:w="4200" w:type="dxa"/>
            <w:vAlign w:val="bottom"/>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Corporate expenses</w:t>
            </w:r>
          </w:p>
        </w:tc>
        <w:tc>
          <w:tcPr>
            <w:tcW w:w="1120" w:type="dxa"/>
            <w:vAlign w:val="bottom"/>
            <w:shd w:val="clear" w:color="auto" w:fill="DCE2E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DCE2EF"/>
          </w:tcPr>
          <w:p>
            <w:pPr>
              <w:spacing w:after="0"/>
              <w:rPr>
                <w:sz w:val="20"/>
                <w:szCs w:val="20"/>
                <w:color w:val="auto"/>
              </w:rPr>
            </w:pPr>
          </w:p>
        </w:tc>
        <w:tc>
          <w:tcPr>
            <w:tcW w:w="1100" w:type="dxa"/>
            <w:vAlign w:val="bottom"/>
            <w:shd w:val="clear" w:color="auto" w:fill="DCE2E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DCE2EF"/>
          </w:tcPr>
          <w:p>
            <w:pPr>
              <w:spacing w:after="0"/>
              <w:rPr>
                <w:sz w:val="20"/>
                <w:szCs w:val="20"/>
                <w:color w:val="auto"/>
              </w:rPr>
            </w:pPr>
          </w:p>
        </w:tc>
        <w:tc>
          <w:tcPr>
            <w:tcW w:w="680" w:type="dxa"/>
            <w:vAlign w:val="bottom"/>
            <w:shd w:val="clear" w:color="auto" w:fill="DCE2EF"/>
          </w:tcPr>
          <w:p>
            <w:pPr>
              <w:jc w:val="right"/>
              <w:ind w:right="4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CE2EF"/>
          </w:tcPr>
          <w:p>
            <w:pPr>
              <w:jc w:val="right"/>
              <w:ind w:right="590"/>
              <w:spacing w:after="0"/>
              <w:rPr>
                <w:sz w:val="20"/>
                <w:szCs w:val="20"/>
                <w:color w:val="auto"/>
              </w:rPr>
            </w:pPr>
            <w:r>
              <w:rPr>
                <w:rFonts w:ascii="Arial" w:cs="Arial" w:eastAsia="Arial" w:hAnsi="Arial"/>
                <w:sz w:val="18"/>
                <w:szCs w:val="18"/>
                <w:color w:val="auto"/>
              </w:rPr>
              <w:t>21.8</w:t>
            </w:r>
          </w:p>
        </w:tc>
        <w:tc>
          <w:tcPr>
            <w:tcW w:w="1240" w:type="dxa"/>
            <w:vAlign w:val="bottom"/>
            <w:shd w:val="clear" w:color="auto" w:fill="DCE2EF"/>
          </w:tcPr>
          <w:p>
            <w:pPr>
              <w:jc w:val="right"/>
              <w:ind w:right="510"/>
              <w:spacing w:after="0"/>
              <w:rPr>
                <w:sz w:val="20"/>
                <w:szCs w:val="20"/>
                <w:color w:val="auto"/>
              </w:rPr>
            </w:pPr>
            <w:r>
              <w:rPr>
                <w:rFonts w:ascii="Arial" w:cs="Arial" w:eastAsia="Arial" w:hAnsi="Arial"/>
                <w:sz w:val="18"/>
                <w:szCs w:val="18"/>
                <w:color w:val="auto"/>
              </w:rPr>
              <w:t>13.0%</w:t>
            </w: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3380" w:type="dxa"/>
            <w:vAlign w:val="bottom"/>
            <w:shd w:val="clear" w:color="auto" w:fill="DCE2EF"/>
          </w:tcPr>
          <w:p>
            <w:pPr>
              <w:spacing w:after="0"/>
              <w:rPr>
                <w:sz w:val="2"/>
                <w:szCs w:val="2"/>
                <w:color w:val="auto"/>
              </w:rPr>
            </w:pPr>
          </w:p>
        </w:tc>
        <w:tc>
          <w:tcPr>
            <w:tcW w:w="1120" w:type="dxa"/>
            <w:vAlign w:val="bottom"/>
            <w:shd w:val="clear" w:color="auto" w:fill="DCE2EF"/>
          </w:tcPr>
          <w:p>
            <w:pPr>
              <w:spacing w:after="0"/>
              <w:rPr>
                <w:sz w:val="2"/>
                <w:szCs w:val="2"/>
                <w:color w:val="auto"/>
              </w:rPr>
            </w:pPr>
          </w:p>
        </w:tc>
        <w:tc>
          <w:tcPr>
            <w:tcW w:w="60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1100" w:type="dxa"/>
            <w:vAlign w:val="bottom"/>
            <w:shd w:val="clear" w:color="auto" w:fill="DCE2EF"/>
          </w:tcPr>
          <w:p>
            <w:pPr>
              <w:spacing w:after="0"/>
              <w:rPr>
                <w:sz w:val="2"/>
                <w:szCs w:val="2"/>
                <w:color w:val="auto"/>
              </w:rPr>
            </w:pPr>
          </w:p>
        </w:tc>
        <w:tc>
          <w:tcPr>
            <w:tcW w:w="60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680" w:type="dxa"/>
            <w:vAlign w:val="bottom"/>
            <w:shd w:val="clear" w:color="auto" w:fill="DCE2EF"/>
          </w:tcPr>
          <w:p>
            <w:pPr>
              <w:spacing w:after="0"/>
              <w:rPr>
                <w:sz w:val="2"/>
                <w:szCs w:val="2"/>
                <w:color w:val="auto"/>
              </w:rPr>
            </w:pPr>
          </w:p>
        </w:tc>
        <w:tc>
          <w:tcPr>
            <w:tcW w:w="1600" w:type="dxa"/>
            <w:vAlign w:val="bottom"/>
            <w:shd w:val="clear" w:color="auto" w:fill="DCE2EF"/>
          </w:tcPr>
          <w:p>
            <w:pPr>
              <w:spacing w:after="0"/>
              <w:rPr>
                <w:sz w:val="2"/>
                <w:szCs w:val="2"/>
                <w:color w:val="auto"/>
              </w:rPr>
            </w:pPr>
          </w:p>
        </w:tc>
        <w:tc>
          <w:tcPr>
            <w:tcW w:w="124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$21.8 million, or 13.0%, during 2017, as compared to 2016. The increase in corporate expenses was primarily related to:</w:t>
      </w:r>
    </w:p>
    <w:p>
      <w:pPr>
        <w:spacing w:after="0" w:line="14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$24.2 million of transaction expenses related to the GCA acquisition;</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 $8.1 million increase in costs associated with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technology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$5.8 million increase in other costs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$5.1 million increase in legal settlement costs, including a settlement relating to a case alleging certain minimum wage violations;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 million of incremental expenses related to the GCA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$2.3 increase in legal expenses.</w:t>
      </w:r>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$10.9 million decrease in self-insurance expense related to prior year claims as a result of an actuarial evaluation completed during 2017;</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 $7.8 million decrease in restructuring and related costs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w:t>
      </w:r>
    </w:p>
    <w:p>
      <w:pPr>
        <w:spacing w:after="0" w:line="1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of a $5.2 million specific reserve established during 2016 for a portion of a client receivable that is the subject of ongoing litigation;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$3.2 million reimbursement during 2017 of previously expensed fees associated with a concluded internal investigation into a foreign entity formerly affiliated with a joint venture;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$1.9 million decrease in sales tax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7" w:right="239"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normal working capital requirements, we anticipate that our short- and long-term cash requirements will include funding legal settlements, insurance claims, dividend payments, capital expenditures, and integration costs related to the GCA acquisition. We anticipate long-term cash uses may also include strategic acquisitions and share repurchases.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a long-term basis, we will continue to rely on our credit facility for any long-term funding not provided by operating cash flows. In addition, we anticipate that future cash generated from operations will be augmented by working capital improvements driven by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IFM Assurance Company (“IFM”) is a wholly-owned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We had accelerated cash tax savings related to coverage provided by IFM of approximately $7 million in 2018 and $10 million in both 2017 and 2016. We project accelerated cash tax savings for 2019 to be approximately $6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Initial borrowings under the Credit Facility were used to finance, in part, the cash portion of the purchase price related to the GCA acquisition, to refinance certain existing indebtedness of ABM, and to pay transaction costs.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ability to draw down available capacity under the Credit Facility is subject to, and limited by, compliance with certain financial covenants, which include a minimum fixed charge coverage ratio of 1.50 to 1.0 and a maximum leverage ratio that was 4.75 to 1.0 through April 2018 and steps down to 3.50 to 1.0 by July 2020. On September 5, 2018, we amended our Credit Facility to increase the maximum leverage ratio for fiscal quarters commencing July 31, 2018 through April 30, 2021 by 25 basis points for such quarters. Other covenants under the Credit Facility include limitations on liens, dispositions, fundamental changes, investments, and certain transactions and payments. At October 31, 2018, we were in compliance with these covenants and expect to be in compliance in the foreseeable future.</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quarter of 2018, we made $20.0 million of principal payments under the Credit Facility. At October 31, 2018, the total outstanding borrowings under our Credit Facility in the form of cash borrowings and standby letters of credit were $949.0 million and $152.9 million, respectively. At October 31, 2018, we had up to $467.3 million of borrowing capacity under the Credit Facility; however, covenant restrictions limited our actual borrowing capacity to $441.3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 We believe that our cash on hand in the United States, along with our Credit Facility and future domestic cash flows, are sufficient to satisfy our domestic liquidity requirements.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0046AD"/>
        </w:rPr>
        <w:t>Proceeds from Federal Energy Savings Performance Contracts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part of our Technical Solutions business, we enter into ESPCs with the federal government pursuant to which we agree to develop, design, engineer, and construct a project and guarantee that the project will satisfy agreed-upon performance standards. Proceeds from ESPC projects are generally received in advance of construction through agreements to sell the ESPC receivables to unaffiliated third parties. We use the advances from the third parties under these agreements to finance the projects, which are recorded as cash flows from financing activities. The use of the cash received under these arrangements to pay project costs is classified as operating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Effect of Inflation</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Regulatory Environment and Environmental Compliance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In addition, from time to time we are involved in environmental matters at certain of our locations or in connection with our operations. Historically, the cost of complying with environmental laws or resolving environmental issues relating to locations or operations in the United States or abroad has not had a material adverse effect on our financial position, results of operations, or cash flows. We do not believe that the resolution of matters known at this time will be 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of continuing operations was $299.7 million during 2018.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29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28575</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2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70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7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provided by operating activities of continuing operations</w:t>
            </w:r>
          </w:p>
        </w:tc>
        <w:tc>
          <w:tcPr>
            <w:tcW w:w="24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110.5</w:t>
            </w:r>
          </w:p>
        </w:tc>
      </w:tr>
      <w:tr>
        <w:trPr>
          <w:trHeight w:val="264"/>
        </w:trPr>
        <w:tc>
          <w:tcPr>
            <w:tcW w:w="774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37"/>
        </w:trPr>
        <w:tc>
          <w:tcPr>
            <w:tcW w:w="40" w:type="dxa"/>
            <w:vAlign w:val="bottom"/>
            <w:tcBorders>
              <w:bottom w:val="single" w:sz="8" w:color="DCE2EF"/>
            </w:tcBorders>
            <w:shd w:val="clear" w:color="auto" w:fill="DCE2EF"/>
          </w:tcPr>
          <w:p>
            <w:pPr>
              <w:spacing w:after="0"/>
              <w:rPr>
                <w:sz w:val="20"/>
                <w:szCs w:val="20"/>
                <w:color w:val="auto"/>
              </w:rPr>
            </w:pPr>
          </w:p>
        </w:tc>
        <w:tc>
          <w:tcPr>
            <w:tcW w:w="7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provided by operating activities</w:t>
            </w:r>
          </w:p>
        </w:tc>
        <w:tc>
          <w:tcPr>
            <w:tcW w:w="24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83.5</w:t>
            </w:r>
          </w:p>
        </w:tc>
      </w:tr>
      <w:tr>
        <w:trPr>
          <w:trHeight w:val="29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used in investing activities of continuing operations</w:t>
            </w:r>
          </w:p>
        </w:tc>
        <w:tc>
          <w:tcPr>
            <w:tcW w:w="240" w:type="dxa"/>
            <w:vAlign w:val="bottom"/>
            <w:tcBorders>
              <w:bottom w:val="single" w:sz="8" w:color="DCE2EF"/>
            </w:tcBorders>
            <w:shd w:val="clear" w:color="auto" w:fill="DCE2EF"/>
          </w:tcPr>
          <w:p>
            <w:pPr>
              <w:spacing w:after="0"/>
              <w:rPr>
                <w:sz w:val="21"/>
                <w:szCs w:val="21"/>
                <w:color w:val="auto"/>
              </w:rPr>
            </w:pPr>
          </w:p>
        </w:tc>
        <w:tc>
          <w:tcPr>
            <w:tcW w:w="9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DCE2EF"/>
            </w:tcBorders>
            <w:shd w:val="clear" w:color="auto" w:fill="DCE2EF"/>
          </w:tcPr>
          <w:p>
            <w:pPr>
              <w:spacing w:after="0"/>
              <w:rPr>
                <w:sz w:val="21"/>
                <w:szCs w:val="21"/>
                <w:color w:val="auto"/>
              </w:rPr>
            </w:pPr>
          </w:p>
        </w:tc>
        <w:tc>
          <w:tcPr>
            <w:tcW w:w="260" w:type="dxa"/>
            <w:vAlign w:val="bottom"/>
            <w:tcBorders>
              <w:bottom w:val="single" w:sz="8" w:color="DCE2EF"/>
            </w:tcBorders>
            <w:shd w:val="clear" w:color="auto" w:fill="DCE2EF"/>
          </w:tcPr>
          <w:p>
            <w:pPr>
              <w:spacing w:after="0"/>
              <w:rPr>
                <w:sz w:val="21"/>
                <w:szCs w:val="21"/>
                <w:color w:val="auto"/>
              </w:rPr>
            </w:pPr>
          </w:p>
        </w:tc>
        <w:tc>
          <w:tcPr>
            <w:tcW w:w="9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Borders>
              <w:bottom w:val="single" w:sz="8" w:color="DCE2EF"/>
            </w:tcBorders>
            <w:shd w:val="clear" w:color="auto" w:fill="DCE2EF"/>
          </w:tcPr>
          <w:p>
            <w:pPr>
              <w:spacing w:after="0"/>
              <w:rPr>
                <w:sz w:val="21"/>
                <w:szCs w:val="21"/>
                <w:color w:val="auto"/>
              </w:rPr>
            </w:pPr>
          </w:p>
        </w:tc>
        <w:tc>
          <w:tcPr>
            <w:tcW w:w="260" w:type="dxa"/>
            <w:vAlign w:val="bottom"/>
            <w:tcBorders>
              <w:bottom w:val="single" w:sz="8" w:color="DCE2EF"/>
            </w:tcBorders>
            <w:shd w:val="clear" w:color="auto" w:fill="DCE2EF"/>
          </w:tcPr>
          <w:p>
            <w:pPr>
              <w:spacing w:after="0"/>
              <w:rPr>
                <w:sz w:val="21"/>
                <w:szCs w:val="21"/>
                <w:color w:val="auto"/>
              </w:rPr>
            </w:pPr>
          </w:p>
        </w:tc>
        <w:tc>
          <w:tcPr>
            <w:tcW w:w="9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(131.7)</w:t>
            </w:r>
          </w:p>
        </w:tc>
      </w:tr>
      <w:tr>
        <w:trPr>
          <w:trHeight w:val="264"/>
        </w:trPr>
        <w:tc>
          <w:tcPr>
            <w:tcW w:w="774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 of discontinued operations</w:t>
            </w:r>
          </w:p>
        </w:tc>
        <w:tc>
          <w:tcPr>
            <w:tcW w:w="2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7700" w:type="dxa"/>
            <w:vAlign w:val="bottom"/>
            <w:tcBorders>
              <w:top w:val="single" w:sz="8" w:color="DCE2EF"/>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used in investing activities</w:t>
            </w:r>
          </w:p>
        </w:tc>
        <w:tc>
          <w:tcPr>
            <w:tcW w:w="240" w:type="dxa"/>
            <w:vAlign w:val="bottom"/>
            <w:tcBorders>
              <w:top w:val="single" w:sz="8" w:color="auto"/>
              <w:bottom w:val="single" w:sz="8" w:color="DCE2EF"/>
            </w:tcBorders>
            <w:shd w:val="clear" w:color="auto" w:fill="DCE2EF"/>
          </w:tcPr>
          <w:p>
            <w:pPr>
              <w:spacing w:after="0"/>
              <w:rPr>
                <w:sz w:val="20"/>
                <w:szCs w:val="20"/>
                <w:color w:val="auto"/>
              </w:rPr>
            </w:pPr>
          </w:p>
        </w:tc>
        <w:tc>
          <w:tcPr>
            <w:tcW w:w="900" w:type="dxa"/>
            <w:vAlign w:val="bottom"/>
            <w:tcBorders>
              <w:top w:val="single" w:sz="8" w:color="auto"/>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DCE2EF"/>
            </w:tcBorders>
            <w:shd w:val="clear" w:color="auto" w:fill="DCE2EF"/>
          </w:tcPr>
          <w:p>
            <w:pPr>
              <w:spacing w:after="0"/>
              <w:rPr>
                <w:sz w:val="20"/>
                <w:szCs w:val="20"/>
                <w:color w:val="auto"/>
              </w:rPr>
            </w:pPr>
          </w:p>
        </w:tc>
        <w:tc>
          <w:tcPr>
            <w:tcW w:w="900" w:type="dxa"/>
            <w:vAlign w:val="bottom"/>
            <w:tcBorders>
              <w:top w:val="single" w:sz="8" w:color="auto"/>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DCE2EF"/>
            </w:tcBorders>
            <w:shd w:val="clear" w:color="auto" w:fill="DCE2EF"/>
          </w:tcPr>
          <w:p>
            <w:pPr>
              <w:spacing w:after="0"/>
              <w:rPr>
                <w:sz w:val="20"/>
                <w:szCs w:val="20"/>
                <w:color w:val="auto"/>
              </w:rPr>
            </w:pPr>
          </w:p>
        </w:tc>
        <w:tc>
          <w:tcPr>
            <w:tcW w:w="900" w:type="dxa"/>
            <w:vAlign w:val="bottom"/>
            <w:tcBorders>
              <w:top w:val="single" w:sz="8" w:color="auto"/>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(134.8)</w:t>
            </w:r>
          </w:p>
        </w:tc>
      </w:tr>
      <w:tr>
        <w:trPr>
          <w:trHeight w:val="32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40" w:type="dxa"/>
            <w:vAlign w:val="bottom"/>
            <w:shd w:val="clear" w:color="auto" w:fill="DCE2EF"/>
          </w:tcPr>
          <w:p>
            <w:pPr>
              <w:spacing w:after="0"/>
              <w:rPr>
                <w:sz w:val="21"/>
                <w:szCs w:val="21"/>
                <w:color w:val="auto"/>
              </w:rPr>
            </w:pPr>
          </w:p>
        </w:tc>
        <w:tc>
          <w:tcPr>
            <w:tcW w:w="7700" w:type="dxa"/>
            <w:vAlign w:val="bottom"/>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(used in) provided by financing activities</w:t>
            </w:r>
          </w:p>
        </w:tc>
        <w:tc>
          <w:tcPr>
            <w:tcW w:w="240" w:type="dxa"/>
            <w:vAlign w:val="bottom"/>
            <w:shd w:val="clear" w:color="auto" w:fill="DCE2EF"/>
          </w:tcPr>
          <w:p>
            <w:pPr>
              <w:spacing w:after="0"/>
              <w:rPr>
                <w:sz w:val="21"/>
                <w:szCs w:val="21"/>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spacing w:after="0"/>
              <w:rPr>
                <w:sz w:val="21"/>
                <w:szCs w:val="21"/>
                <w:color w:val="auto"/>
              </w:rPr>
            </w:pP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874.0</w:t>
            </w: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spacing w:after="0"/>
              <w:rPr>
                <w:sz w:val="21"/>
                <w:szCs w:val="21"/>
                <w:color w:val="auto"/>
              </w:rPr>
            </w:pPr>
          </w:p>
        </w:tc>
        <w:tc>
          <w:tcPr>
            <w:tcW w:w="9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52.6</w:t>
            </w:r>
          </w:p>
        </w:tc>
      </w:tr>
      <w:tr>
        <w:trPr>
          <w:trHeight w:val="27"/>
        </w:trPr>
        <w:tc>
          <w:tcPr>
            <w:tcW w:w="40" w:type="dxa"/>
            <w:vAlign w:val="bottom"/>
            <w:shd w:val="clear" w:color="auto" w:fill="DCE2EF"/>
          </w:tcPr>
          <w:p>
            <w:pPr>
              <w:spacing w:after="0"/>
              <w:rPr>
                <w:sz w:val="2"/>
                <w:szCs w:val="2"/>
                <w:color w:val="auto"/>
              </w:rPr>
            </w:pPr>
          </w:p>
        </w:tc>
        <w:tc>
          <w:tcPr>
            <w:tcW w:w="620" w:type="dxa"/>
            <w:vAlign w:val="bottom"/>
            <w:shd w:val="clear" w:color="auto" w:fill="DCE2EF"/>
          </w:tcPr>
          <w:p>
            <w:pPr>
              <w:spacing w:after="0"/>
              <w:rPr>
                <w:sz w:val="2"/>
                <w:szCs w:val="2"/>
                <w:color w:val="auto"/>
              </w:rPr>
            </w:pPr>
          </w:p>
        </w:tc>
        <w:tc>
          <w:tcPr>
            <w:tcW w:w="7080" w:type="dxa"/>
            <w:vAlign w:val="bottom"/>
            <w:shd w:val="clear" w:color="auto" w:fill="DCE2EF"/>
          </w:tcPr>
          <w:p>
            <w:pPr>
              <w:spacing w:after="0"/>
              <w:rPr>
                <w:sz w:val="2"/>
                <w:szCs w:val="2"/>
                <w:color w:val="auto"/>
              </w:rPr>
            </w:pPr>
          </w:p>
        </w:tc>
        <w:tc>
          <w:tcPr>
            <w:tcW w:w="240" w:type="dxa"/>
            <w:vAlign w:val="bottom"/>
            <w:shd w:val="clear" w:color="auto" w:fill="DCE2EF"/>
          </w:tcPr>
          <w:p>
            <w:pPr>
              <w:spacing w:after="0"/>
              <w:rPr>
                <w:sz w:val="2"/>
                <w:szCs w:val="2"/>
                <w:color w:val="auto"/>
              </w:rPr>
            </w:pPr>
          </w:p>
        </w:tc>
        <w:tc>
          <w:tcPr>
            <w:tcW w:w="90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260" w:type="dxa"/>
            <w:vAlign w:val="bottom"/>
            <w:shd w:val="clear" w:color="auto" w:fill="DCE2EF"/>
          </w:tcPr>
          <w:p>
            <w:pPr>
              <w:spacing w:after="0"/>
              <w:rPr>
                <w:sz w:val="2"/>
                <w:szCs w:val="2"/>
                <w:color w:val="auto"/>
              </w:rPr>
            </w:pPr>
          </w:p>
        </w:tc>
        <w:tc>
          <w:tcPr>
            <w:tcW w:w="90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260" w:type="dxa"/>
            <w:vAlign w:val="bottom"/>
            <w:shd w:val="clear" w:color="auto" w:fill="DCE2EF"/>
          </w:tcPr>
          <w:p>
            <w:pPr>
              <w:spacing w:after="0"/>
              <w:rPr>
                <w:sz w:val="2"/>
                <w:szCs w:val="2"/>
                <w:color w:val="auto"/>
              </w:rPr>
            </w:pPr>
          </w:p>
        </w:tc>
        <w:tc>
          <w:tcPr>
            <w:tcW w:w="900" w:type="dxa"/>
            <w:vAlign w:val="bottom"/>
            <w:shd w:val="clear" w:color="auto" w:fill="DCE2EF"/>
          </w:tcPr>
          <w:p>
            <w:pPr>
              <w:spacing w:after="0"/>
              <w:rPr>
                <w:sz w:val="2"/>
                <w:szCs w:val="2"/>
                <w:color w:val="auto"/>
              </w:rPr>
            </w:pP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operating activities of continuing operations increased by $198.0 million during 2018, as compared to 2017. The increase was primarily related to the timing of client receivable collections, including collections from acquired GCA accounts, as well as proceeds from the termination of our interest rate swaps and a year-over-year reduction of required cash insurance deposits included in other assets. This increase was partially offset by the timing of vendor payments.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continuing operations decreased by $8.8 million during 2017, as compared to 2016. The decrease was primarily related to the timing of client receivable collections and income taxes payable, but was partially offset by the timing of vendor payments.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22"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discontinued operations was $21.2 million during 2018, as compared to net cash used in operating activities of discontinued operations of $96.1 million in 2017, a change of $117.3 million, primarily attributable to the payment of a $120.0 million legal settlement during 2017.</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operating activities of discontinued operations increased by $69.1 million during 2017, as compared to 2016. This increase was primarily attributable to $120.0 million of legal settlement payments in 2017, compared to the $20.0 million in taxes paid related to the sale of the Security business in 2016.</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of continuing operations decreased by $823.7 million during 2018, as compared to 2017. The decrease was primarily due to an $853.6 million year-over-year decrease in cash paid, net of cash acquired, for acquisitions, partially offset by the absence of $35.5 million of cash proceeds from the sale of our Government Services business in 2017.</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of continuing operations increased by $ 740.1 million during 2017, as compared to 2016. The increase was primarily related to a $757.6 million year-over-year increase in cash paid, net of cash acquired, for acquisitions, largely due to the GCA acquisition.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Discontinued Operations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investing activities of discontinued operations decreased by $3.1 million during 2017, as compared to 2016, due to the absence of the final working capital adjustment from the sale of the Security business paid in 2016.</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financing activities was $295.8 million during 2018, as compared to net cash provided by financing activities of $874.0 million during 2017, primarily due to higher repayments of our borrowings in 2018.</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financing activities increased by $821.4 million during 2017, as compared to 2016, primarily related to an increase in net borrowings in the fourth quarter of 2017 to fund the GCA acquisition and $38.7 million in lower common stock repurchases, partially offset by $18.7 million of deferred financing costs paid on the new credit facility and $15.8 million of lower proceeds from ESPC projects during 2017.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December 18, 2018, we announced a quarterly cash dividend of $0.180 per share on our common stock, payable on February 4, 2019. We declared a quarterly cash dividend on our common stock every quarter during 2018, 2017, and 2016. We paid total annual dividends of $46.0 million, $39.5 million, and $36.9 million during 2018, 2017, and 2016, respectively.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2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0046AD"/>
        </w:rPr>
        <w:t>Contractual Obligations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8"/>
          </w:tcPr>
          <w:p>
            <w:pPr>
              <w:ind w:left="420"/>
              <w:spacing w:after="0"/>
              <w:rPr>
                <w:sz w:val="20"/>
                <w:szCs w:val="20"/>
                <w:color w:val="auto"/>
              </w:rPr>
            </w:pPr>
            <w:r>
              <w:rPr>
                <w:rFonts w:ascii="Arial" w:cs="Arial" w:eastAsia="Arial" w:hAnsi="Arial"/>
                <w:sz w:val="16"/>
                <w:szCs w:val="16"/>
                <w:b w:val="1"/>
                <w:bCs w:val="1"/>
                <w:color w:val="auto"/>
              </w:rPr>
              <w:t>Commitments Due By Period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5260" w:type="dxa"/>
            <w:vAlign w:val="bottom"/>
            <w:gridSpan w:val="4"/>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6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2020-2021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2022-2023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1140" w:type="dxa"/>
            <w:vAlign w:val="bottom"/>
            <w:tcBorders>
              <w:top w:val="single" w:sz="8" w:color="auto"/>
              <w:bottom w:val="single" w:sz="8" w:color="DCE2EF"/>
            </w:tcBorders>
          </w:tcPr>
          <w:p>
            <w:pPr>
              <w:spacing w:after="0"/>
              <w:rPr>
                <w:sz w:val="2"/>
                <w:szCs w:val="2"/>
                <w:color w:val="auto"/>
              </w:rPr>
            </w:pPr>
          </w:p>
        </w:tc>
        <w:tc>
          <w:tcPr>
            <w:tcW w:w="338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26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Borrowings under term loan</w:t>
            </w:r>
            <w:r>
              <w:rPr>
                <w:rFonts w:ascii="Arial" w:cs="Arial" w:eastAsia="Arial" w:hAnsi="Arial"/>
                <w:sz w:val="21"/>
                <w:szCs w:val="21"/>
                <w:color w:val="auto"/>
                <w:vertAlign w:val="superscript"/>
              </w:rPr>
              <w:t>(1)</w:t>
            </w: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780.0</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DCE2EF"/>
          </w:tcPr>
          <w:p>
            <w:pPr>
              <w:spacing w:after="0"/>
              <w:rPr>
                <w:sz w:val="21"/>
                <w:szCs w:val="21"/>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560.0</w:t>
            </w:r>
          </w:p>
        </w:tc>
        <w:tc>
          <w:tcPr>
            <w:tcW w:w="100" w:type="dxa"/>
            <w:vAlign w:val="bottom"/>
            <w:shd w:val="clear" w:color="auto" w:fill="DCE2EF"/>
          </w:tcPr>
          <w:p>
            <w:pPr>
              <w:spacing w:after="0"/>
              <w:rPr>
                <w:sz w:val="21"/>
                <w:szCs w:val="21"/>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tcPr>
          <w:p>
            <w:pPr>
              <w:ind w:left="40"/>
              <w:spacing w:after="0"/>
              <w:rPr>
                <w:sz w:val="20"/>
                <w:szCs w:val="20"/>
                <w:color w:val="auto"/>
              </w:rPr>
            </w:pPr>
            <w:r>
              <w:rPr>
                <w:rFonts w:ascii="Arial" w:cs="Arial" w:eastAsia="Arial" w:hAnsi="Arial"/>
                <w:sz w:val="16"/>
                <w:szCs w:val="16"/>
                <w:color w:val="auto"/>
              </w:rPr>
              <w:t>Borrowings under line of credit</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Fixed interest related to interest rate swaps</w:t>
            </w:r>
            <w:r>
              <w:rPr>
                <w:rFonts w:ascii="Arial" w:cs="Arial" w:eastAsia="Arial" w:hAnsi="Arial"/>
                <w:sz w:val="21"/>
                <w:szCs w:val="21"/>
                <w:color w:val="auto"/>
                <w:vertAlign w:val="superscript"/>
              </w:rPr>
              <w:t>(2)</w:t>
            </w:r>
          </w:p>
        </w:tc>
        <w:tc>
          <w:tcPr>
            <w:tcW w:w="260" w:type="dxa"/>
            <w:vAlign w:val="bottom"/>
            <w:shd w:val="clear" w:color="auto" w:fill="DCE2EF"/>
          </w:tcPr>
          <w:p>
            <w:pPr>
              <w:spacing w:after="0"/>
              <w:rPr>
                <w:sz w:val="23"/>
                <w:szCs w:val="23"/>
                <w:color w:val="auto"/>
              </w:rPr>
            </w:pPr>
          </w:p>
        </w:tc>
        <w:tc>
          <w:tcPr>
            <w:tcW w:w="9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tcPr>
          <w:p>
            <w:pPr>
              <w:ind w:left="40"/>
              <w:spacing w:after="0"/>
              <w:rPr>
                <w:sz w:val="20"/>
                <w:szCs w:val="20"/>
                <w:color w:val="auto"/>
              </w:rPr>
            </w:pPr>
            <w:r>
              <w:rPr>
                <w:rFonts w:ascii="Arial" w:cs="Arial" w:eastAsia="Arial" w:hAnsi="Arial"/>
                <w:sz w:val="16"/>
                <w:szCs w:val="16"/>
                <w:color w:val="auto"/>
              </w:rPr>
              <w:t>Operating leases and other similar commitments</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85.5</w:t>
            </w:r>
          </w:p>
        </w:tc>
      </w:tr>
      <w:tr>
        <w:trPr>
          <w:trHeight w:val="270"/>
        </w:trPr>
        <w:tc>
          <w:tcPr>
            <w:tcW w:w="526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Capital leases</w:t>
            </w:r>
            <w:r>
              <w:rPr>
                <w:rFonts w:ascii="Arial" w:cs="Arial" w:eastAsia="Arial" w:hAnsi="Arial"/>
                <w:sz w:val="21"/>
                <w:szCs w:val="21"/>
                <w:color w:val="auto"/>
                <w:vertAlign w:val="superscript"/>
              </w:rPr>
              <w:t>(3)</w:t>
            </w:r>
          </w:p>
        </w:tc>
        <w:tc>
          <w:tcPr>
            <w:tcW w:w="260" w:type="dxa"/>
            <w:vAlign w:val="bottom"/>
            <w:shd w:val="clear" w:color="auto" w:fill="DCE2EF"/>
          </w:tcPr>
          <w:p>
            <w:pPr>
              <w:spacing w:after="0"/>
              <w:rPr>
                <w:sz w:val="23"/>
                <w:szCs w:val="23"/>
                <w:color w:val="auto"/>
              </w:rPr>
            </w:pPr>
          </w:p>
        </w:tc>
        <w:tc>
          <w:tcPr>
            <w:tcW w:w="9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tcPr>
          <w:p>
            <w:pPr>
              <w:ind w:left="40"/>
              <w:spacing w:after="0"/>
              <w:rPr>
                <w:sz w:val="20"/>
                <w:szCs w:val="20"/>
                <w:color w:val="auto"/>
              </w:rPr>
            </w:pPr>
            <w:r>
              <w:rPr>
                <w:rFonts w:ascii="Arial" w:cs="Arial" w:eastAsia="Arial" w:hAnsi="Arial"/>
                <w:sz w:val="16"/>
                <w:szCs w:val="16"/>
                <w:color w:val="auto"/>
              </w:rPr>
              <w:t>Information technology service agreements</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5260" w:type="dxa"/>
            <w:vAlign w:val="bottom"/>
            <w:gridSpan w:val="4"/>
            <w:shd w:val="clear" w:color="auto" w:fill="DCE2EF"/>
          </w:tcPr>
          <w:p>
            <w:pPr>
              <w:ind w:left="40"/>
              <w:spacing w:after="0"/>
              <w:rPr>
                <w:sz w:val="20"/>
                <w:szCs w:val="20"/>
                <w:color w:val="auto"/>
              </w:rPr>
            </w:pPr>
            <w:r>
              <w:rPr>
                <w:rFonts w:ascii="Arial" w:cs="Arial" w:eastAsia="Arial" w:hAnsi="Arial"/>
                <w:sz w:val="16"/>
                <w:szCs w:val="16"/>
                <w:color w:val="auto"/>
              </w:rPr>
              <w:t>Benefit obligations</w:t>
            </w:r>
            <w:r>
              <w:rPr>
                <w:rFonts w:ascii="Arial" w:cs="Arial" w:eastAsia="Arial" w:hAnsi="Arial"/>
                <w:sz w:val="21"/>
                <w:szCs w:val="21"/>
                <w:color w:val="auto"/>
                <w:vertAlign w:val="superscript"/>
              </w:rPr>
              <w:t>(5)</w:t>
            </w:r>
          </w:p>
        </w:tc>
        <w:tc>
          <w:tcPr>
            <w:tcW w:w="260" w:type="dxa"/>
            <w:vAlign w:val="bottom"/>
            <w:tcBorders>
              <w:bottom w:val="single" w:sz="8" w:color="auto"/>
            </w:tcBorders>
            <w:shd w:val="clear" w:color="auto" w:fill="DCE2EF"/>
          </w:tcPr>
          <w:p>
            <w:pPr>
              <w:spacing w:after="0"/>
              <w:rPr>
                <w:sz w:val="23"/>
                <w:szCs w:val="23"/>
                <w:color w:val="auto"/>
              </w:rPr>
            </w:pPr>
          </w:p>
        </w:tc>
        <w:tc>
          <w:tcPr>
            <w:tcW w:w="9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DCE2EF"/>
          </w:tcPr>
          <w:p>
            <w:pPr>
              <w:spacing w:after="0"/>
              <w:rPr>
                <w:sz w:val="23"/>
                <w:szCs w:val="23"/>
                <w:color w:val="auto"/>
              </w:rPr>
            </w:pPr>
          </w:p>
        </w:tc>
        <w:tc>
          <w:tcPr>
            <w:tcW w:w="260" w:type="dxa"/>
            <w:vAlign w:val="bottom"/>
            <w:tcBorders>
              <w:bottom w:val="single" w:sz="8" w:color="auto"/>
            </w:tcBorders>
            <w:shd w:val="clear" w:color="auto" w:fill="DCE2EF"/>
          </w:tcPr>
          <w:p>
            <w:pPr>
              <w:spacing w:after="0"/>
              <w:rPr>
                <w:sz w:val="23"/>
                <w:szCs w:val="23"/>
                <w:color w:val="auto"/>
              </w:rPr>
            </w:pPr>
          </w:p>
        </w:tc>
        <w:tc>
          <w:tcPr>
            <w:tcW w:w="8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DCE2EF"/>
          </w:tcPr>
          <w:p>
            <w:pPr>
              <w:spacing w:after="0"/>
              <w:rPr>
                <w:sz w:val="23"/>
                <w:szCs w:val="23"/>
                <w:color w:val="auto"/>
              </w:rPr>
            </w:pPr>
          </w:p>
        </w:tc>
        <w:tc>
          <w:tcPr>
            <w:tcW w:w="140" w:type="dxa"/>
            <w:vAlign w:val="bottom"/>
            <w:tcBorders>
              <w:bottom w:val="single" w:sz="8" w:color="auto"/>
            </w:tcBorders>
            <w:shd w:val="clear" w:color="auto" w:fill="DCE2EF"/>
          </w:tcPr>
          <w:p>
            <w:pPr>
              <w:spacing w:after="0"/>
              <w:rPr>
                <w:sz w:val="23"/>
                <w:szCs w:val="23"/>
                <w:color w:val="auto"/>
              </w:rPr>
            </w:pPr>
          </w:p>
        </w:tc>
        <w:tc>
          <w:tcPr>
            <w:tcW w:w="100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DCE2EF"/>
          </w:tcPr>
          <w:p>
            <w:pPr>
              <w:spacing w:after="0"/>
              <w:rPr>
                <w:sz w:val="23"/>
                <w:szCs w:val="23"/>
                <w:color w:val="auto"/>
              </w:rPr>
            </w:pPr>
          </w:p>
        </w:tc>
        <w:tc>
          <w:tcPr>
            <w:tcW w:w="160" w:type="dxa"/>
            <w:vAlign w:val="bottom"/>
            <w:tcBorders>
              <w:bottom w:val="single" w:sz="8" w:color="auto"/>
            </w:tcBorders>
            <w:shd w:val="clear" w:color="auto" w:fill="DCE2EF"/>
          </w:tcPr>
          <w:p>
            <w:pPr>
              <w:spacing w:after="0"/>
              <w:rPr>
                <w:sz w:val="23"/>
                <w:szCs w:val="23"/>
                <w:color w:val="auto"/>
              </w:rPr>
            </w:pPr>
          </w:p>
        </w:tc>
        <w:tc>
          <w:tcPr>
            <w:tcW w:w="9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DCE2EF"/>
          </w:tcPr>
          <w:p>
            <w:pPr>
              <w:spacing w:after="0"/>
              <w:rPr>
                <w:sz w:val="23"/>
                <w:szCs w:val="23"/>
                <w:color w:val="auto"/>
              </w:rPr>
            </w:pPr>
          </w:p>
        </w:tc>
        <w:tc>
          <w:tcPr>
            <w:tcW w:w="140" w:type="dxa"/>
            <w:vAlign w:val="bottom"/>
            <w:tcBorders>
              <w:bottom w:val="single" w:sz="8" w:color="auto"/>
            </w:tcBorders>
            <w:shd w:val="clear" w:color="auto" w:fill="DCE2EF"/>
          </w:tcPr>
          <w:p>
            <w:pPr>
              <w:spacing w:after="0"/>
              <w:rPr>
                <w:sz w:val="23"/>
                <w:szCs w:val="23"/>
                <w:color w:val="auto"/>
              </w:rPr>
            </w:pPr>
          </w:p>
        </w:tc>
        <w:tc>
          <w:tcPr>
            <w:tcW w:w="10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12.8</w:t>
            </w:r>
          </w:p>
        </w:tc>
      </w:tr>
      <w:tr>
        <w:trPr>
          <w:trHeight w:val="234"/>
        </w:trPr>
        <w:tc>
          <w:tcPr>
            <w:tcW w:w="526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1,465.7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164.6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359.1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842.7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Borrowings under our term loan and line of credit are presented at face value.</w:t>
      </w:r>
    </w:p>
    <w:p>
      <w:pPr>
        <w:spacing w:after="0" w:line="156" w:lineRule="exact"/>
        <w:rPr>
          <w:rFonts w:ascii="Arial" w:cs="Arial" w:eastAsia="Arial" w:hAnsi="Arial"/>
          <w:sz w:val="21"/>
          <w:szCs w:val="21"/>
          <w:color w:val="auto"/>
          <w:vertAlign w:val="superscript"/>
        </w:rPr>
      </w:pPr>
    </w:p>
    <w:p>
      <w:pPr>
        <w:jc w:val="both"/>
        <w:ind w:firstLine="8"/>
        <w:spacing w:after="0"/>
        <w:tabs>
          <w:tab w:leader="none" w:pos="184"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Our estimates of future interest payments are calculated based on our hedged borrowings under our Credit Facility, using the fixed rates under our interest rate swap agreements for the applicable notional amounts. See Note 12, “Credit Facility,” in the Financial Statements for additional disclosure related to our interest rate swaps. We exclude interest payments on our remaining borrowings from this table because the cash outlay for the interest is unknown. The interest payments on the borrowings under the Credit Facility will be determined based upon the average outstanding balance of our borrowings and the prevailing interest rate during that time.</w:t>
      </w:r>
    </w:p>
    <w:p>
      <w:pPr>
        <w:spacing w:after="0" w:line="348" w:lineRule="exact"/>
        <w:rPr>
          <w:rFonts w:ascii="Arial" w:cs="Arial" w:eastAsia="Arial" w:hAnsi="Arial"/>
          <w:sz w:val="21"/>
          <w:szCs w:val="21"/>
          <w:color w:val="auto"/>
          <w:vertAlign w:val="superscript"/>
        </w:rPr>
      </w:pPr>
    </w:p>
    <w:p>
      <w:pPr>
        <w:ind w:firstLine="8"/>
        <w:spacing w:after="0" w:line="210" w:lineRule="auto"/>
        <w:tabs>
          <w:tab w:leader="none" w:pos="203"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Reflects our contractual obligations to make future payments under non-cancelable operating leases, capital lease agreements, and other similar commitments for various facilities, vehicles, and other equipment.</w:t>
      </w:r>
    </w:p>
    <w:p>
      <w:pPr>
        <w:spacing w:after="0" w:line="157" w:lineRule="exact"/>
        <w:rPr>
          <w:rFonts w:ascii="Arial" w:cs="Arial" w:eastAsia="Arial" w:hAnsi="Arial"/>
          <w:sz w:val="22"/>
          <w:szCs w:val="22"/>
          <w:color w:val="auto"/>
          <w:vertAlign w:val="superscript"/>
        </w:rPr>
      </w:pPr>
    </w:p>
    <w:p>
      <w:pPr>
        <w:ind w:firstLine="8"/>
        <w:spacing w:after="0"/>
        <w:tabs>
          <w:tab w:leader="none" w:pos="226"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Reflects our contractual obligations to make future payments for outsourced services and licensing costs pursuant to our information technology agreements.</w:t>
      </w:r>
    </w:p>
    <w:p>
      <w:pPr>
        <w:spacing w:after="0" w:line="287" w:lineRule="exact"/>
        <w:rPr>
          <w:rFonts w:ascii="Arial" w:cs="Arial" w:eastAsia="Arial" w:hAnsi="Arial"/>
          <w:sz w:val="22"/>
          <w:szCs w:val="22"/>
          <w:color w:val="auto"/>
          <w:vertAlign w:val="superscript"/>
        </w:rPr>
      </w:pPr>
    </w:p>
    <w:p>
      <w:pPr>
        <w:ind w:firstLine="8"/>
        <w:spacing w:after="0" w:line="263" w:lineRule="auto"/>
        <w:tabs>
          <w:tab w:leader="none" w:pos="162"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Reflects future expected payments relating to our defined benefit, postretirement, and deferred compensation plans. These amounts are based on expected future service and were calculated using the same assumptions used to measure our benefit obligation at October 31, 2018.</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to our company sponsored plans, we participate in certain multiemployer pension and other postretirement plans. The cost of these plans is equal to the annual required contributions determined in accordance with the provisions of negotiated collective bargaining arrangements. During 2018, 2017, and 2016, contributions made to these plans were $339.3 million, $316.4 million, and $290.4 million, respectively; however, our future contributions to the multiemployer plans are dependent upon a number of factors, including the funded status of the plans, the ability of other participating companies to meet ongoing funding obligations, and the level of our ongoing participation in these plans. As the amount of future contributions that we would be contractually obligated to make pursuant to these plans cannot be reasonably estimated, such amounts have been excluded from the above table. See Note 13, “Employee Benefit Plans,” in the Financial Statements for more information.</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2018, our total liability for unrecognized tax benefits was $16.9 million. The resolution or 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credits and net operating loss carryforwards as well as other offsets, including the indirect benefit from other taxing jurisdictions that may be available.</w:t>
      </w:r>
    </w:p>
    <w:p>
      <w:pPr>
        <w:spacing w:after="0" w:line="152" w:lineRule="exact"/>
        <w:rPr>
          <w:sz w:val="20"/>
          <w:szCs w:val="20"/>
          <w:color w:val="auto"/>
        </w:rPr>
      </w:pPr>
    </w:p>
    <w:p>
      <w:pPr>
        <w:jc w:val="both"/>
        <w:ind w:firstLine="232"/>
        <w:spacing w:after="0" w:line="252" w:lineRule="auto"/>
        <w:rPr>
          <w:sz w:val="20"/>
          <w:szCs w:val="20"/>
          <w:color w:val="auto"/>
        </w:rPr>
      </w:pPr>
      <w:r>
        <w:rPr>
          <w:rFonts w:ascii="Arial" w:cs="Arial" w:eastAsia="Arial" w:hAnsi="Arial"/>
          <w:sz w:val="18"/>
          <w:szCs w:val="18"/>
          <w:color w:val="auto"/>
        </w:rPr>
        <w:t>We have no off-balance sheet arrangements other than unrecorded standby letters of credit and surety bonds. We use letters of credit and surety bonds in the ordinary course of business to ensure the performance of contractual obligations and to collateralize self-insurance obligations in the event we are unable to meet our claim payment obligations. As we already have reserves on our books for the claims costs, these do not represent additional liabilities. The bonds typically remain in force for one to five years and may include optional renewal periods. As of October 31, 2018, these letters of credit and surety bonds totaled $152.9 million and $475.3 million, respectively. Included in the total amount of surety bonds is $1.8 million of bonds with an effective date starting after October 31, 2018. Neither of these arrangements has a material current effect, or is reasonably likely to have a material future effect, on our financial condition, changes in financial condition, revenues or expenses, results of operations, liquidity, capital expenditures, or capital resources.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22" w:right="239" w:bottom="1440" w:gutter="0" w:footer="0" w:header="0"/>
        </w:sectPr>
      </w:pPr>
    </w:p>
    <w:bookmarkStart w:id="44" w:name="page45"/>
    <w:bookmarkEnd w:id="44"/>
    <w:p>
      <w:pPr>
        <w:ind w:left="40"/>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preparation of consolidated financial statements in accordance with United States generally accepted accounting principles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We believe the following critical accounting policies govern the more significant judgments and estimates used in the preparation of our financial statements.</w:t>
      </w:r>
    </w:p>
    <w:p>
      <w:pPr>
        <w:sectPr>
          <w:pgSz w:w="11900" w:h="16838" w:orient="portrait"/>
          <w:cols w:equalWidth="0" w:num="1">
            <w:col w:w="11420"/>
          </w:cols>
          <w:pgMar w:left="240" w:top="846" w:right="239" w:bottom="1440" w:gutter="0" w:footer="0" w:header="0"/>
        </w:sect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Customer Relationships</w:t>
      </w:r>
    </w:p>
    <w:p>
      <w:pPr>
        <w:spacing w:after="0" w:line="214" w:lineRule="exact"/>
        <w:rPr>
          <w:sz w:val="20"/>
          <w:szCs w:val="20"/>
          <w:color w:val="auto"/>
        </w:rPr>
      </w:pPr>
    </w:p>
    <w:p>
      <w:pPr>
        <w:ind w:left="40"/>
        <w:spacing w:after="0" w:line="253" w:lineRule="auto"/>
        <w:rPr>
          <w:sz w:val="20"/>
          <w:szCs w:val="20"/>
          <w:color w:val="auto"/>
        </w:rPr>
      </w:pPr>
      <w:r>
        <w:rPr>
          <w:rFonts w:ascii="Arial" w:cs="Arial" w:eastAsia="Arial" w:hAnsi="Arial"/>
          <w:sz w:val="16"/>
          <w:szCs w:val="16"/>
          <w:color w:val="auto"/>
        </w:rPr>
        <w:t>When we acquire a company, we determine the fair value on the acquisition date of assets acquired and liabilities assumed.</w:t>
      </w:r>
    </w:p>
    <w:p>
      <w:pPr>
        <w:spacing w:after="0" w:line="174" w:lineRule="exact"/>
        <w:rPr>
          <w:sz w:val="20"/>
          <w:szCs w:val="20"/>
          <w:color w:val="auto"/>
        </w:rPr>
      </w:pPr>
    </w:p>
    <w:p>
      <w:pPr>
        <w:ind w:left="40" w:right="80"/>
        <w:spacing w:after="0" w:line="251" w:lineRule="auto"/>
        <w:rPr>
          <w:sz w:val="20"/>
          <w:szCs w:val="20"/>
          <w:color w:val="auto"/>
        </w:rPr>
      </w:pPr>
      <w:r>
        <w:rPr>
          <w:rFonts w:ascii="Arial" w:cs="Arial" w:eastAsia="Arial" w:hAnsi="Arial"/>
          <w:sz w:val="16"/>
          <w:szCs w:val="16"/>
          <w:color w:val="auto"/>
        </w:rPr>
        <w:t>We anticipate that for most acquisitions we will exercise significant judgment in estimating the fair value of intangible assets.</w:t>
      </w:r>
    </w:p>
    <w:p>
      <w:pPr>
        <w:spacing w:after="0" w:line="176" w:lineRule="exact"/>
        <w:rPr>
          <w:sz w:val="20"/>
          <w:szCs w:val="20"/>
          <w:color w:val="auto"/>
        </w:rPr>
      </w:pPr>
    </w:p>
    <w:p>
      <w:pPr>
        <w:ind w:left="40"/>
        <w:spacing w:after="0" w:line="248" w:lineRule="auto"/>
        <w:rPr>
          <w:sz w:val="20"/>
          <w:szCs w:val="20"/>
          <w:color w:val="auto"/>
        </w:rPr>
      </w:pPr>
      <w:r>
        <w:rPr>
          <w:rFonts w:ascii="Arial" w:cs="Arial" w:eastAsia="Arial" w:hAnsi="Arial"/>
          <w:sz w:val="16"/>
          <w:szCs w:val="16"/>
          <w:color w:val="auto"/>
        </w:rPr>
        <w:t>In a typical acquisition, customer relationships are our most significant definite-lived intangible asset. In valuing these relationships, we engage a third-party valuation expert to calculate the fair value of these assets using a version of the income approach known as the “excess earnings method.”</w:t>
      </w:r>
    </w:p>
    <w:p>
      <w:pPr>
        <w:spacing w:after="0" w:line="181" w:lineRule="exact"/>
        <w:rPr>
          <w:sz w:val="20"/>
          <w:szCs w:val="20"/>
          <w:color w:val="auto"/>
        </w:rPr>
      </w:pPr>
    </w:p>
    <w:p>
      <w:pPr>
        <w:ind w:left="40"/>
        <w:spacing w:after="0" w:line="249" w:lineRule="auto"/>
        <w:rPr>
          <w:sz w:val="20"/>
          <w:szCs w:val="20"/>
          <w:color w:val="auto"/>
        </w:rPr>
      </w:pPr>
      <w:r>
        <w:rPr>
          <w:rFonts w:ascii="Arial" w:cs="Arial" w:eastAsia="Arial" w:hAnsi="Arial"/>
          <w:sz w:val="16"/>
          <w:szCs w:val="16"/>
          <w:color w:val="auto"/>
        </w:rPr>
        <w:t>This method uses a discounted cash flow approach that is derived from historical information, future revenue and operating profit margins, contributory asset charges, and the selection of an appropriate discount rate.</w:t>
      </w:r>
    </w:p>
    <w:p>
      <w:pPr>
        <w:spacing w:after="0" w:line="178" w:lineRule="exact"/>
        <w:rPr>
          <w:sz w:val="20"/>
          <w:szCs w:val="20"/>
          <w:color w:val="auto"/>
        </w:rPr>
      </w:pPr>
    </w:p>
    <w:p>
      <w:pPr>
        <w:ind w:left="40" w:right="200"/>
        <w:spacing w:after="0" w:line="250" w:lineRule="auto"/>
        <w:rPr>
          <w:sz w:val="20"/>
          <w:szCs w:val="20"/>
          <w:color w:val="auto"/>
        </w:rPr>
      </w:pPr>
      <w:r>
        <w:rPr>
          <w:rFonts w:ascii="Arial" w:cs="Arial" w:eastAsia="Arial" w:hAnsi="Arial"/>
          <w:sz w:val="16"/>
          <w:szCs w:val="16"/>
          <w:color w:val="auto"/>
        </w:rPr>
        <w:t>We consider this approach the most appropriate valuation technique because the inherent value of these assets is their ability to generate current and future income.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2032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customer attrition rate and expected revenue growth are two significant estimates used to derive the projected revenues and profitability in the customer relationships valuation. Both of these estimates are influenced by many factors, including historical financial information, estimated retention rates, and management's expectations for future customer growth as a combined company.</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Another estimate that impacts the valuation is the contributory charge for the acquired workforce, which involves management assumptions based on historical experience, including interview time and new hire productivity.</w:t>
      </w:r>
    </w:p>
    <w:p>
      <w:pPr>
        <w:spacing w:after="0" w:line="17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estimated life is determined by calculating the number of years necessary to obtain 90% of the value of the discounted cash flows of the relationships and is directly tied to the accuracy of the above assumptions.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3035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We have not made any changes in the accounting methodology used to determine the fair value of customer relationships during the last three years.</w:t>
      </w:r>
    </w:p>
    <w:p>
      <w:pPr>
        <w:spacing w:after="0" w:line="174"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If the subsequent actual results and updated projections of the underlying business activity change compared with the assumptions and projections used to develop the values of the identifiable intangible assets, we may be required to record material impairment losses.</w:t>
      </w:r>
    </w:p>
    <w:p>
      <w:pPr>
        <w:spacing w:after="0" w:line="17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With other assumptions held constant, a 10% increase in the calculated fair value of the GCA customer relationships would have increased the annual amortization expense by $4.2 million in 2018.</w:t>
      </w:r>
    </w:p>
    <w:p>
      <w:pPr>
        <w:spacing w:after="0" w:line="176" w:lineRule="exact"/>
        <w:rPr>
          <w:sz w:val="20"/>
          <w:szCs w:val="20"/>
          <w:color w:val="auto"/>
        </w:rPr>
      </w:pPr>
    </w:p>
    <w:p>
      <w:pPr>
        <w:jc w:val="both"/>
        <w:ind w:right="480"/>
        <w:spacing w:after="0" w:line="260" w:lineRule="auto"/>
        <w:rPr>
          <w:sz w:val="20"/>
          <w:szCs w:val="20"/>
          <w:color w:val="auto"/>
        </w:rPr>
      </w:pPr>
      <w:r>
        <w:rPr>
          <w:rFonts w:ascii="Arial" w:cs="Arial" w:eastAsia="Arial" w:hAnsi="Arial"/>
          <w:sz w:val="16"/>
          <w:szCs w:val="16"/>
          <w:color w:val="auto"/>
        </w:rPr>
        <w:t>See the “Valuation of Long-Lived Assets” critical accounting policy, below, for information about impairment evaluations.</w:t>
      </w:r>
    </w:p>
    <w:p>
      <w:pPr>
        <w:spacing w:after="0" w:line="2650" w:lineRule="exact"/>
        <w:rPr>
          <w:sz w:val="20"/>
          <w:szCs w:val="20"/>
          <w:color w:val="auto"/>
        </w:rPr>
      </w:pPr>
    </w:p>
    <w:p>
      <w:pPr>
        <w:sectPr>
          <w:pgSz w:w="11900" w:h="16838" w:orient="portrait"/>
          <w:cols w:equalWidth="0" w:num="3">
            <w:col w:w="3180" w:space="180"/>
            <w:col w:w="3100" w:space="200"/>
            <w:col w:w="4760"/>
          </w:cols>
          <w:pgMar w:left="240" w:top="846" w:right="2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846"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19640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Long-Lived Assets</w:t>
      </w:r>
    </w:p>
    <w:p>
      <w:pPr>
        <w:spacing w:after="0" w:line="20" w:lineRule="exact"/>
        <w:rPr>
          <w:sz w:val="20"/>
          <w:szCs w:val="20"/>
          <w:color w:val="auto"/>
        </w:rPr>
      </w:pPr>
      <w:r>
        <w:rPr>
          <w:sz w:val="20"/>
          <w:szCs w:val="20"/>
          <w:color w:val="auto"/>
        </w:rPr>
        <w:br w:type="column"/>
      </w:r>
    </w:p>
    <w:p>
      <w:pPr>
        <w:spacing w:after="0"/>
        <w:tabs>
          <w:tab w:leader="none" w:pos="3400" w:val="left"/>
        </w:tabs>
        <w:rPr>
          <w:sz w:val="20"/>
          <w:szCs w:val="20"/>
          <w:color w:val="auto"/>
        </w:rPr>
      </w:pP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5205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456" w:lineRule="exact"/>
        <w:rPr>
          <w:sz w:val="20"/>
          <w:szCs w:val="20"/>
          <w:color w:val="auto"/>
        </w:rPr>
      </w:pPr>
    </w:p>
    <w:p>
      <w:pPr>
        <w:sectPr>
          <w:pgSz w:w="11900" w:h="16838" w:orient="portrait"/>
          <w:cols w:equalWidth="0" w:num="2">
            <w:col w:w="2480" w:space="720"/>
            <w:col w:w="8140"/>
          </w:cols>
          <w:pgMar w:left="280" w:top="716" w:right="279" w:bottom="1440" w:gutter="0" w:footer="0" w:header="0"/>
        </w:sectPr>
      </w:pPr>
    </w:p>
    <w:p>
      <w:pPr>
        <w:spacing w:after="0" w:line="1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evaluate our fixed assets and amortizable intangible assets for impairment whenever events or changes in circumstances indicate that the carrying amount of such assets may not be recoverable. These events and circumstances include, but are not limited to: higher than expected attrition for customer relationships; a current expectation that a long-lived asset will be disposed of significantly before the end of its previously estimated useful life, such as when we classify a business as held for sale; a significant adverse change in the extent or manner in which we use a long-lived asset; or a change in the physical condition of a long-lived asset.</w:t>
      </w:r>
    </w:p>
    <w:p>
      <w:pPr>
        <w:spacing w:after="0" w:line="18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Undiscounted cash flow analyses are used to determine if impairment exists; if impairment is determined to exist, the loss is calculated based on estimated fair value.</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Goodwill is not amortized but rather tested at least annually for impairment, or more often if events or changes in circumstances indicate it is more-likely-than-not that the carrying amount of the asset may not be recoverable. Goodwill is tested for impairment at the reporting unit level, which represents an operating segment or a component of an operating segment. Goodwill is tested for impairment by either performing a qualitative evaluation or a quantitative test. The qualitative evaluation is an assessment of factors to determine whether it is more-likely-than-not that the fair value of a reporting unit is less than its carrying amount, including goodwill. We may elect not to perform the qualitative assessment for some or all of our reporting units and instead perform a quantitative impairment test.</w:t>
      </w:r>
    </w:p>
    <w:p>
      <w:pPr>
        <w:spacing w:after="0" w:line="20" w:lineRule="exact"/>
        <w:rPr>
          <w:sz w:val="20"/>
          <w:szCs w:val="20"/>
          <w:color w:val="auto"/>
        </w:rPr>
      </w:pPr>
      <w:r>
        <w:rPr>
          <w:sz w:val="20"/>
          <w:szCs w:val="20"/>
          <w:color w:val="auto"/>
        </w:rPr>
        <w:br w:type="column"/>
      </w:r>
    </w:p>
    <w:p>
      <w:pPr>
        <w:ind w:right="40"/>
        <w:spacing w:after="0" w:line="248" w:lineRule="auto"/>
        <w:rPr>
          <w:sz w:val="20"/>
          <w:szCs w:val="20"/>
          <w:color w:val="auto"/>
        </w:rPr>
      </w:pPr>
      <w:r>
        <w:rPr>
          <w:rFonts w:ascii="Arial" w:cs="Arial" w:eastAsia="Arial" w:hAnsi="Arial"/>
          <w:sz w:val="16"/>
          <w:szCs w:val="16"/>
          <w:color w:val="auto"/>
        </w:rPr>
        <w:t>Our impairment evaluations require us to apply judgment in determining whether a triggering event has occurred, including the evaluation of whether it is more likely than not that a long-lived asset will be disposed of significantly before the end of its previously estimated useful life. Incorrect estimation of useful lives may result in inaccurate depreciation and amortization charges over future periods leading to future impairment.</w:t>
      </w:r>
    </w:p>
    <w:p>
      <w:pPr>
        <w:spacing w:after="0" w:line="17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8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estimate the fair value of each reporting unit using a combination of the income approach and the market approach.</w:t>
      </w:r>
    </w:p>
    <w:p>
      <w:pPr>
        <w:spacing w:after="0" w:line="17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income approach incorporates the use of a discounted cash flow method in which the estimated future cash flows and terminal value are calculated for each reporting unit and then discounted to present value using an appropriate discount rate.</w:t>
      </w:r>
    </w:p>
    <w:p>
      <w:pPr>
        <w:spacing w:after="0" w:line="17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valuation of our reporting units requires significant judgment in evaluation of recent indicators of market activity and estimated future cash flows, discount rates, and other factors. Our impairment analyses contain inherent uncertainties due to uncontrollable events that could positively or negatively impact anticipated future economic and operating conditions.</w:t>
      </w:r>
    </w:p>
    <w:p>
      <w:pPr>
        <w:spacing w:after="0" w:line="18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making these estimates, the weighted-average cost of capital is utilized to calculate the present value of future cash flows and terminal value. Many variables go into estimating future cash flows, including estimates of our future revenue growth and operating results. When estimating our projected revenue growth and future operating results, we consider industry trends, economic data, and our competitive advantage.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market approach estimates fair value of a reporting unit by using market comparables for reasonably similar public companies.</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6"/>
          <w:szCs w:val="16"/>
          <w:color w:val="auto"/>
        </w:rPr>
        <w:t>During the last three years, we have not made any changes in the accounting methodology used to evaluate the impairment of long-lived assets or to estimate the useful lives of our long-lived assets.</w:t>
      </w:r>
    </w:p>
    <w:p>
      <w:pPr>
        <w:spacing w:after="0" w:line="36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 xml:space="preserve">Additionally, we have not made any changes in the accounting methodology used to evaluate impairment of goodwill during the last three years, other than adopting Accounting Standards Update 2017-04, </w:t>
      </w:r>
      <w:r>
        <w:rPr>
          <w:rFonts w:ascii="Arial" w:cs="Arial" w:eastAsia="Arial" w:hAnsi="Arial"/>
          <w:sz w:val="16"/>
          <w:szCs w:val="16"/>
          <w:i w:val="1"/>
          <w:iCs w:val="1"/>
          <w:color w:val="auto"/>
        </w:rPr>
        <w:t>Intangibles—Goodwill and Other (Topic 350):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Simplifying the Test for Goodwill Impairment </w:t>
      </w:r>
      <w:r>
        <w:rPr>
          <w:rFonts w:ascii="Arial" w:cs="Arial" w:eastAsia="Arial" w:hAnsi="Arial"/>
          <w:sz w:val="16"/>
          <w:szCs w:val="16"/>
          <w:color w:val="auto"/>
        </w:rPr>
        <w:t>in 2017.</w:t>
      </w:r>
    </w:p>
    <w:p>
      <w:pPr>
        <w:spacing w:after="0" w:line="176"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performing our annual goodwill impairment analysis on August 1, 2018, we recorded an impairment charge of $20.3 million on goodwill and $6.2 million on customer relationships for one of our reporting units within the Technical Solutions segment. In 2018, this reporting unit’s performance primarily reflected the adverse impact of Brexit and the resulting impact on microeconomic conditions in the U.K. retail sector and the anticipated loss of a significant customer contract. In performing our annual goodwill impairment analysis, we determined there was a revised future outlook for this business, including reduced expectations of future sales, operating margins, and cash flows. In analyzing our other goodwill reporting units, we concluded that goodwill related to these other reporting units was not impaired. A 10% decrease in the estimated fair value of any of our reporting units would not have resulted in a different conclusion.</w:t>
      </w:r>
    </w:p>
    <w:p>
      <w:pPr>
        <w:spacing w:after="0" w:line="18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 goodwill impairment analysis was performed for each of our reporting units on November 1, 2017 when we reorganized our reportable segments and reporting units following the integration of GCA into our industry group model. We performed a qualitative goodwill impairment test immediately before and after the segment realignment by analyzing the results of operations and business conditions of the reporting units and we determined the likelihood of a goodwill impairment did not reach the more-likely-than-not threshold specified in U.S. GAAP. Accordingly, we concluded that goodwill related to those reporting units was not impaired and further quantitative testing was not required.</w:t>
      </w:r>
    </w:p>
    <w:p>
      <w:pPr>
        <w:spacing w:after="0" w:line="17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During 2016, when we classified our Government Services business as held for sale, we were required to measure that business at the lower of its carrying value or fair value less estimated costs to sell. As a result of significant underperformance relative to expected operating results, we determined the fair value of this business was less than the carrying amount, resulting in impairment charges of $15.3 million on long-lived assets and $6.0 million on goodwill. During the second quarter of 2017, we received an offer from a strategic buyer to purchase this business for approximately $35.0 million, which was higher than our estimate of fair value less costs to sell. As a result, we recorded a $17.4 million impairment recovery to adjust the fair value of certain previously impaired assets to the valuation of the assets as implied by the agreed-upon sales price, less estimated costs to sell. We completed the sale for $35.5 million, therefore we did not recognize a material gain on sale.</w:t>
      </w:r>
    </w:p>
    <w:p>
      <w:pPr>
        <w:spacing w:after="0" w:line="399" w:lineRule="exact"/>
        <w:rPr>
          <w:sz w:val="20"/>
          <w:szCs w:val="20"/>
          <w:color w:val="auto"/>
        </w:rPr>
      </w:pPr>
    </w:p>
    <w:p>
      <w:pPr>
        <w:sectPr>
          <w:pgSz w:w="11900" w:h="16838" w:orient="portrait"/>
          <w:cols w:equalWidth="0" w:num="3">
            <w:col w:w="3040" w:space="160"/>
            <w:col w:w="3260" w:space="160"/>
            <w:col w:w="4720"/>
          </w:cols>
          <w:pgMar w:left="280" w:top="716" w:right="279" w:bottom="1440" w:gutter="0" w:footer="0" w:header="0"/>
          <w:type w:val="continuous"/>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40"/>
          </w:cols>
          <w:pgMar w:left="280" w:top="716" w:right="27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032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Reserves</w:t>
      </w:r>
    </w:p>
    <w:p>
      <w:pPr>
        <w:spacing w:after="0" w:line="21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use a combination of insured and self-insurance programs to cover workers’ compensation, general liability, automobile liability, property damage, and other insurable risks.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IBNR Claims.</w:t>
      </w:r>
    </w:p>
    <w:p>
      <w:pPr>
        <w:spacing w:after="0" w:line="18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our third-party claims administrators.</w:t>
      </w:r>
    </w:p>
    <w:p>
      <w:pPr>
        <w:spacing w:after="0" w:line="181"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The third-party claims administrators establish the case reserves based upon known factors related to the type and severity of the claims, demographic data, legislative matters, and case law, as appropriate.</w:t>
      </w:r>
    </w:p>
    <w:p>
      <w:pPr>
        <w:spacing w:after="0" w:line="17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compare actual trends to expected trends and monitor claims developments.</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including IBNR Claims.</w:t>
      </w:r>
    </w:p>
    <w:p>
      <w:pPr>
        <w:spacing w:after="0" w:line="18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utilize the results of actuarial studies to estimate our insurance rates and insurance reserves for future periods and to adjust reserves, if appropriate, for prior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2032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Our self-insurance liabilities contain uncertainties due to assumptions required and judgment used.</w:t>
      </w:r>
    </w:p>
    <w:p>
      <w:pPr>
        <w:spacing w:after="0" w:line="17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Costs to settle our obligations, including legal and healthcare costs, could fluctuate and cause estimates of our self-insurance liabilities to change.</w:t>
      </w:r>
    </w:p>
    <w:p>
      <w:pPr>
        <w:spacing w:after="0" w:line="17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Incident rates, including frequency and severity, could fluctuate and cause the estimates in our self-insurance liabilities to change.</w:t>
      </w:r>
    </w:p>
    <w:p>
      <w:pPr>
        <w:spacing w:after="0" w:line="176"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These estimates are subject to: changes in the regulatory environment; fluctuations in projected exposures, including payroll, revenues, and the number of vehicle units; and the frequency, lag, and severity of claims.</w:t>
      </w:r>
    </w:p>
    <w:p>
      <w:pPr>
        <w:spacing w:after="0" w:line="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full extent of certain claims, especially workers’ compensation and general liability claims, may not be fully determined for several years.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if the reserves related to self-insurance or high deductible programs from acquired businesses are not adequate to cover damages resulting from future accidents or other incidents, we may be exposed to substantial losses arising from future developments of the claims.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3035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have not made any changes in the accounting methodology used to establish our self-insurance liabilities during the past three years.</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After analyzing the recent loss development patterns, comparing the loss development patterns against benchmarks, and applying actuarial projection methods to estimate the ultimate losses, we increased our total reserves for known claims as well as our estimate of the loss amounts associated with IBNR Claims for prior years by $10.2 million, $22.0 million, and $32.9 million during 2018, 2017, and 2016, respectively.</w:t>
      </w:r>
    </w:p>
    <w:p>
      <w:pPr>
        <w:spacing w:after="0" w:line="18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It is possible that actual results could differ from recorded self-insurance liabilities. A 10% change in our projected ultimate losses would have affected net income by approximately $30.5 million for 2018.</w:t>
      </w:r>
    </w:p>
    <w:p>
      <w:pPr>
        <w:spacing w:after="0" w:line="6250" w:lineRule="exact"/>
        <w:rPr>
          <w:sz w:val="20"/>
          <w:szCs w:val="20"/>
          <w:color w:val="auto"/>
        </w:rPr>
      </w:pPr>
    </w:p>
    <w:p>
      <w:pPr>
        <w:sectPr>
          <w:pgSz w:w="11900" w:h="16838" w:orient="portrait"/>
          <w:cols w:equalWidth="0" w:num="3">
            <w:col w:w="3140" w:space="180"/>
            <w:col w:w="3120" w:space="180"/>
            <w:col w:w="4680"/>
          </w:cols>
          <w:pgMar w:left="280" w:top="71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00"/>
          </w:cols>
          <w:pgMar w:left="280" w:top="716" w:right="3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032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Litigation</w:t>
      </w:r>
    </w:p>
    <w:p>
      <w:pPr>
        <w:spacing w:after="0" w:line="20" w:lineRule="exact"/>
        <w:rPr>
          <w:sz w:val="20"/>
          <w:szCs w:val="20"/>
          <w:color w:val="auto"/>
        </w:rPr>
      </w:pPr>
      <w:r>
        <w:rPr>
          <w:sz w:val="20"/>
          <w:szCs w:val="20"/>
          <w:color w:val="auto"/>
        </w:rPr>
        <w:br w:type="column"/>
      </w:r>
    </w:p>
    <w:p>
      <w:pPr>
        <w:spacing w:after="0"/>
        <w:tabs>
          <w:tab w:leader="none" w:pos="3280" w:val="left"/>
        </w:tabs>
        <w:rPr>
          <w:sz w:val="20"/>
          <w:szCs w:val="20"/>
          <w:color w:val="auto"/>
        </w:rPr>
      </w:pP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5137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456" w:lineRule="exact"/>
        <w:rPr>
          <w:sz w:val="20"/>
          <w:szCs w:val="20"/>
          <w:color w:val="auto"/>
        </w:rPr>
      </w:pPr>
    </w:p>
    <w:p>
      <w:pPr>
        <w:sectPr>
          <w:pgSz w:w="11900" w:h="16838" w:orient="portrait"/>
          <w:cols w:equalWidth="0" w:num="2">
            <w:col w:w="2600" w:space="720"/>
            <w:col w:w="8020"/>
          </w:cols>
          <w:pgMar w:left="280" w:top="716" w:right="279" w:bottom="1440" w:gutter="0" w:footer="0" w:header="0"/>
        </w:sectPr>
      </w:pPr>
    </w:p>
    <w:p>
      <w:pPr>
        <w:spacing w:after="0" w:line="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8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accrue for loss contingencies when losses become probable and are reasonably estimable. If the reasonable estimate of the loss is a range and no amount within the range is a better estimate, the minimum amount of the range is recorded as a liability.</w:t>
      </w:r>
    </w:p>
    <w:p>
      <w:pPr>
        <w:spacing w:after="0" w:line="18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do not accrue for contingent losses that, in our judgment, are considered to be reasonably possible but not probable.</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6"/>
          <w:szCs w:val="16"/>
          <w:color w:val="auto"/>
        </w:rPr>
        <w:t>Litigation outcomes are difficult to predict and are often resolved over long periods of time.</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Estimating probable and reasonably possible losses requires the analysis of multiple possible outcomes that often depend on judgments about potential actions by third parties, such as future changes in facts and circumstances, differing interpretations of the law, assessments of the amount of damages, and other factors beyond our control. There is the potential for a material adverse effect on our financial statements if one or more matters are resolved in a particular period in an amount materially in excess of what we anticipated.</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10160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53" w:lineRule="auto"/>
        <w:rPr>
          <w:sz w:val="20"/>
          <w:szCs w:val="20"/>
          <w:color w:val="auto"/>
        </w:rPr>
      </w:pPr>
      <w:r>
        <w:rPr>
          <w:rFonts w:ascii="Arial" w:cs="Arial" w:eastAsia="Arial" w:hAnsi="Arial"/>
          <w:sz w:val="16"/>
          <w:szCs w:val="16"/>
          <w:color w:val="auto"/>
        </w:rPr>
        <w:t>We have not made any changes in the accounting methodology used to establish our loss contingencies during the past three years.</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management currently estimates the range of loss for all reasonably possible losses for which a reasonable estimate of the loss can be made is between zero and $4 million. Factors underlying this estimated range of loss may change from time to time, and actual results may vary significantly from this estimate.</w:t>
      </w:r>
    </w:p>
    <w:p>
      <w:pPr>
        <w:spacing w:after="0" w:line="3788" w:lineRule="exact"/>
        <w:rPr>
          <w:sz w:val="20"/>
          <w:szCs w:val="20"/>
          <w:color w:val="auto"/>
        </w:rPr>
      </w:pPr>
    </w:p>
    <w:p>
      <w:pPr>
        <w:sectPr>
          <w:pgSz w:w="11900" w:h="16838" w:orient="portrait"/>
          <w:cols w:equalWidth="0" w:num="3">
            <w:col w:w="3120" w:space="200"/>
            <w:col w:w="3120" w:space="180"/>
            <w:col w:w="4720"/>
          </w:cols>
          <w:pgMar w:left="280" w:top="716" w:right="279" w:bottom="1440" w:gutter="0" w:footer="0" w:header="0"/>
          <w:type w:val="continuous"/>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40"/>
          </w:cols>
          <w:pgMar w:left="280" w:top="716" w:right="27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b w:val="1"/>
          <w:bCs w:val="1"/>
          <w:color w:val="0046AD"/>
        </w:rPr>
        <w:t>Recent Accounting Pronouncements</w:t>
      </w:r>
    </w:p>
    <w:p>
      <w:pPr>
        <w:sectPr>
          <w:pgSz w:w="11900" w:h="16838" w:orient="portrait"/>
          <w:cols w:equalWidth="0" w:num="1">
            <w:col w:w="11300"/>
          </w:cols>
          <w:pgMar w:left="240" w:top="522" w:right="359" w:bottom="1440" w:gutter="0" w:footer="0" w:header="0"/>
        </w:sect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5951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Effective Date/Method of</w:t>
      </w:r>
    </w:p>
    <w:p>
      <w:pPr>
        <w:spacing w:after="0" w:line="18" w:lineRule="exact"/>
        <w:rPr>
          <w:sz w:val="20"/>
          <w:szCs w:val="20"/>
          <w:color w:val="auto"/>
        </w:rPr>
      </w:pPr>
    </w:p>
    <w:p>
      <w:pPr>
        <w:spacing w:after="0"/>
        <w:tabs>
          <w:tab w:leader="none" w:pos="3080" w:val="left"/>
          <w:tab w:leader="none" w:pos="568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Adoption</w:t>
      </w:r>
      <w:r>
        <w:rPr>
          <w:sz w:val="20"/>
          <w:szCs w:val="20"/>
          <w:color w:val="auto"/>
        </w:rPr>
        <w:tab/>
      </w:r>
      <w:r>
        <w:rPr>
          <w:rFonts w:ascii="Arial" w:cs="Arial" w:eastAsia="Arial" w:hAnsi="Arial"/>
          <w:sz w:val="17"/>
          <w:szCs w:val="17"/>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1940" w:space="720"/>
            <w:col w:w="8640"/>
          </w:cols>
          <w:pgMar w:left="240" w:top="522" w:right="359" w:bottom="1440" w:gutter="0" w:footer="0" w:header="0"/>
          <w:type w:val="continuous"/>
        </w:sectPr>
      </w:pPr>
    </w:p>
    <w:p>
      <w:pPr>
        <w:spacing w:after="0" w:line="11" w:lineRule="exact"/>
        <w:rPr>
          <w:sz w:val="20"/>
          <w:szCs w:val="20"/>
          <w:color w:val="auto"/>
        </w:rPr>
      </w:pPr>
    </w:p>
    <w:p>
      <w:pPr>
        <w:ind w:left="40"/>
        <w:spacing w:after="0" w:line="229" w:lineRule="auto"/>
        <w:rPr>
          <w:sz w:val="20"/>
          <w:szCs w:val="20"/>
          <w:color w:val="auto"/>
        </w:rPr>
      </w:pPr>
      <w:r>
        <w:rPr>
          <w:rFonts w:ascii="Arial" w:cs="Arial" w:eastAsia="Arial" w:hAnsi="Arial"/>
          <w:sz w:val="15"/>
          <w:szCs w:val="15"/>
          <w:color w:val="auto"/>
        </w:rPr>
        <w:t xml:space="preserve">In November 2018, the Financial Accounting Standards Board (“FASB”) issued Accounting Standards Update (“ASU”) 2018-18 </w:t>
      </w:r>
      <w:r>
        <w:rPr>
          <w:rFonts w:ascii="Arial" w:cs="Arial" w:eastAsia="Arial" w:hAnsi="Arial"/>
          <w:sz w:val="15"/>
          <w:szCs w:val="15"/>
          <w:i w:val="1"/>
          <w:iCs w:val="1"/>
          <w:color w:val="auto"/>
        </w:rPr>
        <w:t>—Collaborative Arrangements (Topic 808)—Clarifying the Interaction between Topic 808 and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15951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080" w:val="left"/>
        </w:tabs>
        <w:rPr>
          <w:sz w:val="20"/>
          <w:szCs w:val="20"/>
          <w:color w:val="auto"/>
        </w:rPr>
      </w:pPr>
      <w:r>
        <w:rPr>
          <w:rFonts w:ascii="Arial" w:cs="Arial" w:eastAsia="Arial" w:hAnsi="Arial"/>
          <w:sz w:val="15"/>
          <w:szCs w:val="15"/>
          <w:color w:val="auto"/>
        </w:rPr>
        <w:t>This ASU provides guidance on whether</w:t>
      </w:r>
      <w:r>
        <w:rPr>
          <w:sz w:val="20"/>
          <w:szCs w:val="20"/>
          <w:color w:val="auto"/>
        </w:rPr>
        <w:tab/>
      </w:r>
      <w:r>
        <w:rPr>
          <w:rFonts w:ascii="Arial" w:cs="Arial" w:eastAsia="Arial" w:hAnsi="Arial"/>
          <w:sz w:val="15"/>
          <w:szCs w:val="15"/>
          <w:color w:val="auto"/>
        </w:rPr>
        <w:t>November 1, 2020, applied</w:t>
      </w:r>
    </w:p>
    <w:p>
      <w:pPr>
        <w:ind w:right="860"/>
        <w:spacing w:after="0"/>
        <w:rPr>
          <w:sz w:val="20"/>
          <w:szCs w:val="20"/>
          <w:color w:val="auto"/>
        </w:rPr>
      </w:pPr>
      <w:r>
        <w:rPr>
          <w:rFonts w:ascii="Arial" w:cs="Arial" w:eastAsia="Arial" w:hAnsi="Arial"/>
          <w:sz w:val="15"/>
          <w:szCs w:val="15"/>
          <w:color w:val="auto"/>
        </w:rPr>
        <w:t>certain transactions between collaborative retrospectively. arrangement participants should be accounted for as revenue under Topic 606. It specifically addresses when the participant is a customer in the context of a unit of account, adds unit of account guidance in Topic 808 to align with guidance in Topic 606, and precludes presenting the collaborative arrangement transaction together with revenue recognized under Topic 606 if the collaborative arrangement participant is not a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457200</wp:posOffset>
            </wp:positionV>
            <wp:extent cx="3550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1224280</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407" w:lineRule="exact"/>
        <w:rPr>
          <w:sz w:val="20"/>
          <w:szCs w:val="20"/>
          <w:color w:val="auto"/>
        </w:rPr>
      </w:pPr>
    </w:p>
    <w:p>
      <w:pPr>
        <w:sectPr>
          <w:pgSz w:w="11900" w:h="16838" w:orient="portrait"/>
          <w:cols w:equalWidth="0" w:num="3">
            <w:col w:w="2440" w:space="220"/>
            <w:col w:w="4980" w:space="720"/>
            <w:col w:w="2940"/>
          </w:cols>
          <w:pgMar w:left="240" w:top="522" w:right="35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40"/>
        <w:spacing w:after="0" w:line="231" w:lineRule="auto"/>
        <w:rPr>
          <w:sz w:val="20"/>
          <w:szCs w:val="20"/>
          <w:color w:val="auto"/>
        </w:rPr>
      </w:pPr>
      <w:r>
        <w:rPr>
          <w:rFonts w:ascii="Arial" w:cs="Arial" w:eastAsia="Arial" w:hAnsi="Arial"/>
          <w:sz w:val="15"/>
          <w:szCs w:val="15"/>
          <w:color w:val="auto"/>
        </w:rPr>
        <w:t>In October 2018, the FASB issued ASU 2018-17</w:t>
      </w:r>
      <w:r>
        <w:rPr>
          <w:rFonts w:ascii="Arial" w:cs="Arial" w:eastAsia="Arial" w:hAnsi="Arial"/>
          <w:sz w:val="15"/>
          <w:szCs w:val="15"/>
          <w:i w:val="1"/>
          <w:iCs w:val="1"/>
          <w:color w:val="auto"/>
        </w:rPr>
        <w:t>—Consolidation (Topic</w:t>
      </w:r>
      <w:r>
        <w:rPr>
          <w:rFonts w:ascii="Arial" w:cs="Arial" w:eastAsia="Arial" w:hAnsi="Arial"/>
          <w:sz w:val="15"/>
          <w:szCs w:val="15"/>
          <w:color w:val="auto"/>
        </w:rPr>
        <w:t xml:space="preserve"> </w:t>
      </w:r>
      <w:r>
        <w:rPr>
          <w:rFonts w:ascii="Arial" w:cs="Arial" w:eastAsia="Arial" w:hAnsi="Arial"/>
          <w:sz w:val="15"/>
          <w:szCs w:val="15"/>
          <w:i w:val="1"/>
          <w:iCs w:val="1"/>
          <w:color w:val="auto"/>
        </w:rPr>
        <w:t>810): Targeted Improvements to Related Party Guidance for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15951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tabs>
          <w:tab w:leader="none" w:pos="3080" w:val="left"/>
        </w:tabs>
        <w:rPr>
          <w:sz w:val="20"/>
          <w:szCs w:val="20"/>
          <w:color w:val="auto"/>
        </w:rPr>
      </w:pPr>
      <w:r>
        <w:rPr>
          <w:rFonts w:ascii="Arial" w:cs="Arial" w:eastAsia="Arial" w:hAnsi="Arial"/>
          <w:sz w:val="15"/>
          <w:szCs w:val="15"/>
          <w:color w:val="auto"/>
        </w:rPr>
        <w:t>This ASU provides that indirect interest</w:t>
      </w:r>
      <w:r>
        <w:rPr>
          <w:sz w:val="20"/>
          <w:szCs w:val="20"/>
          <w:color w:val="auto"/>
        </w:rPr>
        <w:tab/>
      </w:r>
      <w:r>
        <w:rPr>
          <w:rFonts w:ascii="Arial" w:cs="Arial" w:eastAsia="Arial" w:hAnsi="Arial"/>
          <w:sz w:val="15"/>
          <w:szCs w:val="15"/>
          <w:color w:val="auto"/>
        </w:rPr>
        <w:t>November 1, 2020</w:t>
      </w:r>
    </w:p>
    <w:p>
      <w:pPr>
        <w:spacing w:after="0" w:line="225" w:lineRule="auto"/>
        <w:rPr>
          <w:sz w:val="20"/>
          <w:szCs w:val="20"/>
          <w:color w:val="auto"/>
        </w:rPr>
      </w:pPr>
      <w:r>
        <w:rPr>
          <w:rFonts w:ascii="Arial" w:cs="Arial" w:eastAsia="Arial" w:hAnsi="Arial"/>
          <w:sz w:val="15"/>
          <w:szCs w:val="15"/>
          <w:color w:val="auto"/>
        </w:rPr>
        <w:t>held through related parties in common</w:t>
      </w:r>
    </w:p>
    <w:p>
      <w:pPr>
        <w:spacing w:after="0" w:line="226" w:lineRule="auto"/>
        <w:rPr>
          <w:sz w:val="20"/>
          <w:szCs w:val="20"/>
          <w:color w:val="auto"/>
        </w:rPr>
      </w:pPr>
      <w:r>
        <w:rPr>
          <w:rFonts w:ascii="Arial" w:cs="Arial" w:eastAsia="Arial" w:hAnsi="Arial"/>
          <w:sz w:val="15"/>
          <w:szCs w:val="15"/>
          <w:color w:val="auto"/>
        </w:rPr>
        <w:t>control arrangements should be</w:t>
      </w:r>
    </w:p>
    <w:p>
      <w:pPr>
        <w:spacing w:after="0" w:line="225" w:lineRule="auto"/>
        <w:rPr>
          <w:sz w:val="20"/>
          <w:szCs w:val="20"/>
          <w:color w:val="auto"/>
        </w:rPr>
      </w:pPr>
      <w:r>
        <w:rPr>
          <w:rFonts w:ascii="Arial" w:cs="Arial" w:eastAsia="Arial" w:hAnsi="Arial"/>
          <w:sz w:val="15"/>
          <w:szCs w:val="15"/>
          <w:color w:val="auto"/>
        </w:rPr>
        <w:t>considered on a proportional basis for</w:t>
      </w:r>
    </w:p>
    <w:p>
      <w:pPr>
        <w:spacing w:after="0" w:line="226" w:lineRule="auto"/>
        <w:rPr>
          <w:sz w:val="20"/>
          <w:szCs w:val="20"/>
          <w:color w:val="auto"/>
        </w:rPr>
      </w:pPr>
      <w:r>
        <w:rPr>
          <w:rFonts w:ascii="Arial" w:cs="Arial" w:eastAsia="Arial" w:hAnsi="Arial"/>
          <w:sz w:val="15"/>
          <w:szCs w:val="15"/>
          <w:color w:val="auto"/>
        </w:rPr>
        <w:t>determining whether fees paid to decision</w:t>
      </w:r>
    </w:p>
    <w:p>
      <w:pPr>
        <w:spacing w:after="0" w:line="225" w:lineRule="auto"/>
        <w:rPr>
          <w:sz w:val="20"/>
          <w:szCs w:val="20"/>
          <w:color w:val="auto"/>
        </w:rPr>
      </w:pPr>
      <w:r>
        <w:rPr>
          <w:rFonts w:ascii="Arial" w:cs="Arial" w:eastAsia="Arial" w:hAnsi="Arial"/>
          <w:sz w:val="15"/>
          <w:szCs w:val="15"/>
          <w:color w:val="auto"/>
        </w:rPr>
        <w:t>makers and service providers are variable</w:t>
      </w:r>
    </w:p>
    <w:p>
      <w:pPr>
        <w:spacing w:after="0"/>
        <w:rPr>
          <w:sz w:val="20"/>
          <w:szCs w:val="20"/>
          <w:color w:val="auto"/>
        </w:rPr>
      </w:pPr>
      <w:r>
        <w:rPr>
          <w:rFonts w:ascii="Arial" w:cs="Arial" w:eastAsia="Arial" w:hAnsi="Arial"/>
          <w:sz w:val="15"/>
          <w:szCs w:val="15"/>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98425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503555</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0" w:lineRule="exact"/>
        <w:rPr>
          <w:sz w:val="20"/>
          <w:szCs w:val="20"/>
          <w:color w:val="auto"/>
        </w:rPr>
      </w:pPr>
    </w:p>
    <w:p>
      <w:pPr>
        <w:sectPr>
          <w:pgSz w:w="11900" w:h="16838" w:orient="portrait"/>
          <w:cols w:equalWidth="0" w:num="3">
            <w:col w:w="2480" w:space="180"/>
            <w:col w:w="4980" w:space="720"/>
            <w:col w:w="2940"/>
          </w:cols>
          <w:pgMar w:left="240" w:top="522" w:right="359" w:bottom="1440" w:gutter="0" w:footer="0" w:header="0"/>
          <w:type w:val="continuous"/>
        </w:sectPr>
      </w:pPr>
    </w:p>
    <w:p>
      <w:pPr>
        <w:ind w:left="40"/>
        <w:spacing w:after="0" w:line="229" w:lineRule="auto"/>
        <w:rPr>
          <w:sz w:val="20"/>
          <w:szCs w:val="20"/>
          <w:color w:val="auto"/>
        </w:rPr>
      </w:pPr>
      <w:r>
        <w:rPr>
          <w:rFonts w:ascii="Arial" w:cs="Arial" w:eastAsia="Arial" w:hAnsi="Arial"/>
          <w:sz w:val="15"/>
          <w:szCs w:val="15"/>
          <w:color w:val="auto"/>
        </w:rPr>
        <w:t>In October 2018, the FASB issued ASU 2018-16</w:t>
      </w:r>
      <w:r>
        <w:rPr>
          <w:rFonts w:ascii="Arial" w:cs="Arial" w:eastAsia="Arial" w:hAnsi="Arial"/>
          <w:sz w:val="15"/>
          <w:szCs w:val="15"/>
          <w:i w:val="1"/>
          <w:iCs w:val="1"/>
          <w:color w:val="auto"/>
        </w:rPr>
        <w:t>—Derivatives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Hedging (Topic 815): Inclusion of the Secured Overnight Financing Rate (“SOFR”) Overnight Index Swap (“OIS”) Rate as a Benchmark Interest Rate for Hedge Accounting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15951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auto"/>
        <w:rPr>
          <w:sz w:val="20"/>
          <w:szCs w:val="20"/>
          <w:color w:val="auto"/>
        </w:rPr>
      </w:pPr>
      <w:r>
        <w:rPr>
          <w:rFonts w:ascii="Arial" w:cs="Arial" w:eastAsia="Arial" w:hAnsi="Arial"/>
          <w:sz w:val="15"/>
          <w:szCs w:val="15"/>
          <w:color w:val="auto"/>
        </w:rPr>
        <w:t>This ASU adds the OIS rate based on SOFR (a swap rate based on the underlying overnight SOFR rate) as an eligible benchmark interest rate for purposes of applying hedge accounting. SOFR is a volume-weighted median interest rate that is calculated daily based on overnight transactions from the prior day’s trading activity in specified segments of the U.S. Treasury repo market. SOFR was selected by the Alternative Reference Rates Committee as its preferred alternative reference rate to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95885</wp:posOffset>
            </wp:positionV>
            <wp:extent cx="18865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Arial" w:cs="Arial" w:eastAsia="Arial" w:hAnsi="Arial"/>
          <w:sz w:val="15"/>
          <w:szCs w:val="15"/>
          <w:color w:val="auto"/>
        </w:rPr>
        <w:t xml:space="preserve">Since we early adopted ASU 2017-12, </w:t>
      </w:r>
      <w:r>
        <w:rPr>
          <w:rFonts w:ascii="Arial" w:cs="Arial" w:eastAsia="Arial" w:hAnsi="Arial"/>
          <w:sz w:val="15"/>
          <w:szCs w:val="15"/>
          <w:i w:val="1"/>
          <w:iCs w:val="1"/>
          <w:color w:val="auto"/>
        </w:rPr>
        <w:t>Derivatives and Hedging (Topic</w:t>
      </w:r>
      <w:r>
        <w:rPr>
          <w:rFonts w:ascii="Arial" w:cs="Arial" w:eastAsia="Arial" w:hAnsi="Arial"/>
          <w:sz w:val="15"/>
          <w:szCs w:val="15"/>
          <w:color w:val="auto"/>
        </w:rPr>
        <w:t xml:space="preserve"> </w:t>
      </w:r>
      <w:r>
        <w:rPr>
          <w:rFonts w:ascii="Arial" w:cs="Arial" w:eastAsia="Arial" w:hAnsi="Arial"/>
          <w:sz w:val="15"/>
          <w:szCs w:val="15"/>
          <w:i w:val="1"/>
          <w:iCs w:val="1"/>
          <w:color w:val="auto"/>
        </w:rPr>
        <w:t>815): Targeted Improvements to Accounting for Hedging Activities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which simplified hedge accounting, this update will be effective for us on November 1, 2020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607060</wp:posOffset>
            </wp:positionV>
            <wp:extent cx="15862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1121410</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792" w:lineRule="exact"/>
        <w:rPr>
          <w:sz w:val="20"/>
          <w:szCs w:val="20"/>
          <w:color w:val="auto"/>
        </w:rPr>
      </w:pPr>
    </w:p>
    <w:p>
      <w:pPr>
        <w:sectPr>
          <w:pgSz w:w="11900" w:h="16838" w:orient="portrait"/>
          <w:cols w:equalWidth="0" w:num="4">
            <w:col w:w="2440" w:space="220"/>
            <w:col w:w="2900" w:space="200"/>
            <w:col w:w="2380" w:space="220"/>
            <w:col w:w="2940"/>
          </w:cols>
          <w:pgMar w:left="240" w:top="522" w:right="359" w:bottom="1440" w:gutter="0" w:footer="0" w:header="0"/>
          <w:type w:val="continuous"/>
        </w:sectPr>
      </w:pPr>
    </w:p>
    <w:p>
      <w:pPr>
        <w:spacing w:after="0" w:line="11" w:lineRule="exact"/>
        <w:rPr>
          <w:sz w:val="20"/>
          <w:szCs w:val="20"/>
          <w:color w:val="auto"/>
        </w:rPr>
      </w:pPr>
    </w:p>
    <w:p>
      <w:pPr>
        <w:ind w:left="40"/>
        <w:spacing w:after="0" w:line="233"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w:t>
      </w:r>
      <w:r>
        <w:rPr>
          <w:rFonts w:ascii="Arial" w:cs="Arial" w:eastAsia="Arial" w:hAnsi="Arial"/>
          <w:sz w:val="15"/>
          <w:szCs w:val="15"/>
          <w:color w:val="auto"/>
        </w:rPr>
        <w:t xml:space="preserve"> </w:t>
      </w:r>
      <w:r>
        <w:rPr>
          <w:rFonts w:ascii="Arial" w:cs="Arial" w:eastAsia="Arial" w:hAnsi="Arial"/>
          <w:sz w:val="15"/>
          <w:szCs w:val="15"/>
          <w:i w:val="1"/>
          <w:iCs w:val="1"/>
          <w:color w:val="auto"/>
        </w:rPr>
        <w:t>Goodwill and Other—Internal-Use Software (Topic 350</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15951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080" w:val="left"/>
        </w:tabs>
        <w:rPr>
          <w:sz w:val="20"/>
          <w:szCs w:val="20"/>
          <w:color w:val="auto"/>
        </w:rPr>
      </w:pPr>
      <w:r>
        <w:rPr>
          <w:rFonts w:ascii="Arial" w:cs="Arial" w:eastAsia="Arial" w:hAnsi="Arial"/>
          <w:sz w:val="15"/>
          <w:szCs w:val="15"/>
          <w:color w:val="auto"/>
        </w:rPr>
        <w:t>This ASU aligns the requirements for</w:t>
      </w:r>
      <w:r>
        <w:rPr>
          <w:sz w:val="20"/>
          <w:szCs w:val="20"/>
          <w:color w:val="auto"/>
        </w:rPr>
        <w:tab/>
      </w:r>
      <w:r>
        <w:rPr>
          <w:rFonts w:ascii="Arial" w:cs="Arial" w:eastAsia="Arial" w:hAnsi="Arial"/>
          <w:sz w:val="15"/>
          <w:szCs w:val="15"/>
          <w:color w:val="auto"/>
        </w:rPr>
        <w:t>November 1, 2020</w:t>
      </w:r>
    </w:p>
    <w:p>
      <w:pPr>
        <w:spacing w:after="0" w:line="225" w:lineRule="auto"/>
        <w:rPr>
          <w:sz w:val="20"/>
          <w:szCs w:val="20"/>
          <w:color w:val="auto"/>
        </w:rPr>
      </w:pPr>
      <w:r>
        <w:rPr>
          <w:rFonts w:ascii="Arial" w:cs="Arial" w:eastAsia="Arial" w:hAnsi="Arial"/>
          <w:sz w:val="15"/>
          <w:szCs w:val="15"/>
          <w:color w:val="auto"/>
        </w:rPr>
        <w:t>capitalizing implementation costs incurred</w:t>
      </w:r>
    </w:p>
    <w:p>
      <w:pPr>
        <w:spacing w:after="0" w:line="226" w:lineRule="auto"/>
        <w:rPr>
          <w:sz w:val="20"/>
          <w:szCs w:val="20"/>
          <w:color w:val="auto"/>
        </w:rPr>
      </w:pPr>
      <w:r>
        <w:rPr>
          <w:rFonts w:ascii="Arial" w:cs="Arial" w:eastAsia="Arial" w:hAnsi="Arial"/>
          <w:sz w:val="15"/>
          <w:szCs w:val="15"/>
          <w:color w:val="auto"/>
        </w:rPr>
        <w:t>in a hosting arrangement that is a service</w:t>
      </w:r>
    </w:p>
    <w:p>
      <w:pPr>
        <w:spacing w:after="0" w:line="225" w:lineRule="auto"/>
        <w:rPr>
          <w:sz w:val="20"/>
          <w:szCs w:val="20"/>
          <w:color w:val="auto"/>
        </w:rPr>
      </w:pPr>
      <w:r>
        <w:rPr>
          <w:rFonts w:ascii="Arial" w:cs="Arial" w:eastAsia="Arial" w:hAnsi="Arial"/>
          <w:sz w:val="15"/>
          <w:szCs w:val="15"/>
          <w:color w:val="auto"/>
        </w:rPr>
        <w:t>contract with the requirements for</w:t>
      </w:r>
    </w:p>
    <w:p>
      <w:pPr>
        <w:spacing w:after="0" w:line="226" w:lineRule="auto"/>
        <w:rPr>
          <w:sz w:val="20"/>
          <w:szCs w:val="20"/>
          <w:color w:val="auto"/>
        </w:rPr>
      </w:pPr>
      <w:r>
        <w:rPr>
          <w:rFonts w:ascii="Arial" w:cs="Arial" w:eastAsia="Arial" w:hAnsi="Arial"/>
          <w:sz w:val="15"/>
          <w:szCs w:val="15"/>
          <w:color w:val="auto"/>
        </w:rPr>
        <w:t>capitalizing implementation costs incurred</w:t>
      </w:r>
    </w:p>
    <w:p>
      <w:pPr>
        <w:spacing w:after="0"/>
        <w:rPr>
          <w:sz w:val="20"/>
          <w:szCs w:val="20"/>
          <w:color w:val="auto"/>
        </w:rPr>
      </w:pPr>
      <w:r>
        <w:rPr>
          <w:rFonts w:ascii="Arial" w:cs="Arial" w:eastAsia="Arial" w:hAnsi="Arial"/>
          <w:sz w:val="15"/>
          <w:szCs w:val="15"/>
          <w:color w:val="auto"/>
        </w:rPr>
        <w:t>to develop or obtain 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98425</wp:posOffset>
            </wp:positionV>
            <wp:extent cx="3550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400685</wp:posOffset>
            </wp:positionV>
            <wp:extent cx="19551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3">
            <w:col w:w="2340" w:space="320"/>
            <w:col w:w="4980" w:space="720"/>
            <w:col w:w="2940"/>
          </w:cols>
          <w:pgMar w:left="240" w:top="522" w:right="359" w:bottom="1440" w:gutter="0" w:footer="0" w:header="0"/>
          <w:type w:val="continuous"/>
        </w:sectPr>
      </w:pPr>
    </w:p>
    <w:p>
      <w:pPr>
        <w:ind w:left="40"/>
        <w:spacing w:after="0" w:line="233" w:lineRule="auto"/>
        <w:rPr>
          <w:sz w:val="20"/>
          <w:szCs w:val="20"/>
          <w:color w:val="auto"/>
        </w:rPr>
      </w:pPr>
      <w:r>
        <w:rPr>
          <w:rFonts w:ascii="Arial" w:cs="Arial" w:eastAsia="Arial" w:hAnsi="Arial"/>
          <w:sz w:val="15"/>
          <w:szCs w:val="15"/>
          <w:color w:val="auto"/>
        </w:rPr>
        <w:t xml:space="preserve">In August 2018, the FASB issued ASU 2018-14, </w:t>
      </w:r>
      <w:r>
        <w:rPr>
          <w:rFonts w:ascii="Arial" w:cs="Arial" w:eastAsia="Arial" w:hAnsi="Arial"/>
          <w:sz w:val="15"/>
          <w:szCs w:val="15"/>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Retirement Benefits—General (Topic 715</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951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6" w:lineRule="exact"/>
        <w:rPr>
          <w:sz w:val="20"/>
          <w:szCs w:val="20"/>
          <w:color w:val="auto"/>
        </w:rPr>
      </w:pPr>
    </w:p>
    <w:p>
      <w:pPr>
        <w:ind w:left="40"/>
        <w:spacing w:after="0" w:line="233"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(Topic 820): Disclosure Framework</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15951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35" w:lineRule="auto"/>
        <w:rPr>
          <w:sz w:val="20"/>
          <w:szCs w:val="20"/>
          <w:color w:val="auto"/>
        </w:rPr>
      </w:pPr>
      <w:r>
        <w:rPr>
          <w:rFonts w:ascii="Arial" w:cs="Arial" w:eastAsia="Arial" w:hAnsi="Arial"/>
          <w:sz w:val="15"/>
          <w:szCs w:val="15"/>
          <w:color w:val="auto"/>
        </w:rPr>
        <w:t>This ASU modifies the disclosure requirements on company-sponsored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109220</wp:posOffset>
            </wp:positionV>
            <wp:extent cx="18865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89"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This ASU modifies the disclosure requirements on fair value measurements by removing certain disclosure requirements related to the fair value hierarchy, modifying existing disclosure requirements related to measurement uncertainty, and adding new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92075</wp:posOffset>
            </wp:positionV>
            <wp:extent cx="1886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321310</wp:posOffset>
            </wp:positionV>
            <wp:extent cx="1586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color w:val="auto"/>
        </w:rPr>
        <w:t>November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819150</wp:posOffset>
            </wp:positionV>
            <wp:extent cx="15862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109220</wp:posOffset>
            </wp:positionV>
            <wp:extent cx="1955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606425</wp:posOffset>
            </wp:positionV>
            <wp:extent cx="1955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09" w:lineRule="exact"/>
        <w:rPr>
          <w:sz w:val="20"/>
          <w:szCs w:val="20"/>
          <w:color w:val="auto"/>
        </w:rPr>
      </w:pPr>
    </w:p>
    <w:p>
      <w:pPr>
        <w:sectPr>
          <w:pgSz w:w="11900" w:h="16838" w:orient="portrait"/>
          <w:cols w:equalWidth="0" w:num="4">
            <w:col w:w="2280" w:space="380"/>
            <w:col w:w="2840" w:space="260"/>
            <w:col w:w="1880" w:space="720"/>
            <w:col w:w="2940"/>
          </w:cols>
          <w:pgMar w:left="240" w:top="522" w:right="35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00"/>
          </w:cols>
          <w:pgMar w:left="240" w:top="522" w:right="359" w:bottom="1440" w:gutter="0" w:footer="0" w:header="0"/>
          <w:type w:val="continuous"/>
        </w:sectPr>
      </w:pPr>
    </w:p>
    <w:bookmarkStart w:id="49" w:name="page50"/>
    <w:bookmarkEnd w:id="49"/>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15951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3"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 xml:space="preserve">In March 2018, the FASB issued ASU 2018-05, </w:t>
      </w:r>
      <w:r>
        <w:rPr>
          <w:rFonts w:ascii="Arial" w:cs="Arial" w:eastAsia="Arial" w:hAnsi="Arial"/>
          <w:sz w:val="15"/>
          <w:szCs w:val="15"/>
          <w:i w:val="1"/>
          <w:iCs w:val="1"/>
          <w:color w:val="auto"/>
        </w:rPr>
        <w:t>Income Taxes (Topic</w:t>
      </w:r>
      <w:r>
        <w:rPr>
          <w:rFonts w:ascii="Arial" w:cs="Arial" w:eastAsia="Arial" w:hAnsi="Arial"/>
          <w:sz w:val="15"/>
          <w:szCs w:val="15"/>
          <w:color w:val="auto"/>
        </w:rPr>
        <w:t xml:space="preserve"> </w:t>
      </w:r>
      <w:r>
        <w:rPr>
          <w:rFonts w:ascii="Arial" w:cs="Arial" w:eastAsia="Arial" w:hAnsi="Arial"/>
          <w:sz w:val="15"/>
          <w:szCs w:val="15"/>
          <w:i w:val="1"/>
          <w:iCs w:val="1"/>
          <w:color w:val="auto"/>
        </w:rPr>
        <w:t>740)</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520700</wp:posOffset>
            </wp:positionV>
            <wp:extent cx="15951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b w:val="1"/>
                <w:bCs w:val="1"/>
                <w:color w:val="auto"/>
              </w:rPr>
              <w:t>Effective Date/Method of</w:t>
            </w:r>
          </w:p>
        </w:tc>
        <w:tc>
          <w:tcPr>
            <w:tcW w:w="3080" w:type="dxa"/>
            <w:vAlign w:val="bottom"/>
          </w:tcPr>
          <w:p>
            <w:pPr>
              <w:spacing w:after="0"/>
              <w:rPr>
                <w:sz w:val="17"/>
                <w:szCs w:val="17"/>
                <w:color w:val="auto"/>
              </w:rPr>
            </w:pPr>
          </w:p>
        </w:tc>
      </w:tr>
      <w:tr>
        <w:trPr>
          <w:trHeight w:val="24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1"/>
                <w:szCs w:val="21"/>
                <w:color w:val="auto"/>
              </w:rPr>
            </w:pP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Adoption</w:t>
            </w:r>
          </w:p>
        </w:tc>
        <w:tc>
          <w:tcPr>
            <w:tcW w:w="100" w:type="dxa"/>
            <w:vAlign w:val="bottom"/>
          </w:tcPr>
          <w:p>
            <w:pPr>
              <w:spacing w:after="0"/>
              <w:rPr>
                <w:sz w:val="21"/>
                <w:szCs w:val="21"/>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Effect on the Financial Statements</w:t>
            </w: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5"/>
                <w:szCs w:val="15"/>
                <w:color w:val="auto"/>
              </w:rPr>
              <w:t>This ASU incorporates the provisions of</w:t>
            </w:r>
          </w:p>
        </w:tc>
        <w:tc>
          <w:tcPr>
            <w:tcW w:w="2600" w:type="dxa"/>
            <w:vAlign w:val="bottom"/>
            <w:gridSpan w:val="2"/>
          </w:tcPr>
          <w:p>
            <w:pPr>
              <w:ind w:left="20"/>
              <w:spacing w:after="0"/>
              <w:rPr>
                <w:sz w:val="20"/>
                <w:szCs w:val="20"/>
                <w:color w:val="auto"/>
              </w:rPr>
            </w:pPr>
            <w:r>
              <w:rPr>
                <w:rFonts w:ascii="Arial" w:cs="Arial" w:eastAsia="Arial" w:hAnsi="Arial"/>
                <w:sz w:val="15"/>
                <w:szCs w:val="15"/>
                <w:color w:val="auto"/>
              </w:rPr>
              <w:t>This standard became effective</w:t>
            </w:r>
          </w:p>
        </w:tc>
        <w:tc>
          <w:tcPr>
            <w:tcW w:w="3080" w:type="dxa"/>
            <w:vAlign w:val="bottom"/>
          </w:tcPr>
          <w:p>
            <w:pPr>
              <w:ind w:left="20"/>
              <w:spacing w:after="0"/>
              <w:rPr>
                <w:sz w:val="20"/>
                <w:szCs w:val="20"/>
                <w:color w:val="auto"/>
              </w:rPr>
            </w:pPr>
            <w:r>
              <w:rPr>
                <w:rFonts w:ascii="Arial" w:cs="Arial" w:eastAsia="Arial" w:hAnsi="Arial"/>
                <w:sz w:val="15"/>
                <w:szCs w:val="15"/>
                <w:color w:val="auto"/>
              </w:rPr>
              <w:t>We applied SAB 118 to our financial</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SAB 118 into the accounting standards</w:t>
            </w:r>
          </w:p>
        </w:tc>
        <w:tc>
          <w:tcPr>
            <w:tcW w:w="26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upon issuance.</w:t>
            </w: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statements upon its original issuance in</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codification. SAB 118 provides guidance</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December 2017, prior to the codification in</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on accounting for tax effects of the Tax Act</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ASC 740. Refer to Note 17, “Income Taxes,”</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and permits a measurement period not to</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in the Financial Statements for a discussion</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exceed one year from the enactment date</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of the impacts of the Tax Act on our</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for companies to complete the required</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consolidated financial statements.</w:t>
            </w:r>
          </w:p>
        </w:tc>
      </w:tr>
      <w:tr>
        <w:trPr>
          <w:trHeight w:val="184"/>
        </w:trPr>
        <w:tc>
          <w:tcPr>
            <w:tcW w:w="3100" w:type="dxa"/>
            <w:vAlign w:val="bottom"/>
            <w:gridSpan w:val="2"/>
          </w:tcPr>
          <w:p>
            <w:pPr>
              <w:ind w:left="20"/>
              <w:spacing w:after="0"/>
              <w:rPr>
                <w:sz w:val="20"/>
                <w:szCs w:val="20"/>
                <w:color w:val="auto"/>
              </w:rPr>
            </w:pPr>
            <w:r>
              <w:rPr>
                <w:rFonts w:ascii="Arial" w:cs="Arial" w:eastAsia="Arial" w:hAnsi="Arial"/>
                <w:sz w:val="15"/>
                <w:szCs w:val="15"/>
                <w:color w:val="auto"/>
              </w:rPr>
              <w:t>analyses and accounting.</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5574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2400" w:space="200"/>
            <w:col w:w="8780"/>
          </w:cols>
          <w:pgMar w:left="280" w:top="679" w:right="239" w:bottom="1440" w:gutter="0" w:footer="0" w:header="0"/>
        </w:sectPr>
      </w:pPr>
    </w:p>
    <w:p>
      <w:pPr>
        <w:spacing w:after="0" w:line="10"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 xml:space="preserve">In March 2018, the FASB issued ASU 2018-04, </w:t>
      </w:r>
      <w:r>
        <w:rPr>
          <w:rFonts w:ascii="Arial" w:cs="Arial" w:eastAsia="Arial" w:hAnsi="Arial"/>
          <w:sz w:val="15"/>
          <w:szCs w:val="15"/>
          <w:i w:val="1"/>
          <w:iCs w:val="1"/>
          <w:color w:val="auto"/>
        </w:rPr>
        <w:t>Investments—Debt</w:t>
      </w:r>
      <w:r>
        <w:rPr>
          <w:rFonts w:ascii="Arial" w:cs="Arial" w:eastAsia="Arial" w:hAnsi="Arial"/>
          <w:sz w:val="15"/>
          <w:szCs w:val="15"/>
          <w:color w:val="auto"/>
        </w:rPr>
        <w:t xml:space="preserve"> </w:t>
      </w:r>
      <w:r>
        <w:rPr>
          <w:rFonts w:ascii="Arial" w:cs="Arial" w:eastAsia="Arial" w:hAnsi="Arial"/>
          <w:sz w:val="15"/>
          <w:szCs w:val="15"/>
          <w:i w:val="1"/>
          <w:iCs w:val="1"/>
          <w:color w:val="auto"/>
        </w:rPr>
        <w:t>Securities (Topic 320) and Regulated Operations (Topic 980): Amendments to SEC Paragraphs Pursuant to SAB No. 117 and SEC Release No. 33-9273.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711200</wp:posOffset>
            </wp:positionV>
            <wp:extent cx="15951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080" w:val="left"/>
        </w:tabs>
        <w:rPr>
          <w:sz w:val="20"/>
          <w:szCs w:val="20"/>
          <w:color w:val="auto"/>
        </w:rPr>
      </w:pPr>
      <w:r>
        <w:rPr>
          <w:rFonts w:ascii="Arial" w:cs="Arial" w:eastAsia="Arial" w:hAnsi="Arial"/>
          <w:sz w:val="15"/>
          <w:szCs w:val="15"/>
          <w:color w:val="auto"/>
        </w:rPr>
        <w:t>This ASU deletes ASC 320-10-S99-1,</w:t>
      </w:r>
      <w:r>
        <w:rPr>
          <w:sz w:val="20"/>
          <w:szCs w:val="20"/>
          <w:color w:val="auto"/>
        </w:rPr>
        <w:tab/>
      </w:r>
      <w:r>
        <w:rPr>
          <w:rFonts w:ascii="Arial" w:cs="Arial" w:eastAsia="Arial" w:hAnsi="Arial"/>
          <w:sz w:val="15"/>
          <w:szCs w:val="15"/>
          <w:color w:val="auto"/>
        </w:rPr>
        <w:t>November 1, 2018</w:t>
      </w:r>
    </w:p>
    <w:p>
      <w:pPr>
        <w:spacing w:after="0" w:line="225" w:lineRule="auto"/>
        <w:rPr>
          <w:sz w:val="20"/>
          <w:szCs w:val="20"/>
          <w:color w:val="auto"/>
        </w:rPr>
      </w:pPr>
      <w:r>
        <w:rPr>
          <w:rFonts w:ascii="Arial" w:cs="Arial" w:eastAsia="Arial" w:hAnsi="Arial"/>
          <w:sz w:val="15"/>
          <w:szCs w:val="15"/>
          <w:color w:val="auto"/>
        </w:rPr>
        <w:t>which had codified SAB Topic 5.M, and</w:t>
      </w:r>
    </w:p>
    <w:p>
      <w:pPr>
        <w:spacing w:after="0" w:line="226" w:lineRule="auto"/>
        <w:rPr>
          <w:sz w:val="20"/>
          <w:szCs w:val="20"/>
          <w:color w:val="auto"/>
        </w:rPr>
      </w:pPr>
      <w:r>
        <w:rPr>
          <w:rFonts w:ascii="Arial" w:cs="Arial" w:eastAsia="Arial" w:hAnsi="Arial"/>
          <w:sz w:val="15"/>
          <w:szCs w:val="15"/>
          <w:color w:val="auto"/>
        </w:rPr>
        <w:t>also removes special requirements in SEC</w:t>
      </w:r>
    </w:p>
    <w:p>
      <w:pPr>
        <w:spacing w:after="0" w:line="225" w:lineRule="auto"/>
        <w:rPr>
          <w:sz w:val="20"/>
          <w:szCs w:val="20"/>
          <w:color w:val="auto"/>
        </w:rPr>
      </w:pPr>
      <w:r>
        <w:rPr>
          <w:rFonts w:ascii="Arial" w:cs="Arial" w:eastAsia="Arial" w:hAnsi="Arial"/>
          <w:sz w:val="15"/>
          <w:szCs w:val="15"/>
          <w:color w:val="auto"/>
        </w:rPr>
        <w:t>Regulation S-X Rule 3A-05 for public utility</w:t>
      </w:r>
    </w:p>
    <w:p>
      <w:pPr>
        <w:spacing w:after="0" w:line="226" w:lineRule="auto"/>
        <w:rPr>
          <w:sz w:val="20"/>
          <w:szCs w:val="20"/>
          <w:color w:val="auto"/>
        </w:rPr>
      </w:pPr>
      <w:r>
        <w:rPr>
          <w:rFonts w:ascii="Arial" w:cs="Arial" w:eastAsia="Arial" w:hAnsi="Arial"/>
          <w:sz w:val="15"/>
          <w:szCs w:val="15"/>
          <w:color w:val="auto"/>
        </w:rPr>
        <w:t>holding companies. In November 2017, the</w:t>
      </w:r>
    </w:p>
    <w:p>
      <w:pPr>
        <w:spacing w:after="0" w:line="225" w:lineRule="auto"/>
        <w:rPr>
          <w:sz w:val="20"/>
          <w:szCs w:val="20"/>
          <w:color w:val="auto"/>
        </w:rPr>
      </w:pPr>
      <w:r>
        <w:rPr>
          <w:rFonts w:ascii="Arial" w:cs="Arial" w:eastAsia="Arial" w:hAnsi="Arial"/>
          <w:sz w:val="15"/>
          <w:szCs w:val="15"/>
          <w:color w:val="auto"/>
        </w:rPr>
        <w:t>SEC issued SAB 117 to bring its existing</w:t>
      </w:r>
    </w:p>
    <w:p>
      <w:pPr>
        <w:spacing w:after="0" w:line="226" w:lineRule="auto"/>
        <w:rPr>
          <w:sz w:val="20"/>
          <w:szCs w:val="20"/>
          <w:color w:val="auto"/>
        </w:rPr>
      </w:pPr>
      <w:r>
        <w:rPr>
          <w:rFonts w:ascii="Arial" w:cs="Arial" w:eastAsia="Arial" w:hAnsi="Arial"/>
          <w:sz w:val="15"/>
          <w:szCs w:val="15"/>
          <w:color w:val="auto"/>
        </w:rPr>
        <w:t>guidance into conformity with Topic 321,</w:t>
      </w:r>
    </w:p>
    <w:p>
      <w:pPr>
        <w:spacing w:after="0" w:line="225" w:lineRule="auto"/>
        <w:rPr>
          <w:sz w:val="20"/>
          <w:szCs w:val="20"/>
          <w:color w:val="auto"/>
        </w:rPr>
      </w:pPr>
      <w:r>
        <w:rPr>
          <w:rFonts w:ascii="Arial" w:cs="Arial" w:eastAsia="Arial" w:hAnsi="Arial"/>
          <w:sz w:val="15"/>
          <w:szCs w:val="15"/>
          <w:i w:val="1"/>
          <w:iCs w:val="1"/>
          <w:color w:val="auto"/>
        </w:rPr>
        <w:t>Investments—Equity Securities</w:t>
      </w:r>
      <w:r>
        <w:rPr>
          <w:rFonts w:ascii="Arial" w:cs="Arial" w:eastAsia="Arial" w:hAnsi="Arial"/>
          <w:sz w:val="15"/>
          <w:szCs w:val="15"/>
          <w:color w:val="auto"/>
        </w:rPr>
        <w:t>. SAB 117</w:t>
      </w:r>
    </w:p>
    <w:p>
      <w:pPr>
        <w:spacing w:after="0" w:line="226" w:lineRule="auto"/>
        <w:rPr>
          <w:sz w:val="20"/>
          <w:szCs w:val="20"/>
          <w:color w:val="auto"/>
        </w:rPr>
      </w:pPr>
      <w:r>
        <w:rPr>
          <w:rFonts w:ascii="Arial" w:cs="Arial" w:eastAsia="Arial" w:hAnsi="Arial"/>
          <w:sz w:val="15"/>
          <w:szCs w:val="15"/>
          <w:color w:val="auto"/>
        </w:rPr>
        <w:t xml:space="preserve">states that SAB Topic 5.M, </w:t>
      </w:r>
      <w:r>
        <w:rPr>
          <w:rFonts w:ascii="Arial" w:cs="Arial" w:eastAsia="Arial" w:hAnsi="Arial"/>
          <w:sz w:val="15"/>
          <w:szCs w:val="15"/>
          <w:i w:val="1"/>
          <w:iCs w:val="1"/>
          <w:color w:val="auto"/>
        </w:rPr>
        <w:t>Other Than</w:t>
      </w:r>
    </w:p>
    <w:p>
      <w:pPr>
        <w:spacing w:after="0" w:line="225" w:lineRule="auto"/>
        <w:rPr>
          <w:sz w:val="20"/>
          <w:szCs w:val="20"/>
          <w:color w:val="auto"/>
        </w:rPr>
      </w:pPr>
      <w:r>
        <w:rPr>
          <w:rFonts w:ascii="Arial" w:cs="Arial" w:eastAsia="Arial" w:hAnsi="Arial"/>
          <w:sz w:val="15"/>
          <w:szCs w:val="15"/>
          <w:i w:val="1"/>
          <w:iCs w:val="1"/>
          <w:color w:val="auto"/>
        </w:rPr>
        <w:t>Temporary Impairment of Certain</w:t>
      </w:r>
    </w:p>
    <w:p>
      <w:pPr>
        <w:spacing w:after="0" w:line="226" w:lineRule="auto"/>
        <w:rPr>
          <w:sz w:val="20"/>
          <w:szCs w:val="20"/>
          <w:color w:val="auto"/>
        </w:rPr>
      </w:pPr>
      <w:r>
        <w:rPr>
          <w:rFonts w:ascii="Arial" w:cs="Arial" w:eastAsia="Arial" w:hAnsi="Arial"/>
          <w:sz w:val="15"/>
          <w:szCs w:val="15"/>
          <w:i w:val="1"/>
          <w:iCs w:val="1"/>
          <w:color w:val="auto"/>
        </w:rPr>
        <w:t xml:space="preserve">Investments in Equity Securities, </w:t>
      </w:r>
      <w:r>
        <w:rPr>
          <w:rFonts w:ascii="Arial" w:cs="Arial" w:eastAsia="Arial" w:hAnsi="Arial"/>
          <w:sz w:val="15"/>
          <w:szCs w:val="15"/>
          <w:color w:val="auto"/>
        </w:rPr>
        <w:t>is no</w:t>
      </w:r>
    </w:p>
    <w:p>
      <w:pPr>
        <w:spacing w:after="0" w:line="225" w:lineRule="auto"/>
        <w:rPr>
          <w:sz w:val="20"/>
          <w:szCs w:val="20"/>
          <w:color w:val="auto"/>
        </w:rPr>
      </w:pPr>
      <w:r>
        <w:rPr>
          <w:rFonts w:ascii="Arial" w:cs="Arial" w:eastAsia="Arial" w:hAnsi="Arial"/>
          <w:sz w:val="15"/>
          <w:szCs w:val="15"/>
          <w:color w:val="auto"/>
        </w:rPr>
        <w:t>longer applicable upon adoption of ASC</w:t>
      </w:r>
    </w:p>
    <w:p>
      <w:pPr>
        <w:spacing w:after="0"/>
        <w:rPr>
          <w:sz w:val="20"/>
          <w:szCs w:val="20"/>
          <w:color w:val="auto"/>
        </w:rPr>
      </w:pPr>
      <w:r>
        <w:rPr>
          <w:rFonts w:ascii="Arial" w:cs="Arial" w:eastAsia="Arial" w:hAnsi="Arial"/>
          <w:sz w:val="15"/>
          <w:szCs w:val="15"/>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98425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0"/>
        <w:spacing w:after="0" w:line="235" w:lineRule="auto"/>
        <w:rPr>
          <w:sz w:val="20"/>
          <w:szCs w:val="20"/>
          <w:color w:val="auto"/>
        </w:rPr>
      </w:pPr>
      <w:r>
        <w:rPr>
          <w:rFonts w:ascii="Arial" w:cs="Arial" w:eastAsia="Arial" w:hAnsi="Arial"/>
          <w:sz w:val="15"/>
          <w:szCs w:val="15"/>
          <w:color w:val="auto"/>
        </w:rPr>
        <w:t>The adoption of this guidance is not expected to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1121410</wp:posOffset>
            </wp:positionV>
            <wp:extent cx="1955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792" w:lineRule="exact"/>
        <w:rPr>
          <w:sz w:val="20"/>
          <w:szCs w:val="20"/>
          <w:color w:val="auto"/>
        </w:rPr>
      </w:pPr>
    </w:p>
    <w:p>
      <w:pPr>
        <w:sectPr>
          <w:pgSz w:w="11900" w:h="16838" w:orient="portrait"/>
          <w:cols w:equalWidth="0" w:num="3">
            <w:col w:w="2360" w:space="260"/>
            <w:col w:w="4980" w:space="720"/>
            <w:col w:w="3060"/>
          </w:cols>
          <w:pgMar w:left="280" w:top="679" w:right="239" w:bottom="1440" w:gutter="0" w:footer="0" w:header="0"/>
          <w:type w:val="continuous"/>
        </w:sectPr>
      </w:pPr>
    </w:p>
    <w:p>
      <w:pPr>
        <w:spacing w:after="0" w:line="10"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 xml:space="preserve">In February 2018, the FASB issued ASU 2018-02, </w:t>
      </w:r>
      <w:r>
        <w:rPr>
          <w:rFonts w:ascii="Arial" w:cs="Arial" w:eastAsia="Arial" w:hAnsi="Arial"/>
          <w:sz w:val="15"/>
          <w:szCs w:val="15"/>
          <w:i w:val="1"/>
          <w:iCs w:val="1"/>
          <w:color w:val="auto"/>
        </w:rPr>
        <w:t>Income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Reporting Comprehensive Income (Topic 220): Reclassification of Certain Tax Effects from Accumulated Other Comprehensive Income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8255</wp:posOffset>
            </wp:positionV>
            <wp:extent cx="15951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0" w:lineRule="exact"/>
        <w:rPr>
          <w:sz w:val="20"/>
          <w:szCs w:val="20"/>
          <w:color w:val="auto"/>
        </w:rPr>
      </w:pPr>
    </w:p>
    <w:p>
      <w:pPr>
        <w:ind w:right="180"/>
        <w:spacing w:after="0" w:line="231" w:lineRule="auto"/>
        <w:rPr>
          <w:sz w:val="20"/>
          <w:szCs w:val="20"/>
          <w:color w:val="auto"/>
        </w:rPr>
      </w:pPr>
      <w:r>
        <w:rPr>
          <w:rFonts w:ascii="Arial" w:cs="Arial" w:eastAsia="Arial" w:hAnsi="Arial"/>
          <w:sz w:val="15"/>
          <w:szCs w:val="15"/>
          <w:color w:val="auto"/>
        </w:rPr>
        <w:t xml:space="preserve">In August 2017, the FASB issued ASU 2017-12, </w:t>
      </w:r>
      <w:r>
        <w:rPr>
          <w:rFonts w:ascii="Arial" w:cs="Arial" w:eastAsia="Arial" w:hAnsi="Arial"/>
          <w:sz w:val="15"/>
          <w:szCs w:val="15"/>
          <w:i w:val="1"/>
          <w:iCs w:val="1"/>
          <w:color w:val="auto"/>
        </w:rPr>
        <w:t>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Hedging (Topic 815): Targeted Improvements to Accounting for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92710</wp:posOffset>
            </wp:positionV>
            <wp:extent cx="15951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100" w:type="dxa"/>
            <w:vAlign w:val="bottom"/>
            <w:gridSpan w:val="2"/>
          </w:tcPr>
          <w:p>
            <w:pPr>
              <w:ind w:left="20"/>
              <w:spacing w:after="0"/>
              <w:rPr>
                <w:sz w:val="20"/>
                <w:szCs w:val="20"/>
                <w:color w:val="auto"/>
              </w:rPr>
            </w:pPr>
            <w:r>
              <w:rPr>
                <w:rFonts w:ascii="Arial" w:cs="Arial" w:eastAsia="Arial" w:hAnsi="Arial"/>
                <w:sz w:val="15"/>
                <w:szCs w:val="15"/>
                <w:color w:val="auto"/>
              </w:rPr>
              <w:t>This ASU permits an entity to reclassify the</w:t>
            </w:r>
          </w:p>
        </w:tc>
        <w:tc>
          <w:tcPr>
            <w:tcW w:w="2600" w:type="dxa"/>
            <w:vAlign w:val="bottom"/>
            <w:gridSpan w:val="2"/>
          </w:tcPr>
          <w:p>
            <w:pPr>
              <w:ind w:left="20"/>
              <w:spacing w:after="0"/>
              <w:rPr>
                <w:sz w:val="20"/>
                <w:szCs w:val="20"/>
                <w:color w:val="auto"/>
              </w:rPr>
            </w:pPr>
            <w:r>
              <w:rPr>
                <w:rFonts w:ascii="Arial" w:cs="Arial" w:eastAsia="Arial" w:hAnsi="Arial"/>
                <w:sz w:val="15"/>
                <w:szCs w:val="15"/>
                <w:color w:val="auto"/>
              </w:rPr>
              <w:t>We anticipate adopting this</w:t>
            </w:r>
          </w:p>
        </w:tc>
        <w:tc>
          <w:tcPr>
            <w:tcW w:w="3080" w:type="dxa"/>
            <w:vAlign w:val="bottom"/>
          </w:tcPr>
          <w:p>
            <w:pPr>
              <w:ind w:left="20"/>
              <w:spacing w:after="0"/>
              <w:rPr>
                <w:sz w:val="20"/>
                <w:szCs w:val="20"/>
                <w:color w:val="auto"/>
              </w:rPr>
            </w:pPr>
            <w:r>
              <w:rPr>
                <w:rFonts w:ascii="Arial" w:cs="Arial" w:eastAsia="Arial" w:hAnsi="Arial"/>
                <w:sz w:val="15"/>
                <w:szCs w:val="15"/>
                <w:color w:val="auto"/>
              </w:rPr>
              <w:t>We are currently evaluating the impact of</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income tax effects of the Tax Act on items</w:t>
            </w:r>
          </w:p>
        </w:tc>
        <w:tc>
          <w:tcPr>
            <w:tcW w:w="26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standard in the first quarter of 2019.</w:t>
            </w: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implementing this guidance on our</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within accumulated other comprehensive</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consolidated financial statements.</w:t>
            </w:r>
          </w:p>
        </w:tc>
      </w:tr>
      <w:tr>
        <w:trPr>
          <w:trHeight w:val="184"/>
        </w:trPr>
        <w:tc>
          <w:tcPr>
            <w:tcW w:w="3100" w:type="dxa"/>
            <w:vAlign w:val="bottom"/>
            <w:gridSpan w:val="2"/>
          </w:tcPr>
          <w:p>
            <w:pPr>
              <w:ind w:left="20"/>
              <w:spacing w:after="0"/>
              <w:rPr>
                <w:sz w:val="20"/>
                <w:szCs w:val="20"/>
                <w:color w:val="auto"/>
              </w:rPr>
            </w:pPr>
            <w:r>
              <w:rPr>
                <w:rFonts w:ascii="Arial" w:cs="Arial" w:eastAsia="Arial" w:hAnsi="Arial"/>
                <w:sz w:val="15"/>
                <w:szCs w:val="15"/>
                <w:color w:val="auto"/>
              </w:rPr>
              <w:t>income into retained earnings.</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494"/>
        </w:trPr>
        <w:tc>
          <w:tcPr>
            <w:tcW w:w="2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179"/>
        </w:trPr>
        <w:tc>
          <w:tcPr>
            <w:tcW w:w="3100" w:type="dxa"/>
            <w:vAlign w:val="bottom"/>
            <w:gridSpan w:val="2"/>
          </w:tcPr>
          <w:p>
            <w:pPr>
              <w:ind w:left="20"/>
              <w:spacing w:after="0"/>
              <w:rPr>
                <w:sz w:val="20"/>
                <w:szCs w:val="20"/>
                <w:color w:val="auto"/>
              </w:rPr>
            </w:pPr>
            <w:r>
              <w:rPr>
                <w:rFonts w:ascii="Arial" w:cs="Arial" w:eastAsia="Arial" w:hAnsi="Arial"/>
                <w:sz w:val="15"/>
                <w:szCs w:val="15"/>
                <w:color w:val="auto"/>
              </w:rPr>
              <w:t>This ASU better aligns accounting rules</w:t>
            </w:r>
          </w:p>
        </w:tc>
        <w:tc>
          <w:tcPr>
            <w:tcW w:w="2600" w:type="dxa"/>
            <w:vAlign w:val="bottom"/>
            <w:gridSpan w:val="2"/>
          </w:tcPr>
          <w:p>
            <w:pPr>
              <w:ind w:left="20"/>
              <w:spacing w:after="0"/>
              <w:rPr>
                <w:sz w:val="20"/>
                <w:szCs w:val="20"/>
                <w:color w:val="auto"/>
              </w:rPr>
            </w:pPr>
            <w:r>
              <w:rPr>
                <w:rFonts w:ascii="Arial" w:cs="Arial" w:eastAsia="Arial" w:hAnsi="Arial"/>
                <w:sz w:val="15"/>
                <w:szCs w:val="15"/>
                <w:color w:val="auto"/>
              </w:rPr>
              <w:t>November 1, 2019</w:t>
            </w:r>
          </w:p>
        </w:tc>
        <w:tc>
          <w:tcPr>
            <w:tcW w:w="3080" w:type="dxa"/>
            <w:vAlign w:val="bottom"/>
          </w:tcPr>
          <w:p>
            <w:pPr>
              <w:ind w:left="20"/>
              <w:spacing w:after="0"/>
              <w:rPr>
                <w:sz w:val="20"/>
                <w:szCs w:val="20"/>
                <w:color w:val="auto"/>
              </w:rPr>
            </w:pPr>
            <w:r>
              <w:rPr>
                <w:rFonts w:ascii="Arial" w:cs="Arial" w:eastAsia="Arial" w:hAnsi="Arial"/>
                <w:sz w:val="15"/>
                <w:szCs w:val="15"/>
                <w:color w:val="auto"/>
              </w:rPr>
              <w:t>We are currently evaluating the impact of</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with a company’s risk management</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this guidance on our consolidated financial</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activities; better reflects economic results</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ind w:left="20"/>
              <w:spacing w:after="0" w:line="162" w:lineRule="exact"/>
              <w:rPr>
                <w:sz w:val="20"/>
                <w:szCs w:val="20"/>
                <w:color w:val="auto"/>
              </w:rPr>
            </w:pPr>
            <w:r>
              <w:rPr>
                <w:rFonts w:ascii="Arial" w:cs="Arial" w:eastAsia="Arial" w:hAnsi="Arial"/>
                <w:sz w:val="15"/>
                <w:szCs w:val="15"/>
                <w:color w:val="auto"/>
              </w:rPr>
              <w:t>statements.</w:t>
            </w:r>
          </w:p>
        </w:tc>
      </w:tr>
      <w:tr>
        <w:trPr>
          <w:trHeight w:val="162"/>
        </w:trPr>
        <w:tc>
          <w:tcPr>
            <w:tcW w:w="3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of hedging in financial statements; and</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84"/>
        </w:trPr>
        <w:tc>
          <w:tcPr>
            <w:tcW w:w="3100" w:type="dxa"/>
            <w:vAlign w:val="bottom"/>
            <w:gridSpan w:val="2"/>
          </w:tcPr>
          <w:p>
            <w:pPr>
              <w:ind w:left="20"/>
              <w:spacing w:after="0"/>
              <w:rPr>
                <w:sz w:val="20"/>
                <w:szCs w:val="20"/>
                <w:color w:val="auto"/>
              </w:rPr>
            </w:pPr>
            <w:r>
              <w:rPr>
                <w:rFonts w:ascii="Arial" w:cs="Arial" w:eastAsia="Arial" w:hAnsi="Arial"/>
                <w:sz w:val="15"/>
                <w:szCs w:val="15"/>
                <w:color w:val="auto"/>
              </w:rPr>
              <w:t>simplifies hedge accounting treatment.</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5574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420" w:space="180"/>
            <w:col w:w="8780"/>
          </w:cols>
          <w:pgMar w:left="280" w:top="679" w:right="239" w:bottom="1440" w:gutter="0" w:footer="0" w:header="0"/>
          <w:type w:val="continuous"/>
        </w:sectPr>
      </w:pPr>
    </w:p>
    <w:p>
      <w:pPr>
        <w:spacing w:after="0" w:line="231" w:lineRule="auto"/>
        <w:rPr>
          <w:sz w:val="20"/>
          <w:szCs w:val="20"/>
          <w:color w:val="auto"/>
        </w:rPr>
      </w:pPr>
      <w:r>
        <w:rPr>
          <w:rFonts w:ascii="Arial" w:cs="Arial" w:eastAsia="Arial" w:hAnsi="Arial"/>
          <w:sz w:val="15"/>
          <w:szCs w:val="15"/>
          <w:color w:val="auto"/>
        </w:rPr>
        <w:t xml:space="preserve">In May 2017, the FASB issued ASU 2017-10, </w:t>
      </w:r>
      <w:r>
        <w:rPr>
          <w:rFonts w:ascii="Arial" w:cs="Arial" w:eastAsia="Arial" w:hAnsi="Arial"/>
          <w:sz w:val="15"/>
          <w:szCs w:val="15"/>
          <w:i w:val="1"/>
          <w:iCs w:val="1"/>
          <w:color w:val="auto"/>
        </w:rPr>
        <w:t>Service Concession</w:t>
      </w:r>
      <w:r>
        <w:rPr>
          <w:rFonts w:ascii="Arial" w:cs="Arial" w:eastAsia="Arial" w:hAnsi="Arial"/>
          <w:sz w:val="15"/>
          <w:szCs w:val="15"/>
          <w:color w:val="auto"/>
        </w:rPr>
        <w:t xml:space="preserve"> </w:t>
      </w:r>
      <w:r>
        <w:rPr>
          <w:rFonts w:ascii="Arial" w:cs="Arial" w:eastAsia="Arial" w:hAnsi="Arial"/>
          <w:sz w:val="15"/>
          <w:szCs w:val="15"/>
          <w:i w:val="1"/>
          <w:iCs w:val="1"/>
          <w:color w:val="auto"/>
        </w:rPr>
        <w:t>Arrangements (Topic 853): Determining the Customer of the Operation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15951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8"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 xml:space="preserve">In May 2017, the FASB issued ASU 2017-09, </w:t>
      </w:r>
      <w:r>
        <w:rPr>
          <w:rFonts w:ascii="Arial" w:cs="Arial" w:eastAsia="Arial" w:hAnsi="Arial"/>
          <w:sz w:val="15"/>
          <w:szCs w:val="15"/>
          <w:i w:val="1"/>
          <w:iCs w:val="1"/>
          <w:color w:val="auto"/>
        </w:rPr>
        <w:t>Compensation—Stock</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 (Topic 718): Scope of Modification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622935</wp:posOffset>
            </wp:positionV>
            <wp:extent cx="15951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240"/>
        <w:spacing w:after="0" w:line="225" w:lineRule="auto"/>
        <w:rPr>
          <w:sz w:val="20"/>
          <w:szCs w:val="20"/>
          <w:color w:val="auto"/>
        </w:rPr>
      </w:pPr>
      <w:r>
        <w:rPr>
          <w:rFonts w:ascii="Arial" w:cs="Arial" w:eastAsia="Arial" w:hAnsi="Arial"/>
          <w:sz w:val="15"/>
          <w:szCs w:val="15"/>
          <w:color w:val="auto"/>
        </w:rPr>
        <w:t xml:space="preserve">In March 2017, the FASB issued ASU 2017-07, </w:t>
      </w:r>
      <w:r>
        <w:rPr>
          <w:rFonts w:ascii="Arial" w:cs="Arial" w:eastAsia="Arial" w:hAnsi="Arial"/>
          <w:sz w:val="15"/>
          <w:szCs w:val="15"/>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Retirement Benefits (Topic 715):</w:t>
      </w:r>
    </w:p>
    <w:p>
      <w:pPr>
        <w:spacing w:after="0" w:line="1"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i w:val="1"/>
          <w:iCs w:val="1"/>
          <w:color w:val="auto"/>
        </w:rPr>
        <w:t>Improving the Presentation of Net Periodic Pension Cost and Net Periodic Postretirement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622935</wp:posOffset>
            </wp:positionV>
            <wp:extent cx="15951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35" w:lineRule="auto"/>
        <w:rPr>
          <w:sz w:val="20"/>
          <w:szCs w:val="20"/>
          <w:color w:val="auto"/>
        </w:rPr>
      </w:pPr>
      <w:r>
        <w:rPr>
          <w:rFonts w:ascii="Arial" w:cs="Arial" w:eastAsia="Arial" w:hAnsi="Arial"/>
          <w:sz w:val="15"/>
          <w:szCs w:val="15"/>
          <w:color w:val="auto"/>
        </w:rPr>
        <w:t>This ASU provides clarity on determining the customer in a service concession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212090</wp:posOffset>
            </wp:positionV>
            <wp:extent cx="18865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51" w:lineRule="exact"/>
        <w:rPr>
          <w:sz w:val="20"/>
          <w:szCs w:val="20"/>
          <w:color w:val="auto"/>
        </w:rPr>
      </w:pPr>
    </w:p>
    <w:p>
      <w:pPr>
        <w:ind w:right="100"/>
        <w:spacing w:after="0" w:line="233" w:lineRule="auto"/>
        <w:rPr>
          <w:sz w:val="20"/>
          <w:szCs w:val="20"/>
          <w:color w:val="auto"/>
        </w:rPr>
      </w:pPr>
      <w:r>
        <w:rPr>
          <w:rFonts w:ascii="Arial" w:cs="Arial" w:eastAsia="Arial" w:hAnsi="Arial"/>
          <w:sz w:val="15"/>
          <w:szCs w:val="15"/>
          <w:color w:val="auto"/>
        </w:rPr>
        <w:t>This ASU clarifies which changes to the terms or conditions of a share-based payment award require an entity to apply modification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622935</wp:posOffset>
            </wp:positionV>
            <wp:extent cx="1886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To align with the presentation of compensation costs arising from services rendered by employees, this ASU requires classification of the service cost component of pension expense as an operating expense. The other components of pension expense, such as interest cost, amortization of prior service cost, and gains or losses, are required to be presented outside of operating expenses. This ASU also allows the service cost component to be eligible for capitalization, when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18865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We will adopt this standard in conjunction with ASU 2014-09,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6350</wp:posOffset>
            </wp:positionV>
            <wp:extent cx="15862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jc w:val="both"/>
        <w:ind w:right="100"/>
        <w:spacing w:after="0" w:line="233" w:lineRule="auto"/>
        <w:rPr>
          <w:sz w:val="20"/>
          <w:szCs w:val="20"/>
          <w:color w:val="auto"/>
        </w:rPr>
      </w:pPr>
      <w:r>
        <w:rPr>
          <w:rFonts w:ascii="Arial" w:cs="Arial" w:eastAsia="Arial" w:hAnsi="Arial"/>
          <w:sz w:val="15"/>
          <w:szCs w:val="15"/>
          <w:color w:val="auto"/>
        </w:rPr>
        <w:t>Adoption of this standard will be applied prospectively to awards modified on or after the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417195</wp:posOffset>
            </wp:positionV>
            <wp:extent cx="15862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Adoption of this standard will be applied retrospectively for the classification requirements and prospectively for the capitalization of the service cost component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521335</wp:posOffset>
            </wp:positionV>
            <wp:extent cx="15862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5" w:lineRule="auto"/>
        <w:rPr>
          <w:sz w:val="20"/>
          <w:szCs w:val="20"/>
          <w:color w:val="auto"/>
        </w:rPr>
      </w:pPr>
      <w:r>
        <w:rPr>
          <w:rFonts w:ascii="Arial" w:cs="Arial" w:eastAsia="Arial" w:hAnsi="Arial"/>
          <w:sz w:val="15"/>
          <w:szCs w:val="15"/>
          <w:color w:val="auto"/>
        </w:rPr>
        <w:t>The anticipated effect of adoption is described in Note 2, “Basis of Presentation,” in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212090</wp:posOffset>
            </wp:positionV>
            <wp:extent cx="19551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The impact of this new standard will depend on the extent and nature of future changes to the terms of our share-based payment awards. Historically, we have not had significant changes to our share-based payment awards and therefore do not expect adoption of this guidance to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19551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2" w:lineRule="exact"/>
        <w:rPr>
          <w:sz w:val="20"/>
          <w:szCs w:val="20"/>
          <w:color w:val="auto"/>
        </w:rPr>
      </w:pPr>
    </w:p>
    <w:p>
      <w:pPr>
        <w:ind w:right="20"/>
        <w:spacing w:after="0" w:line="231" w:lineRule="auto"/>
        <w:rPr>
          <w:sz w:val="20"/>
          <w:szCs w:val="20"/>
          <w:color w:val="auto"/>
        </w:rPr>
      </w:pPr>
      <w:r>
        <w:rPr>
          <w:rFonts w:ascii="Arial" w:cs="Arial" w:eastAsia="Arial" w:hAnsi="Arial"/>
          <w:sz w:val="15"/>
          <w:szCs w:val="15"/>
          <w:color w:val="auto"/>
        </w:rPr>
        <w:t>As ABM’s defined benefit and postretirement benefit plans were previously amended to preclude new participants, the adoption of this guidance will not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829945</wp:posOffset>
            </wp:positionV>
            <wp:extent cx="19551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490" w:lineRule="exact"/>
        <w:rPr>
          <w:sz w:val="20"/>
          <w:szCs w:val="20"/>
          <w:color w:val="auto"/>
        </w:rPr>
      </w:pPr>
    </w:p>
    <w:p>
      <w:pPr>
        <w:sectPr>
          <w:pgSz w:w="11900" w:h="16838" w:orient="portrait"/>
          <w:cols w:equalWidth="0" w:num="4">
            <w:col w:w="2420" w:space="200"/>
            <w:col w:w="2880" w:space="220"/>
            <w:col w:w="2300" w:space="300"/>
            <w:col w:w="3060"/>
          </w:cols>
          <w:pgMar w:left="280" w:top="679" w:right="239" w:bottom="1440" w:gutter="0" w:footer="0" w:header="0"/>
          <w:type w:val="continuous"/>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80"/>
          </w:cols>
          <w:pgMar w:left="280" w:top="679" w:right="239" w:bottom="1440" w:gutter="0" w:footer="0" w:header="0"/>
          <w:type w:val="continuous"/>
        </w:sectPr>
      </w:pPr>
    </w:p>
    <w:bookmarkStart w:id="50" w:name="page51"/>
    <w:bookmarkEnd w:id="50"/>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15951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3"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 xml:space="preserve">In November 2016, the FASB issued ASU 2016-18, </w:t>
      </w:r>
      <w:r>
        <w:rPr>
          <w:rFonts w:ascii="Arial" w:cs="Arial" w:eastAsia="Arial" w:hAnsi="Arial"/>
          <w:sz w:val="15"/>
          <w:szCs w:val="15"/>
          <w:i w:val="1"/>
          <w:iCs w:val="1"/>
          <w:color w:val="auto"/>
        </w:rPr>
        <w:t>Statement of</w:t>
      </w:r>
      <w:r>
        <w:rPr>
          <w:rFonts w:ascii="Arial" w:cs="Arial" w:eastAsia="Arial" w:hAnsi="Arial"/>
          <w:sz w:val="15"/>
          <w:szCs w:val="15"/>
          <w:color w:val="auto"/>
        </w:rPr>
        <w:t xml:space="preserve"> </w:t>
      </w:r>
      <w:r>
        <w:rPr>
          <w:rFonts w:ascii="Arial" w:cs="Arial" w:eastAsia="Arial" w:hAnsi="Arial"/>
          <w:sz w:val="15"/>
          <w:szCs w:val="15"/>
          <w:i w:val="1"/>
          <w:iCs w:val="1"/>
          <w:color w:val="auto"/>
        </w:rPr>
        <w:t>Cash Flows (Topic 230):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211455</wp:posOffset>
            </wp:positionV>
            <wp:extent cx="15951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50"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 xml:space="preserve">In October 2016, the FASB issued ASU 2016-16, </w:t>
      </w:r>
      <w:r>
        <w:rPr>
          <w:rFonts w:ascii="Arial" w:cs="Arial" w:eastAsia="Arial" w:hAnsi="Arial"/>
          <w:sz w:val="15"/>
          <w:szCs w:val="15"/>
          <w:i w:val="1"/>
          <w:iCs w:val="1"/>
          <w:color w:val="auto"/>
        </w:rPr>
        <w:t>Income Taxes (Topic</w:t>
      </w:r>
      <w:r>
        <w:rPr>
          <w:rFonts w:ascii="Arial" w:cs="Arial" w:eastAsia="Arial" w:hAnsi="Arial"/>
          <w:sz w:val="15"/>
          <w:szCs w:val="15"/>
          <w:color w:val="auto"/>
        </w:rPr>
        <w:t xml:space="preserve"> </w:t>
      </w:r>
      <w:r>
        <w:rPr>
          <w:rFonts w:ascii="Arial" w:cs="Arial" w:eastAsia="Arial" w:hAnsi="Arial"/>
          <w:sz w:val="15"/>
          <w:szCs w:val="15"/>
          <w:i w:val="1"/>
          <w:iCs w:val="1"/>
          <w:color w:val="auto"/>
        </w:rPr>
        <w:t>740): Intra-Entity Transfers of Assets Other than Inventory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417195</wp:posOffset>
            </wp:positionV>
            <wp:extent cx="15951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8865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3"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This ASU provides guidance on the presentation of restricted cash or restricted cash equivalents in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211455</wp:posOffset>
            </wp:positionV>
            <wp:extent cx="18865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50"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color w:val="auto"/>
        </w:rPr>
        <w:t>This ASU requires the tax effects of intercompany transactions, other than sales of inventory, to be recognized when the transfer occurs, instead of deferred until the transferred asset is sold to a third party or otherwise recovered through use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111125</wp:posOffset>
            </wp:positionV>
            <wp:extent cx="18865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71" w:lineRule="auto"/>
        <w:rPr>
          <w:sz w:val="20"/>
          <w:szCs w:val="20"/>
          <w:color w:val="auto"/>
        </w:rPr>
      </w:pPr>
      <w:r>
        <w:rPr>
          <w:rFonts w:ascii="Arial" w:cs="Arial" w:eastAsia="Arial" w:hAnsi="Arial"/>
          <w:sz w:val="18"/>
          <w:szCs w:val="18"/>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-6985</wp:posOffset>
            </wp:positionV>
            <wp:extent cx="15862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ind w:right="160"/>
        <w:spacing w:after="0" w:line="233" w:lineRule="auto"/>
        <w:rPr>
          <w:sz w:val="20"/>
          <w:szCs w:val="20"/>
          <w:color w:val="auto"/>
        </w:rPr>
      </w:pPr>
      <w:r>
        <w:rPr>
          <w:rFonts w:ascii="Arial" w:cs="Arial" w:eastAsia="Arial" w:hAnsi="Arial"/>
          <w:sz w:val="15"/>
          <w:szCs w:val="15"/>
          <w:color w:val="auto"/>
        </w:rPr>
        <w:t>Adoption of this standard will be applied using a retrospective transition method to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wp:posOffset>
            </wp:positionV>
            <wp:extent cx="15862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This standard will be applied using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6985</wp:posOffset>
            </wp:positionV>
            <wp:extent cx="1586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wp:posOffset>
            </wp:positionV>
            <wp:extent cx="19551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4" w:lineRule="exact"/>
        <w:rPr>
          <w:sz w:val="20"/>
          <w:szCs w:val="20"/>
          <w:color w:val="auto"/>
        </w:rPr>
      </w:pPr>
    </w:p>
    <w:p>
      <w:pPr>
        <w:ind w:right="140"/>
        <w:spacing w:after="0" w:line="235" w:lineRule="auto"/>
        <w:rPr>
          <w:sz w:val="20"/>
          <w:szCs w:val="20"/>
          <w:color w:val="auto"/>
        </w:rPr>
      </w:pPr>
      <w:r>
        <w:rPr>
          <w:rFonts w:ascii="Arial" w:cs="Arial" w:eastAsia="Arial" w:hAnsi="Arial"/>
          <w:sz w:val="15"/>
          <w:szCs w:val="15"/>
          <w:color w:val="auto"/>
        </w:rPr>
        <w:t>The adoption of this guidance is not expected to have a material impact on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314960</wp:posOffset>
            </wp:positionV>
            <wp:extent cx="19551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520700</wp:posOffset>
            </wp:positionV>
            <wp:extent cx="19551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7" w:lineRule="exact"/>
        <w:rPr>
          <w:sz w:val="20"/>
          <w:szCs w:val="20"/>
          <w:color w:val="auto"/>
        </w:rPr>
      </w:pPr>
    </w:p>
    <w:p>
      <w:pPr>
        <w:sectPr>
          <w:pgSz w:w="11900" w:h="16838" w:orient="portrait"/>
          <w:cols w:equalWidth="0" w:num="4">
            <w:col w:w="2400" w:space="220"/>
            <w:col w:w="2900" w:space="200"/>
            <w:col w:w="2340" w:space="260"/>
            <w:col w:w="3000"/>
          </w:cols>
          <w:pgMar w:left="280" w:top="684" w:right="299" w:bottom="1440" w:gutter="0" w:footer="0" w:header="0"/>
        </w:sectPr>
      </w:pPr>
    </w:p>
    <w:p>
      <w:pPr>
        <w:ind w:right="100"/>
        <w:spacing w:after="0" w:line="231" w:lineRule="auto"/>
        <w:rPr>
          <w:sz w:val="20"/>
          <w:szCs w:val="20"/>
          <w:color w:val="auto"/>
        </w:rPr>
      </w:pPr>
      <w:r>
        <w:rPr>
          <w:rFonts w:ascii="Arial" w:cs="Arial" w:eastAsia="Arial" w:hAnsi="Arial"/>
          <w:sz w:val="15"/>
          <w:szCs w:val="15"/>
          <w:color w:val="auto"/>
        </w:rPr>
        <w:t xml:space="preserve">In August 2016, the FASB issued ASU 2016-15, </w:t>
      </w:r>
      <w:r>
        <w:rPr>
          <w:rFonts w:ascii="Arial" w:cs="Arial" w:eastAsia="Arial" w:hAnsi="Arial"/>
          <w:sz w:val="15"/>
          <w:szCs w:val="15"/>
          <w:i w:val="1"/>
          <w:iCs w:val="1"/>
          <w:color w:val="auto"/>
        </w:rPr>
        <w:t>Statement of Cash</w:t>
      </w:r>
      <w:r>
        <w:rPr>
          <w:rFonts w:ascii="Arial" w:cs="Arial" w:eastAsia="Arial" w:hAnsi="Arial"/>
          <w:sz w:val="15"/>
          <w:szCs w:val="15"/>
          <w:color w:val="auto"/>
        </w:rPr>
        <w:t xml:space="preserve"> </w:t>
      </w:r>
      <w:r>
        <w:rPr>
          <w:rFonts w:ascii="Arial" w:cs="Arial" w:eastAsia="Arial" w:hAnsi="Arial"/>
          <w:sz w:val="15"/>
          <w:szCs w:val="15"/>
          <w:i w:val="1"/>
          <w:iCs w:val="1"/>
          <w:color w:val="auto"/>
        </w:rPr>
        <w:t>Flows (Topic 230): Classification of Certain Cash Receipts and Cash Payments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109855</wp:posOffset>
            </wp:positionV>
            <wp:extent cx="15951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90"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w:t>
      </w:r>
      <w:r>
        <w:rPr>
          <w:rFonts w:ascii="Arial" w:cs="Arial" w:eastAsia="Arial" w:hAnsi="Arial"/>
          <w:sz w:val="15"/>
          <w:szCs w:val="15"/>
          <w:i w:val="1"/>
          <w:iCs w:val="1"/>
          <w:color w:val="auto"/>
        </w:rPr>
        <w:t>Credit Losses (Topic 326): Measurement of Credit Losses on Financial Statements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15951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FASB has issued several updates to ASU 2016-02, including ASU 2018-11,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Targeted Improvements, </w:t>
      </w:r>
      <w:r>
        <w:rPr>
          <w:rFonts w:ascii="Arial" w:cs="Arial" w:eastAsia="Arial" w:hAnsi="Arial"/>
          <w:sz w:val="15"/>
          <w:szCs w:val="15"/>
          <w:color w:val="auto"/>
        </w:rPr>
        <w:t>and ASU</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2018-10, </w:t>
      </w:r>
      <w:r>
        <w:rPr>
          <w:rFonts w:ascii="Arial" w:cs="Arial" w:eastAsia="Arial" w:hAnsi="Arial"/>
          <w:sz w:val="15"/>
          <w:szCs w:val="15"/>
          <w:i w:val="1"/>
          <w:iCs w:val="1"/>
          <w:color w:val="auto"/>
        </w:rPr>
        <w:t>Codification Improvements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to Topic 842, Leases, </w:t>
      </w:r>
      <w:r>
        <w:rPr>
          <w:rFonts w:ascii="Arial" w:cs="Arial" w:eastAsia="Arial" w:hAnsi="Arial"/>
          <w:sz w:val="15"/>
          <w:szCs w:val="15"/>
          <w:color w:val="auto"/>
        </w:rPr>
        <w:t>that were</w:t>
      </w:r>
      <w:r>
        <w:rPr>
          <w:rFonts w:ascii="Arial" w:cs="Arial" w:eastAsia="Arial" w:hAnsi="Arial"/>
          <w:sz w:val="15"/>
          <w:szCs w:val="15"/>
          <w:i w:val="1"/>
          <w:iCs w:val="1"/>
          <w:color w:val="auto"/>
        </w:rPr>
        <w:t xml:space="preserve"> </w:t>
      </w:r>
      <w:r>
        <w:rPr>
          <w:rFonts w:ascii="Arial" w:cs="Arial" w:eastAsia="Arial" w:hAnsi="Arial"/>
          <w:sz w:val="15"/>
          <w:szCs w:val="15"/>
          <w:color w:val="auto"/>
        </w:rPr>
        <w:t>issued in 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729615</wp:posOffset>
            </wp:positionV>
            <wp:extent cx="15951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 xml:space="preserve">In May 2014, the FASB issued ASU 2014-09, </w:t>
      </w:r>
      <w:r>
        <w:rPr>
          <w:rFonts w:ascii="Arial" w:cs="Arial" w:eastAsia="Arial" w:hAnsi="Arial"/>
          <w:sz w:val="15"/>
          <w:szCs w:val="15"/>
          <w:i w:val="1"/>
          <w:iCs w:val="1"/>
          <w:color w:val="auto"/>
        </w:rPr>
        <w:t>Revenue from 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with Customers (Topic 606).</w:t>
      </w:r>
    </w:p>
    <w:p>
      <w:pPr>
        <w:spacing w:after="0" w:line="20" w:lineRule="exact"/>
        <w:rPr>
          <w:sz w:val="20"/>
          <w:szCs w:val="20"/>
          <w:color w:val="auto"/>
        </w:rPr>
      </w:pPr>
      <w:r>
        <w:rPr>
          <w:sz w:val="20"/>
          <w:szCs w:val="20"/>
          <w:color w:val="auto"/>
        </w:rPr>
        <w:br w:type="column"/>
      </w:r>
    </w:p>
    <w:p>
      <w:pPr>
        <w:ind w:right="20"/>
        <w:spacing w:after="0" w:line="233" w:lineRule="auto"/>
        <w:rPr>
          <w:sz w:val="20"/>
          <w:szCs w:val="20"/>
          <w:color w:val="auto"/>
        </w:rPr>
      </w:pPr>
      <w:r>
        <w:rPr>
          <w:rFonts w:ascii="Arial" w:cs="Arial" w:eastAsia="Arial" w:hAnsi="Arial"/>
          <w:sz w:val="15"/>
          <w:szCs w:val="15"/>
          <w:color w:val="auto"/>
        </w:rPr>
        <w:t>This ASU provides eight targeted changes to how cash receipts and cash payments are presented and classified in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211455</wp:posOffset>
            </wp:positionV>
            <wp:extent cx="18865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50"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This ASU replaces the existing incurred loss impairment model with a methodology that incorporates all expected credit loss estimates, resulting in more timely recognition of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521335</wp:posOffset>
            </wp:positionV>
            <wp:extent cx="1886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ASU 2016-02 improves transparency and comparability among organizations by requiring lessees to recognize lease assets and lease liabilities on the balance sheet and to disclose key information about leasing arrangements. ASU 2018-11 and ASU 2018-10 amend various aspects of Topic 842, including an additional transition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729615</wp:posOffset>
            </wp:positionV>
            <wp:extent cx="18865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This ASU introduces a new principles-based framework for revenue recognition and disclosure. The core principle of the standard is when an entity transfers goods or services to customers it will recognize revenue in an amount that reflects the consideration the entity expects to be entitled to for those goods or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ind w:right="260"/>
        <w:spacing w:after="0" w:line="233" w:lineRule="auto"/>
        <w:rPr>
          <w:sz w:val="20"/>
          <w:szCs w:val="20"/>
          <w:color w:val="auto"/>
        </w:rPr>
      </w:pPr>
      <w:r>
        <w:rPr>
          <w:rFonts w:ascii="Arial" w:cs="Arial" w:eastAsia="Arial" w:hAnsi="Arial"/>
          <w:sz w:val="15"/>
          <w:szCs w:val="15"/>
          <w:color w:val="auto"/>
        </w:rPr>
        <w:t>Adoption of this standard will be applied using a retrospective transition method to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wp:posOffset>
            </wp:positionV>
            <wp:extent cx="15862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November 1, 2020</w:t>
      </w:r>
    </w:p>
    <w:p>
      <w:pPr>
        <w:spacing w:after="0" w:line="152" w:lineRule="exact"/>
        <w:rPr>
          <w:sz w:val="20"/>
          <w:szCs w:val="20"/>
          <w:color w:val="auto"/>
        </w:rPr>
      </w:pPr>
    </w:p>
    <w:p>
      <w:pPr>
        <w:ind w:right="100"/>
        <w:spacing w:after="0" w:line="229" w:lineRule="auto"/>
        <w:rPr>
          <w:sz w:val="20"/>
          <w:szCs w:val="20"/>
          <w:color w:val="auto"/>
        </w:rPr>
      </w:pPr>
      <w:r>
        <w:rPr>
          <w:rFonts w:ascii="Arial" w:cs="Arial" w:eastAsia="Arial" w:hAnsi="Arial"/>
          <w:sz w:val="15"/>
          <w:szCs w:val="15"/>
          <w:color w:val="auto"/>
        </w:rPr>
        <w:t>This standard will be applied using a modified retrospective adoption approach with a cumulative-effect adjustment to retained earnings as of the beginning of the year of adoption, except for certain provisions that are required to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6350</wp:posOffset>
            </wp:positionV>
            <wp:extent cx="15862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November 1, 2019</w:t>
      </w:r>
    </w:p>
    <w:p>
      <w:pPr>
        <w:spacing w:after="0" w:line="152"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This guidance may be applied through a modified retrospective transition approach for leases existing at, or entered into after, the beginning of the earliest comparative period presented in the financial statements with certain practical expedients available. Alternatively, this guidance may also be applied at the adoption date by recognizing a cumulative-effect adjustment to the opening balance of retained earnings in the period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9525</wp:posOffset>
            </wp:positionV>
            <wp:extent cx="15862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This standard will be applied using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6985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35" w:lineRule="auto"/>
        <w:rPr>
          <w:sz w:val="20"/>
          <w:szCs w:val="20"/>
          <w:color w:val="auto"/>
        </w:rPr>
      </w:pPr>
      <w:r>
        <w:rPr>
          <w:rFonts w:ascii="Arial" w:cs="Arial" w:eastAsia="Arial" w:hAnsi="Arial"/>
          <w:sz w:val="15"/>
          <w:szCs w:val="15"/>
          <w:color w:val="auto"/>
        </w:rPr>
        <w:t>The adoption of this guidance is not expected to have a material impact on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314960</wp:posOffset>
            </wp:positionV>
            <wp:extent cx="19551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726440</wp:posOffset>
            </wp:positionV>
            <wp:extent cx="19551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1344295</wp:posOffset>
            </wp:positionV>
            <wp:extent cx="19551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The anticipated effect of adoption is described in Note 2, “Basis of Presentation,” in the Financial Statements.</w:t>
      </w:r>
    </w:p>
    <w:p>
      <w:pPr>
        <w:spacing w:after="0" w:line="1009" w:lineRule="exact"/>
        <w:rPr>
          <w:sz w:val="20"/>
          <w:szCs w:val="20"/>
          <w:color w:val="auto"/>
        </w:rPr>
      </w:pPr>
    </w:p>
    <w:p>
      <w:pPr>
        <w:sectPr>
          <w:pgSz w:w="11900" w:h="16838" w:orient="portrait"/>
          <w:cols w:equalWidth="0" w:num="4">
            <w:col w:w="2460" w:space="160"/>
            <w:col w:w="2900" w:space="200"/>
            <w:col w:w="2440" w:space="160"/>
            <w:col w:w="3000"/>
          </w:cols>
          <w:pgMar w:left="280" w:top="68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20"/>
          </w:cols>
          <w:pgMar w:left="280" w:top="684" w:right="29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0046AD"/>
        </w:rPr>
        <w:t>ITEM 7A. QUANTITATIVE AND QUALITATIVE DISCLOSURES ABOUT MARKET RISK.</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Risk</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primarily exposed to interest rate risk through our variable rate borrowings under our Credit Facility. At October 31, 2018, we had total outstanding borrowings of $949.0 million. To limit exposure to upward movements in interest rates, we entered into interest rate swap agreements to fix the interest rates on a substantial portion of our outstanding borrowings. At October 31, 2017, we had interest rate swaps with an underlying notional amount of $105.0 million and a fixed interest rate of 1.05%. We entered into three additional forward-starting interest rate swap agreements that became effective in November 2017 with an underlying aggregate notional amount of $500.0 million and fixed interest rates of 1.65% and 1.69%. During April 2018, we elected to terminate all of our interest rate swaps then in effect. We subsequently entered into new forward-starting interest rate swaps that became effective on November 1, 2018 with an underlying aggregate notional amount of $440.0 million and fixed interest rates of 2.83%, 2.84%, and 2.86%. There are no other material changes related to market risk from the disclosures in this Annual Report on Form 10-K for the year ended October 31, 2018.</w:t>
      </w:r>
    </w:p>
    <w:p>
      <w:pPr>
        <w:spacing w:after="0" w:line="1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our average borrowings, interest rates, and interest rate swaps effective in November 2018, a 100 basis point increase in LIBOR would decrease our future earnings and cash flows by $5.4 million. For 2017, our market risk exposure related to interest rate fluctuations was $6.5 million. As actual interest rate movements over time are uncertain, our swaps pose potential interest rate risks if interest rates decrease. As of October 31, 2018, the fair value of our interest rate swap agreements was an asset of $1.3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Foreign Currency Exchange Rate Risk</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primarily exposed to the impact of foreign exchange rate risk through our U.K. operations where the functional currency is the Great Britain Pound.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2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0046AD"/>
        </w:rPr>
        <w:t>ITEM 8. FINANCIAL STATEMENTS AND SUPPLEMENTARY DATA.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audited the accompanying consolidated balance sheets of ABM Industries Incorporated and subsidiaries (the “Company”) as of October 31, 2018 and 2017, the related consolidated statements of comprehensive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2018, and the related notes and financial statement Schedule II (collectively, the consolidated financial statements). In our opinion, the consolidated financial statements present fairly, in all material respects, the financial position of the Company as of October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2018, in conformity with U.S. generally accepted accounting principles.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October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December 21,</w:t>
      </w:r>
      <w:r>
        <w:rPr>
          <w:rFonts w:ascii="Arial" w:cs="Arial" w:eastAsia="Arial" w:hAnsi="Arial"/>
          <w:sz w:val="18"/>
          <w:szCs w:val="18"/>
          <w:i w:val="1"/>
          <w:iCs w:val="1"/>
          <w:color w:val="auto"/>
        </w:rPr>
        <w:t xml:space="preserve"> </w:t>
      </w:r>
      <w:r>
        <w:rPr>
          <w:rFonts w:ascii="Arial" w:cs="Arial" w:eastAsia="Arial" w:hAnsi="Arial"/>
          <w:sz w:val="18"/>
          <w:szCs w:val="18"/>
          <w:color w:val="auto"/>
        </w:rPr>
        <w:t>2018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6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ABM Industries Incorporated and subsidiaries’ (the “Company”) internal control over financial reporting as of October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October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October 31, 2018 and 2017, the related consolidated statements of comprehensive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2018, and the related notes and financial statement Schedule II (collectively, the consolidated financial statements) and our report dated December 21, 2018 expressed an unqualified opinion on those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BALANCE SHEETS</w:t>
      </w:r>
    </w:p>
    <w:p>
      <w:pPr>
        <w:spacing w:after="0" w:line="185"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28575</wp:posOffset>
            </wp:positionV>
            <wp:extent cx="2109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840" w:type="dxa"/>
            <w:vAlign w:val="bottom"/>
            <w:tcBorders>
              <w:top w:val="single" w:sz="8" w:color="auto"/>
              <w:bottom w:val="single" w:sz="8" w:color="DCE2EF"/>
            </w:tcBorders>
          </w:tcPr>
          <w:p>
            <w:pPr>
              <w:spacing w:after="0" w:line="20" w:lineRule="exact"/>
              <w:rPr>
                <w:sz w:val="1"/>
                <w:szCs w:val="1"/>
                <w:color w:val="auto"/>
              </w:rPr>
            </w:pPr>
          </w:p>
        </w:tc>
        <w:tc>
          <w:tcPr>
            <w:tcW w:w="52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Trade accounts receivable, net of allowances of $19.2 and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500"/>
              <w:spacing w:after="0"/>
              <w:rPr>
                <w:sz w:val="20"/>
                <w:szCs w:val="20"/>
                <w:color w:val="auto"/>
              </w:rPr>
            </w:pPr>
            <w:r>
              <w:rPr>
                <w:rFonts w:ascii="Arial" w:cs="Arial" w:eastAsia="Arial" w:hAnsi="Arial"/>
                <w:sz w:val="18"/>
                <w:szCs w:val="18"/>
                <w:color w:val="auto"/>
              </w:rPr>
              <w:t>$25.5 at October 31, 2018 and 2017, 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1,038.1</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80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50"/>
        </w:trPr>
        <w:tc>
          <w:tcPr>
            <w:tcW w:w="40" w:type="dxa"/>
            <w:vAlign w:val="bottom"/>
            <w:shd w:val="clear" w:color="auto" w:fill="DCE2EF"/>
          </w:tcPr>
          <w:p>
            <w:pPr>
              <w:spacing w:after="0"/>
              <w:rPr>
                <w:sz w:val="21"/>
                <w:szCs w:val="21"/>
                <w:color w:val="auto"/>
              </w:rPr>
            </w:pPr>
          </w:p>
        </w:tc>
        <w:tc>
          <w:tcPr>
            <w:tcW w:w="8060" w:type="dxa"/>
            <w:vAlign w:val="bottom"/>
            <w:gridSpan w:val="2"/>
            <w:shd w:val="clear" w:color="auto" w:fill="DCE2EF"/>
          </w:tcPr>
          <w:p>
            <w:pPr>
              <w:ind w:left="6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1,171.0</w:t>
            </w:r>
          </w:p>
        </w:tc>
        <w:tc>
          <w:tcPr>
            <w:tcW w:w="120" w:type="dxa"/>
            <w:vAlign w:val="bottom"/>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50"/>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5"/>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Property, plant and equipment, net of accumulated depreciation of $153.9 and $136.4 at October 31,</w:t>
            </w: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CE2EF"/>
          </w:tcPr>
          <w:p>
            <w:pPr>
              <w:spacing w:after="0"/>
              <w:rPr>
                <w:sz w:val="20"/>
                <w:szCs w:val="20"/>
                <w:color w:val="auto"/>
              </w:rPr>
            </w:pPr>
          </w:p>
        </w:tc>
        <w:tc>
          <w:tcPr>
            <w:tcW w:w="8060" w:type="dxa"/>
            <w:vAlign w:val="bottom"/>
            <w:gridSpan w:val="2"/>
            <w:shd w:val="clear" w:color="auto" w:fill="DCE2EF"/>
          </w:tcPr>
          <w:p>
            <w:pPr>
              <w:ind w:left="160"/>
              <w:spacing w:after="0"/>
              <w:rPr>
                <w:sz w:val="20"/>
                <w:szCs w:val="20"/>
                <w:color w:val="auto"/>
              </w:rPr>
            </w:pPr>
            <w:r>
              <w:rPr>
                <w:rFonts w:ascii="Arial" w:cs="Arial" w:eastAsia="Arial" w:hAnsi="Arial"/>
                <w:sz w:val="18"/>
                <w:szCs w:val="18"/>
                <w:color w:val="auto"/>
              </w:rPr>
              <w:t>2018 and 2017, respectively</w:t>
            </w: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DCE2EF"/>
          </w:tcPr>
          <w:p>
            <w:pPr>
              <w:spacing w:after="0"/>
              <w:rPr>
                <w:sz w:val="20"/>
                <w:szCs w:val="20"/>
                <w:color w:val="auto"/>
              </w:rPr>
            </w:pP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29"/>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Other intangible assets, net of accumulated amortization of $250.4 and $189.1 at October 31, 2018</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and 2017, 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77"/>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1,834.8</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1,864.2</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3,627.5</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3,812.6</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0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Trade accounts payable</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221.9</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Accrued taxes—other than income</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Insurance claims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80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50"/>
        </w:trPr>
        <w:tc>
          <w:tcPr>
            <w:tcW w:w="40" w:type="dxa"/>
            <w:vAlign w:val="bottom"/>
            <w:shd w:val="clear" w:color="auto" w:fill="DCE2EF"/>
          </w:tcPr>
          <w:p>
            <w:pPr>
              <w:spacing w:after="0"/>
              <w:rPr>
                <w:sz w:val="21"/>
                <w:szCs w:val="21"/>
                <w:color w:val="auto"/>
              </w:rPr>
            </w:pPr>
          </w:p>
        </w:tc>
        <w:tc>
          <w:tcPr>
            <w:tcW w:w="8060" w:type="dxa"/>
            <w:vAlign w:val="bottom"/>
            <w:gridSpan w:val="2"/>
            <w:shd w:val="clear" w:color="auto" w:fill="DCE2EF"/>
          </w:tcPr>
          <w:p>
            <w:pPr>
              <w:ind w:left="6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792.5</w:t>
            </w:r>
          </w:p>
        </w:tc>
        <w:tc>
          <w:tcPr>
            <w:tcW w:w="120" w:type="dxa"/>
            <w:vAlign w:val="bottom"/>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50"/>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Long-term debt,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77"/>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Noncurrent insurance claims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77"/>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Noncurrent income taxes payable</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40" w:type="dxa"/>
            <w:vAlign w:val="bottom"/>
            <w:shd w:val="clear" w:color="auto" w:fill="DCE2EF"/>
          </w:tcPr>
          <w:p>
            <w:pPr>
              <w:spacing w:after="0"/>
              <w:rPr>
                <w:sz w:val="22"/>
                <w:szCs w:val="22"/>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DCE2EF"/>
          </w:tcPr>
          <w:p>
            <w:pPr>
              <w:spacing w:after="0"/>
              <w:rPr>
                <w:sz w:val="22"/>
                <w:szCs w:val="22"/>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2,172.9</w:t>
            </w:r>
          </w:p>
        </w:tc>
        <w:tc>
          <w:tcPr>
            <w:tcW w:w="120" w:type="dxa"/>
            <w:vAlign w:val="bottom"/>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spacing w:after="0"/>
              <w:rPr>
                <w:sz w:val="22"/>
                <w:szCs w:val="22"/>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2,436.9</w:t>
            </w:r>
          </w:p>
        </w:tc>
        <w:tc>
          <w:tcPr>
            <w:tcW w:w="0" w:type="dxa"/>
            <w:vAlign w:val="bottom"/>
          </w:tcPr>
          <w:p>
            <w:pPr>
              <w:spacing w:after="0"/>
              <w:rPr>
                <w:sz w:val="1"/>
                <w:szCs w:val="1"/>
                <w:color w:val="auto"/>
              </w:rPr>
            </w:pP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0" w:type="dxa"/>
            <w:vAlign w:val="bottom"/>
            <w:shd w:val="clear" w:color="auto" w:fill="DCE2EF"/>
          </w:tcPr>
          <w:p>
            <w:pPr>
              <w:spacing w:after="0"/>
              <w:rPr>
                <w:sz w:val="20"/>
                <w:szCs w:val="20"/>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Common stock, $0.01 par value; 100,000,000 shares authorized;</w:t>
            </w: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CE2EF"/>
          </w:tcPr>
          <w:p>
            <w:pPr>
              <w:spacing w:after="0"/>
              <w:rPr>
                <w:sz w:val="17"/>
                <w:szCs w:val="17"/>
                <w:color w:val="auto"/>
              </w:rPr>
            </w:pPr>
          </w:p>
        </w:tc>
        <w:tc>
          <w:tcPr>
            <w:tcW w:w="8060" w:type="dxa"/>
            <w:vAlign w:val="bottom"/>
            <w:gridSpan w:val="2"/>
            <w:shd w:val="clear" w:color="auto" w:fill="DCE2EF"/>
          </w:tcPr>
          <w:p>
            <w:pPr>
              <w:ind w:left="340"/>
              <w:spacing w:after="0" w:line="202" w:lineRule="exact"/>
              <w:rPr>
                <w:sz w:val="20"/>
                <w:szCs w:val="20"/>
                <w:color w:val="auto"/>
              </w:rPr>
            </w:pPr>
            <w:r>
              <w:rPr>
                <w:rFonts w:ascii="Arial" w:cs="Arial" w:eastAsia="Arial" w:hAnsi="Arial"/>
                <w:sz w:val="18"/>
                <w:szCs w:val="18"/>
                <w:color w:val="auto"/>
              </w:rPr>
              <w:t>66,004,361 and 65,502,568 shares issued and outstanding at October 31, 2018 and 2017,</w:t>
            </w:r>
          </w:p>
        </w:tc>
        <w:tc>
          <w:tcPr>
            <w:tcW w:w="36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CE2EF"/>
          </w:tcPr>
          <w:p>
            <w:pPr>
              <w:spacing w:after="0"/>
              <w:rPr>
                <w:sz w:val="20"/>
                <w:szCs w:val="20"/>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CE2EF"/>
          </w:tcPr>
          <w:p>
            <w:pPr>
              <w:spacing w:after="0"/>
              <w:rPr>
                <w:sz w:val="20"/>
                <w:szCs w:val="20"/>
                <w:color w:val="auto"/>
              </w:rPr>
            </w:pP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Accumulated other comprehensive loss, net of taxes</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80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771.2</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50"/>
        </w:trPr>
        <w:tc>
          <w:tcPr>
            <w:tcW w:w="40" w:type="dxa"/>
            <w:vAlign w:val="bottom"/>
            <w:shd w:val="clear" w:color="auto" w:fill="DCE2EF"/>
          </w:tcPr>
          <w:p>
            <w:pPr>
              <w:spacing w:after="0"/>
              <w:rPr>
                <w:sz w:val="21"/>
                <w:szCs w:val="21"/>
                <w:color w:val="auto"/>
              </w:rPr>
            </w:pPr>
          </w:p>
        </w:tc>
        <w:tc>
          <w:tcPr>
            <w:tcW w:w="80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1,454.6</w:t>
            </w:r>
          </w:p>
        </w:tc>
        <w:tc>
          <w:tcPr>
            <w:tcW w:w="120" w:type="dxa"/>
            <w:vAlign w:val="bottom"/>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3,627.5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0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508"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COMPREHENSIVE INCOME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October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34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44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6,442.2</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5,453.6</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5,144.7</w:t>
            </w:r>
          </w:p>
        </w:tc>
        <w:tc>
          <w:tcPr>
            <w:tcW w:w="0" w:type="dxa"/>
            <w:vAlign w:val="bottom"/>
          </w:tcPr>
          <w:p>
            <w:pPr>
              <w:spacing w:after="0"/>
              <w:rPr>
                <w:sz w:val="1"/>
                <w:szCs w:val="1"/>
                <w:color w:val="auto"/>
              </w:rPr>
            </w:pPr>
          </w:p>
        </w:tc>
      </w:tr>
      <w:tr>
        <w:trPr>
          <w:trHeight w:val="26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5,747.4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4,881.2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4,603.4</w:t>
            </w:r>
          </w:p>
        </w:tc>
        <w:tc>
          <w:tcPr>
            <w:tcW w:w="0" w:type="dxa"/>
            <w:vAlign w:val="bottom"/>
          </w:tcPr>
          <w:p>
            <w:pPr>
              <w:spacing w:after="0"/>
              <w:rPr>
                <w:sz w:val="1"/>
                <w:szCs w:val="1"/>
                <w:color w:val="auto"/>
              </w:rPr>
            </w:pPr>
          </w:p>
        </w:tc>
      </w:tr>
      <w:tr>
        <w:trPr>
          <w:trHeight w:val="277"/>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6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Restructuring and related expenses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7"/>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Impairment loss (recovery)</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6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1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7"/>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Income (loss) from discontinued operations, net of taxes</w:t>
            </w:r>
          </w:p>
        </w:tc>
        <w:tc>
          <w:tcPr>
            <w:tcW w:w="34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DCE2E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10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67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670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67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670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6700" w:type="dxa"/>
            <w:vAlign w:val="bottom"/>
            <w:tcBorders>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Diluted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67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670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6700" w:type="dxa"/>
            <w:vAlign w:val="bottom"/>
            <w:tcBorders>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40"/>
              <w:spacing w:after="0" w:line="201" w:lineRule="exact"/>
              <w:rPr>
                <w:sz w:val="20"/>
                <w:szCs w:val="20"/>
                <w:color w:val="auto"/>
              </w:rPr>
            </w:pPr>
            <w:r>
              <w:rPr>
                <w:rFonts w:ascii="Arial" w:cs="Arial" w:eastAsia="Arial" w:hAnsi="Arial"/>
                <w:sz w:val="18"/>
                <w:szCs w:val="18"/>
                <w:b w:val="1"/>
                <w:bCs w:val="1"/>
                <w:color w:val="auto"/>
              </w:rPr>
              <w:t>Weighted-average common and common</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equivalent shares outstanding</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67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7"/>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0.700</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0.680</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0.660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rPr>
              <w:t>Years Ended October 31,</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2016</w:t>
            </w:r>
          </w:p>
        </w:tc>
        <w:tc>
          <w:tcPr>
            <w:tcW w:w="840" w:type="dxa"/>
            <w:vAlign w:val="bottom"/>
            <w:tcBorders>
              <w:bottom w:val="single" w:sz="8" w:color="auto"/>
            </w:tcBorders>
          </w:tcPr>
          <w:p>
            <w:pPr>
              <w:spacing w:after="0"/>
              <w:rPr>
                <w:sz w:val="22"/>
                <w:szCs w:val="22"/>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4040" w:type="dxa"/>
            <w:vAlign w:val="bottom"/>
            <w:tcBorders>
              <w:bottom w:val="single" w:sz="8" w:color="DCE2E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4"/>
        </w:trPr>
        <w:tc>
          <w:tcPr>
            <w:tcW w:w="470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55.6</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56.1</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6"/>
        </w:trPr>
        <w:tc>
          <w:tcPr>
            <w:tcW w:w="40" w:type="dxa"/>
            <w:vAlign w:val="bottom"/>
            <w:shd w:val="clear" w:color="auto" w:fill="DCE2EF"/>
          </w:tcPr>
          <w:p>
            <w:pPr>
              <w:spacing w:after="0"/>
              <w:rPr>
                <w:sz w:val="24"/>
                <w:szCs w:val="24"/>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Stock issued in GCA acquisition, net of shares withheld for taxes</w:t>
            </w:r>
          </w:p>
        </w:tc>
        <w:tc>
          <w:tcPr>
            <w:tcW w:w="9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8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40" w:type="dxa"/>
            <w:vAlign w:val="bottom"/>
          </w:tcPr>
          <w:p>
            <w:pPr>
              <w:spacing w:after="0"/>
              <w:rPr>
                <w:sz w:val="16"/>
                <w:szCs w:val="16"/>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Stock issued under employee stock purchase and share-based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40" w:type="dxa"/>
            <w:vAlign w:val="bottom"/>
          </w:tcPr>
          <w:p>
            <w:pPr>
              <w:spacing w:after="0"/>
              <w:rPr>
                <w:sz w:val="15"/>
                <w:szCs w:val="15"/>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compensation plans</w:t>
            </w:r>
          </w:p>
        </w:tc>
        <w:tc>
          <w:tcPr>
            <w:tcW w:w="9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shd w:val="clear" w:color="auto" w:fill="DCE2EF"/>
          </w:tcPr>
          <w:p>
            <w:pPr>
              <w:spacing w:after="0"/>
              <w:rPr>
                <w:sz w:val="23"/>
                <w:szCs w:val="23"/>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00" w:type="dxa"/>
            <w:vAlign w:val="bottom"/>
            <w:tcBorders>
              <w:bottom w:val="single" w:sz="8" w:color="auto"/>
            </w:tcBorders>
            <w:shd w:val="clear" w:color="auto" w:fill="DCE2EF"/>
          </w:tcPr>
          <w:p>
            <w:pPr>
              <w:spacing w:after="0"/>
              <w:rPr>
                <w:sz w:val="23"/>
                <w:szCs w:val="23"/>
                <w:color w:val="auto"/>
              </w:rPr>
            </w:pPr>
          </w:p>
        </w:tc>
        <w:tc>
          <w:tcPr>
            <w:tcW w:w="8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23"/>
                <w:szCs w:val="23"/>
                <w:color w:val="auto"/>
              </w:rPr>
            </w:pPr>
          </w:p>
        </w:tc>
        <w:tc>
          <w:tcPr>
            <w:tcW w:w="1020" w:type="dxa"/>
            <w:vAlign w:val="bottom"/>
            <w:tcBorders>
              <w:bottom w:val="single" w:sz="8" w:color="auto"/>
            </w:tcBorders>
            <w:gridSpan w:val="2"/>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23"/>
                <w:szCs w:val="23"/>
                <w:color w:val="auto"/>
              </w:rPr>
            </w:pPr>
          </w:p>
        </w:tc>
        <w:tc>
          <w:tcPr>
            <w:tcW w:w="1020" w:type="dxa"/>
            <w:vAlign w:val="bottom"/>
            <w:tcBorders>
              <w:bottom w:val="single" w:sz="8" w:color="auto"/>
            </w:tcBorders>
            <w:gridSpan w:val="2"/>
            <w:shd w:val="clear" w:color="auto" w:fill="DCE2E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0" w:type="dxa"/>
            <w:vAlign w:val="bottom"/>
          </w:tcPr>
          <w:p>
            <w:pPr>
              <w:spacing w:after="0"/>
              <w:rPr>
                <w:sz w:val="21"/>
                <w:szCs w:val="21"/>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4700" w:type="dxa"/>
            <w:vAlign w:val="bottom"/>
            <w:tcBorders>
              <w:top w:val="single" w:sz="8" w:color="DCE2EF"/>
            </w:tcBorders>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Additional Paid-in Capital</w:t>
            </w:r>
          </w:p>
        </w:tc>
        <w:tc>
          <w:tcPr>
            <w:tcW w:w="94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200" w:type="dxa"/>
            <w:vAlign w:val="bottom"/>
            <w:tcBorders>
              <w:top w:val="single" w:sz="8" w:color="auto"/>
            </w:tcBorders>
            <w:shd w:val="clear" w:color="auto" w:fill="DCE2EF"/>
          </w:tcPr>
          <w:p>
            <w:pPr>
              <w:spacing w:after="0"/>
              <w:rPr>
                <w:sz w:val="23"/>
                <w:szCs w:val="23"/>
                <w:color w:val="auto"/>
              </w:rPr>
            </w:pPr>
          </w:p>
        </w:tc>
        <w:tc>
          <w:tcPr>
            <w:tcW w:w="86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92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180" w:type="dxa"/>
            <w:vAlign w:val="bottom"/>
            <w:tcBorders>
              <w:top w:val="single" w:sz="8" w:color="auto"/>
            </w:tcBorders>
            <w:shd w:val="clear" w:color="auto" w:fill="DCE2EF"/>
          </w:tcPr>
          <w:p>
            <w:pPr>
              <w:spacing w:after="0"/>
              <w:rPr>
                <w:sz w:val="23"/>
                <w:szCs w:val="23"/>
                <w:color w:val="auto"/>
              </w:rPr>
            </w:pPr>
          </w:p>
        </w:tc>
        <w:tc>
          <w:tcPr>
            <w:tcW w:w="84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92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180" w:type="dxa"/>
            <w:vAlign w:val="bottom"/>
            <w:tcBorders>
              <w:top w:val="single" w:sz="8" w:color="auto"/>
            </w:tcBorders>
            <w:shd w:val="clear" w:color="auto" w:fill="DCE2EF"/>
          </w:tcPr>
          <w:p>
            <w:pPr>
              <w:spacing w:after="0"/>
              <w:rPr>
                <w:sz w:val="23"/>
                <w:szCs w:val="23"/>
                <w:color w:val="auto"/>
              </w:rPr>
            </w:pPr>
          </w:p>
        </w:tc>
        <w:tc>
          <w:tcPr>
            <w:tcW w:w="840" w:type="dxa"/>
            <w:vAlign w:val="bottom"/>
            <w:tcBorders>
              <w:top w:val="single" w:sz="8" w:color="auto"/>
            </w:tcBorders>
            <w:shd w:val="clear" w:color="auto" w:fill="DCE2E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675.2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275.5</w:t>
            </w:r>
          </w:p>
        </w:tc>
      </w:tr>
      <w:tr>
        <w:trPr>
          <w:trHeight w:val="276"/>
        </w:trPr>
        <w:tc>
          <w:tcPr>
            <w:tcW w:w="40" w:type="dxa"/>
            <w:vAlign w:val="bottom"/>
            <w:shd w:val="clear" w:color="auto" w:fill="DCE2EF"/>
          </w:tcPr>
          <w:p>
            <w:pPr>
              <w:spacing w:after="0"/>
              <w:rPr>
                <w:sz w:val="24"/>
                <w:szCs w:val="24"/>
                <w:color w:val="auto"/>
              </w:rPr>
            </w:pPr>
          </w:p>
        </w:tc>
        <w:tc>
          <w:tcPr>
            <w:tcW w:w="466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Stock issued in GCA acquisition, net of shares withheld for taxes</w:t>
            </w:r>
          </w:p>
        </w:tc>
        <w:tc>
          <w:tcPr>
            <w:tcW w:w="9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8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421.2</w:t>
            </w:r>
          </w:p>
        </w:tc>
        <w:tc>
          <w:tcPr>
            <w:tcW w:w="10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40" w:type="dxa"/>
            <w:vAlign w:val="bottom"/>
          </w:tcPr>
          <w:p>
            <w:pPr>
              <w:spacing w:after="0"/>
              <w:rPr>
                <w:sz w:val="16"/>
                <w:szCs w:val="16"/>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(Taxes withheld) stock issued under employee stock purchase and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40" w:type="dxa"/>
            <w:vAlign w:val="bottom"/>
          </w:tcPr>
          <w:p>
            <w:pPr>
              <w:spacing w:after="0"/>
              <w:rPr>
                <w:sz w:val="15"/>
                <w:szCs w:val="15"/>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share-based compensation plans, net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w:t>
            </w:r>
          </w:p>
        </w:tc>
      </w:tr>
      <w:tr>
        <w:trPr>
          <w:trHeight w:val="276"/>
        </w:trPr>
        <w:tc>
          <w:tcPr>
            <w:tcW w:w="40" w:type="dxa"/>
            <w:vAlign w:val="bottom"/>
            <w:shd w:val="clear" w:color="auto" w:fill="DCE2EF"/>
          </w:tcPr>
          <w:p>
            <w:pPr>
              <w:spacing w:after="0"/>
              <w:rPr>
                <w:sz w:val="24"/>
                <w:szCs w:val="24"/>
                <w:color w:val="auto"/>
              </w:rPr>
            </w:pPr>
          </w:p>
        </w:tc>
        <w:tc>
          <w:tcPr>
            <w:tcW w:w="466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Share-based compensation expense</w:t>
            </w:r>
          </w:p>
        </w:tc>
        <w:tc>
          <w:tcPr>
            <w:tcW w:w="9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8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14.0</w:t>
            </w:r>
          </w:p>
        </w:tc>
      </w:tr>
      <w:tr>
        <w:trPr>
          <w:trHeight w:val="264"/>
        </w:trPr>
        <w:tc>
          <w:tcPr>
            <w:tcW w:w="40" w:type="dxa"/>
            <w:vAlign w:val="bottom"/>
            <w:tcBorders>
              <w:bottom w:val="single" w:sz="8" w:color="DCE2EF"/>
            </w:tcBorders>
          </w:tcPr>
          <w:p>
            <w:pPr>
              <w:spacing w:after="0"/>
              <w:rPr>
                <w:sz w:val="22"/>
                <w:szCs w:val="22"/>
                <w:color w:val="auto"/>
              </w:rPr>
            </w:pPr>
          </w:p>
        </w:tc>
        <w:tc>
          <w:tcPr>
            <w:tcW w:w="4660" w:type="dxa"/>
            <w:vAlign w:val="bottom"/>
            <w:tcBorders>
              <w:bottom w:val="single" w:sz="8" w:color="DCE2EF"/>
            </w:tcBorders>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22"/>
                <w:szCs w:val="22"/>
                <w:color w:val="auto"/>
              </w:rPr>
            </w:pPr>
          </w:p>
        </w:tc>
        <w:tc>
          <w:tcPr>
            <w:tcW w:w="9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DCE2EF"/>
            </w:tcBorders>
          </w:tcPr>
          <w:p>
            <w:pPr>
              <w:spacing w:after="0"/>
              <w:rPr>
                <w:sz w:val="22"/>
                <w:szCs w:val="22"/>
                <w:color w:val="auto"/>
              </w:rPr>
            </w:pPr>
          </w:p>
        </w:tc>
        <w:tc>
          <w:tcPr>
            <w:tcW w:w="9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r>
      <w:tr>
        <w:trPr>
          <w:trHeight w:val="256"/>
        </w:trPr>
        <w:tc>
          <w:tcPr>
            <w:tcW w:w="40" w:type="dxa"/>
            <w:vAlign w:val="bottom"/>
            <w:shd w:val="clear" w:color="auto" w:fill="DCE2EF"/>
          </w:tcPr>
          <w:p>
            <w:pPr>
              <w:spacing w:after="0"/>
              <w:rPr>
                <w:sz w:val="22"/>
                <w:szCs w:val="22"/>
                <w:color w:val="auto"/>
              </w:rPr>
            </w:pPr>
          </w:p>
        </w:tc>
        <w:tc>
          <w:tcPr>
            <w:tcW w:w="466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tcBorders>
              <w:bottom w:val="single" w:sz="8" w:color="auto"/>
            </w:tcBorders>
            <w:shd w:val="clear" w:color="auto" w:fill="DCE2EF"/>
          </w:tcPr>
          <w:p>
            <w:pPr>
              <w:spacing w:after="0"/>
              <w:rPr>
                <w:sz w:val="22"/>
                <w:szCs w:val="22"/>
                <w:color w:val="auto"/>
              </w:rPr>
            </w:pPr>
          </w:p>
        </w:tc>
        <w:tc>
          <w:tcPr>
            <w:tcW w:w="8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691.8</w:t>
            </w:r>
          </w:p>
        </w:tc>
        <w:tc>
          <w:tcPr>
            <w:tcW w:w="1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675.2</w:t>
            </w: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248.6</w:t>
            </w: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0" w:type="dxa"/>
            <w:vAlign w:val="bottom"/>
            <w:shd w:val="clear" w:color="auto" w:fill="DCE2EF"/>
          </w:tcPr>
          <w:p>
            <w:pPr>
              <w:spacing w:after="0"/>
              <w:rPr>
                <w:sz w:val="24"/>
                <w:szCs w:val="24"/>
                <w:color w:val="auto"/>
              </w:rPr>
            </w:pPr>
          </w:p>
        </w:tc>
        <w:tc>
          <w:tcPr>
            <w:tcW w:w="466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8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(5.1)</w:t>
            </w:r>
          </w:p>
        </w:tc>
      </w:tr>
      <w:tr>
        <w:trPr>
          <w:trHeight w:val="264"/>
        </w:trPr>
        <w:tc>
          <w:tcPr>
            <w:tcW w:w="40" w:type="dxa"/>
            <w:vAlign w:val="bottom"/>
            <w:tcBorders>
              <w:bottom w:val="single" w:sz="8" w:color="DCE2EF"/>
            </w:tcBorders>
          </w:tcPr>
          <w:p>
            <w:pPr>
              <w:spacing w:after="0"/>
              <w:rPr>
                <w:sz w:val="22"/>
                <w:szCs w:val="22"/>
                <w:color w:val="auto"/>
              </w:rPr>
            </w:pPr>
          </w:p>
        </w:tc>
        <w:tc>
          <w:tcPr>
            <w:tcW w:w="466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Other comprehensive income (loss)</w:t>
            </w:r>
          </w:p>
        </w:tc>
        <w:tc>
          <w:tcPr>
            <w:tcW w:w="94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DCE2EF"/>
            </w:tcBorders>
          </w:tcPr>
          <w:p>
            <w:pPr>
              <w:spacing w:after="0"/>
              <w:rPr>
                <w:sz w:val="22"/>
                <w:szCs w:val="22"/>
                <w:color w:val="auto"/>
              </w:rPr>
            </w:pPr>
          </w:p>
        </w:tc>
        <w:tc>
          <w:tcPr>
            <w:tcW w:w="9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DCE2EF"/>
            </w:tcBorders>
          </w:tcPr>
          <w:p>
            <w:pPr>
              <w:spacing w:after="0"/>
              <w:rPr>
                <w:sz w:val="22"/>
                <w:szCs w:val="22"/>
                <w:color w:val="auto"/>
              </w:rPr>
            </w:pPr>
          </w:p>
        </w:tc>
        <w:tc>
          <w:tcPr>
            <w:tcW w:w="9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r>
      <w:tr>
        <w:trPr>
          <w:trHeight w:val="256"/>
        </w:trPr>
        <w:tc>
          <w:tcPr>
            <w:tcW w:w="40" w:type="dxa"/>
            <w:vAlign w:val="bottom"/>
            <w:shd w:val="clear" w:color="auto" w:fill="DCE2EF"/>
          </w:tcPr>
          <w:p>
            <w:pPr>
              <w:spacing w:after="0"/>
              <w:rPr>
                <w:sz w:val="22"/>
                <w:szCs w:val="22"/>
                <w:color w:val="auto"/>
              </w:rPr>
            </w:pPr>
          </w:p>
        </w:tc>
        <w:tc>
          <w:tcPr>
            <w:tcW w:w="466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tcBorders>
              <w:bottom w:val="single" w:sz="8" w:color="auto"/>
            </w:tcBorders>
            <w:shd w:val="clear" w:color="auto" w:fill="DCE2EF"/>
          </w:tcPr>
          <w:p>
            <w:pPr>
              <w:spacing w:after="0"/>
              <w:rPr>
                <w:sz w:val="22"/>
                <w:szCs w:val="22"/>
                <w:color w:val="auto"/>
              </w:rPr>
            </w:pPr>
          </w:p>
        </w:tc>
        <w:tc>
          <w:tcPr>
            <w:tcW w:w="8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(31.6)</w:t>
            </w: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0" w:type="dxa"/>
            <w:vAlign w:val="bottom"/>
            <w:shd w:val="clear" w:color="auto" w:fill="DCE2EF"/>
          </w:tcPr>
          <w:p>
            <w:pPr>
              <w:spacing w:after="0"/>
              <w:rPr>
                <w:sz w:val="24"/>
                <w:szCs w:val="24"/>
                <w:color w:val="auto"/>
              </w:rPr>
            </w:pPr>
          </w:p>
        </w:tc>
        <w:tc>
          <w:tcPr>
            <w:tcW w:w="466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8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720.1</w:t>
            </w:r>
          </w:p>
        </w:tc>
        <w:tc>
          <w:tcPr>
            <w:tcW w:w="1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756.4</w:t>
            </w:r>
          </w:p>
        </w:tc>
        <w:tc>
          <w:tcPr>
            <w:tcW w:w="10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736.5</w:t>
            </w:r>
          </w:p>
        </w:tc>
      </w:tr>
      <w:tr>
        <w:trPr>
          <w:trHeight w:val="264"/>
        </w:trPr>
        <w:tc>
          <w:tcPr>
            <w:tcW w:w="40" w:type="dxa"/>
            <w:vAlign w:val="bottom"/>
          </w:tcPr>
          <w:p>
            <w:pPr>
              <w:spacing w:after="0"/>
              <w:rPr>
                <w:sz w:val="22"/>
                <w:szCs w:val="22"/>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57.2</w:t>
            </w:r>
          </w:p>
        </w:tc>
      </w:tr>
      <w:tr>
        <w:trPr>
          <w:trHeight w:val="276"/>
        </w:trPr>
        <w:tc>
          <w:tcPr>
            <w:tcW w:w="40" w:type="dxa"/>
            <w:vAlign w:val="bottom"/>
            <w:shd w:val="clear" w:color="auto" w:fill="DCE2EF"/>
          </w:tcPr>
          <w:p>
            <w:pPr>
              <w:spacing w:after="0"/>
              <w:rPr>
                <w:sz w:val="24"/>
                <w:szCs w:val="24"/>
                <w:color w:val="auto"/>
              </w:rPr>
            </w:pPr>
          </w:p>
        </w:tc>
        <w:tc>
          <w:tcPr>
            <w:tcW w:w="466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Dividends</w:t>
            </w:r>
          </w:p>
        </w:tc>
        <w:tc>
          <w:tcPr>
            <w:tcW w:w="9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Common stock</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270"/>
        </w:trPr>
        <w:tc>
          <w:tcPr>
            <w:tcW w:w="40" w:type="dxa"/>
            <w:vAlign w:val="bottom"/>
            <w:shd w:val="clear" w:color="auto" w:fill="DCE2EF"/>
          </w:tcPr>
          <w:p>
            <w:pPr>
              <w:spacing w:after="0"/>
              <w:rPr>
                <w:sz w:val="23"/>
                <w:szCs w:val="23"/>
                <w:color w:val="auto"/>
              </w:rPr>
            </w:pPr>
          </w:p>
        </w:tc>
        <w:tc>
          <w:tcPr>
            <w:tcW w:w="4660" w:type="dxa"/>
            <w:vAlign w:val="bottom"/>
            <w:gridSpan w:val="2"/>
            <w:shd w:val="clear" w:color="auto" w:fill="DCE2EF"/>
          </w:tcPr>
          <w:p>
            <w:pPr>
              <w:ind w:left="240"/>
              <w:spacing w:after="0"/>
              <w:rPr>
                <w:sz w:val="20"/>
                <w:szCs w:val="20"/>
                <w:color w:val="auto"/>
              </w:rPr>
            </w:pPr>
            <w:r>
              <w:rPr>
                <w:rFonts w:ascii="Arial" w:cs="Arial" w:eastAsia="Arial" w:hAnsi="Arial"/>
                <w:sz w:val="14"/>
                <w:szCs w:val="14"/>
                <w:color w:val="auto"/>
              </w:rPr>
              <w:t>Stock issued under share-based compensation plans</w:t>
            </w:r>
          </w:p>
        </w:tc>
        <w:tc>
          <w:tcPr>
            <w:tcW w:w="9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00" w:type="dxa"/>
            <w:vAlign w:val="bottom"/>
            <w:tcBorders>
              <w:bottom w:val="single" w:sz="8" w:color="auto"/>
            </w:tcBorders>
            <w:shd w:val="clear" w:color="auto" w:fill="DCE2EF"/>
          </w:tcPr>
          <w:p>
            <w:pPr>
              <w:spacing w:after="0"/>
              <w:rPr>
                <w:sz w:val="23"/>
                <w:szCs w:val="23"/>
                <w:color w:val="auto"/>
              </w:rPr>
            </w:pPr>
          </w:p>
        </w:tc>
        <w:tc>
          <w:tcPr>
            <w:tcW w:w="8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(0.4)</w:t>
            </w:r>
          </w:p>
        </w:tc>
      </w:tr>
      <w:tr>
        <w:trPr>
          <w:trHeight w:val="250"/>
        </w:trPr>
        <w:tc>
          <w:tcPr>
            <w:tcW w:w="40" w:type="dxa"/>
            <w:vAlign w:val="bottom"/>
            <w:tcBorders>
              <w:bottom w:val="single" w:sz="8" w:color="DCE2EF"/>
            </w:tcBorders>
          </w:tcPr>
          <w:p>
            <w:pPr>
              <w:spacing w:after="0"/>
              <w:rPr>
                <w:sz w:val="21"/>
                <w:szCs w:val="21"/>
                <w:color w:val="auto"/>
              </w:rPr>
            </w:pPr>
          </w:p>
        </w:tc>
        <w:tc>
          <w:tcPr>
            <w:tcW w:w="466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20" w:type="dxa"/>
            <w:vAlign w:val="bottom"/>
            <w:tcBorders>
              <w:bottom w:val="single" w:sz="8" w:color="DCE2E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771.2</w:t>
            </w:r>
          </w:p>
        </w:tc>
        <w:tc>
          <w:tcPr>
            <w:tcW w:w="120" w:type="dxa"/>
            <w:vAlign w:val="bottom"/>
            <w:tcBorders>
              <w:bottom w:val="single" w:sz="8" w:color="DCE2EF"/>
            </w:tcBorders>
          </w:tcPr>
          <w:p>
            <w:pPr>
              <w:spacing w:after="0"/>
              <w:rPr>
                <w:sz w:val="21"/>
                <w:szCs w:val="21"/>
                <w:color w:val="auto"/>
              </w:rPr>
            </w:pPr>
          </w:p>
        </w:tc>
        <w:tc>
          <w:tcPr>
            <w:tcW w:w="92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720.1</w:t>
            </w:r>
          </w:p>
        </w:tc>
        <w:tc>
          <w:tcPr>
            <w:tcW w:w="100" w:type="dxa"/>
            <w:vAlign w:val="bottom"/>
            <w:tcBorders>
              <w:bottom w:val="single" w:sz="8" w:color="DCE2EF"/>
            </w:tcBorders>
          </w:tcPr>
          <w:p>
            <w:pPr>
              <w:spacing w:after="0"/>
              <w:rPr>
                <w:sz w:val="21"/>
                <w:szCs w:val="21"/>
                <w:color w:val="auto"/>
              </w:rPr>
            </w:pPr>
          </w:p>
        </w:tc>
        <w:tc>
          <w:tcPr>
            <w:tcW w:w="92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756.4</w:t>
            </w:r>
          </w:p>
        </w:tc>
      </w:tr>
      <w:tr>
        <w:trPr>
          <w:trHeight w:val="243"/>
        </w:trPr>
        <w:tc>
          <w:tcPr>
            <w:tcW w:w="470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Total Stockholders’ Equity</w:t>
            </w:r>
          </w:p>
        </w:tc>
        <w:tc>
          <w:tcPr>
            <w:tcW w:w="940" w:type="dxa"/>
            <w:vAlign w:val="bottom"/>
            <w:shd w:val="clear" w:color="auto" w:fill="DCE2EF"/>
          </w:tcPr>
          <w:p>
            <w:pPr>
              <w:spacing w:after="0"/>
              <w:rPr>
                <w:sz w:val="21"/>
                <w:szCs w:val="21"/>
                <w:color w:val="auto"/>
              </w:rPr>
            </w:pPr>
          </w:p>
        </w:tc>
        <w:tc>
          <w:tcPr>
            <w:tcW w:w="420" w:type="dxa"/>
            <w:vAlign w:val="bottom"/>
            <w:gridSpan w:val="3"/>
            <w:shd w:val="clear" w:color="auto" w:fill="DCE2E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1,454.6</w:t>
            </w:r>
          </w:p>
        </w:tc>
        <w:tc>
          <w:tcPr>
            <w:tcW w:w="120" w:type="dxa"/>
            <w:vAlign w:val="bottom"/>
            <w:shd w:val="clear" w:color="auto" w:fill="DCE2EF"/>
          </w:tcPr>
          <w:p>
            <w:pPr>
              <w:spacing w:after="0"/>
              <w:rPr>
                <w:sz w:val="21"/>
                <w:szCs w:val="21"/>
                <w:color w:val="auto"/>
              </w:rPr>
            </w:pPr>
          </w:p>
        </w:tc>
        <w:tc>
          <w:tcPr>
            <w:tcW w:w="920" w:type="dxa"/>
            <w:vAlign w:val="bottom"/>
            <w:shd w:val="clear" w:color="auto" w:fill="DCE2EF"/>
          </w:tcPr>
          <w:p>
            <w:pPr>
              <w:spacing w:after="0"/>
              <w:rPr>
                <w:sz w:val="21"/>
                <w:szCs w:val="21"/>
                <w:color w:val="auto"/>
              </w:rPr>
            </w:pPr>
          </w:p>
        </w:tc>
        <w:tc>
          <w:tcPr>
            <w:tcW w:w="380" w:type="dxa"/>
            <w:vAlign w:val="bottom"/>
            <w:gridSpan w:val="3"/>
            <w:shd w:val="clear" w:color="auto" w:fill="DCE2E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1,375.7</w:t>
            </w:r>
          </w:p>
        </w:tc>
        <w:tc>
          <w:tcPr>
            <w:tcW w:w="100" w:type="dxa"/>
            <w:vAlign w:val="bottom"/>
            <w:shd w:val="clear" w:color="auto" w:fill="DCE2EF"/>
          </w:tcPr>
          <w:p>
            <w:pPr>
              <w:spacing w:after="0"/>
              <w:rPr>
                <w:sz w:val="21"/>
                <w:szCs w:val="21"/>
                <w:color w:val="auto"/>
              </w:rPr>
            </w:pPr>
          </w:p>
        </w:tc>
        <w:tc>
          <w:tcPr>
            <w:tcW w:w="920" w:type="dxa"/>
            <w:vAlign w:val="bottom"/>
            <w:shd w:val="clear" w:color="auto" w:fill="DCE2EF"/>
          </w:tcPr>
          <w:p>
            <w:pPr>
              <w:spacing w:after="0"/>
              <w:rPr>
                <w:sz w:val="21"/>
                <w:szCs w:val="21"/>
                <w:color w:val="auto"/>
              </w:rPr>
            </w:pPr>
          </w:p>
        </w:tc>
        <w:tc>
          <w:tcPr>
            <w:tcW w:w="380" w:type="dxa"/>
            <w:vAlign w:val="bottom"/>
            <w:gridSpan w:val="3"/>
            <w:shd w:val="clear" w:color="auto" w:fill="DCE2E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974.0</w:t>
            </w: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620" w:type="dxa"/>
            <w:vAlign w:val="bottom"/>
            <w:tcBorders>
              <w:top w:val="single" w:sz="8" w:color="DCE2EF"/>
            </w:tcBorders>
          </w:tcPr>
          <w:p>
            <w:pPr>
              <w:spacing w:after="0" w:line="20" w:lineRule="exact"/>
              <w:rPr>
                <w:sz w:val="1"/>
                <w:szCs w:val="1"/>
                <w:color w:val="auto"/>
              </w:rPr>
            </w:pPr>
          </w:p>
        </w:tc>
        <w:tc>
          <w:tcPr>
            <w:tcW w:w="4040" w:type="dxa"/>
            <w:vAlign w:val="bottom"/>
            <w:tcBorders>
              <w:top w:val="single" w:sz="8" w:color="DCE2EF"/>
            </w:tcBorders>
          </w:tcPr>
          <w:p>
            <w:pPr>
              <w:spacing w:after="0" w:line="20" w:lineRule="exact"/>
              <w:rPr>
                <w:sz w:val="1"/>
                <w:szCs w:val="1"/>
                <w:color w:val="auto"/>
              </w:rPr>
            </w:pPr>
          </w:p>
        </w:tc>
        <w:tc>
          <w:tcPr>
            <w:tcW w:w="94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9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0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8"/>
              </w:rPr>
              <w:t>Years Ended October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30"/>
        </w:trPr>
        <w:tc>
          <w:tcPr>
            <w:tcW w:w="70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40" w:type="dxa"/>
            <w:vAlign w:val="bottom"/>
          </w:tcPr>
          <w:p>
            <w:pPr>
              <w:spacing w:after="0"/>
              <w:rPr>
                <w:sz w:val="19"/>
                <w:szCs w:val="19"/>
                <w:color w:val="auto"/>
              </w:rPr>
            </w:pPr>
          </w:p>
        </w:tc>
        <w:tc>
          <w:tcPr>
            <w:tcW w:w="1060" w:type="dxa"/>
            <w:vAlign w:val="bottom"/>
          </w:tcPr>
          <w:p>
            <w:pPr>
              <w:jc w:val="right"/>
              <w:ind w:right="49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77"/>
              <w:spacing w:after="0"/>
              <w:rPr>
                <w:sz w:val="20"/>
                <w:szCs w:val="20"/>
                <w:color w:val="auto"/>
              </w:rPr>
            </w:pPr>
            <w:r>
              <w:rPr>
                <w:rFonts w:ascii="Arial" w:cs="Arial" w:eastAsia="Arial" w:hAnsi="Arial"/>
                <w:sz w:val="13"/>
                <w:szCs w:val="13"/>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DCE2EF"/>
          </w:tcPr>
          <w:p>
            <w:pPr>
              <w:spacing w:after="0"/>
              <w:rPr>
                <w:sz w:val="22"/>
                <w:szCs w:val="22"/>
                <w:color w:val="auto"/>
              </w:rPr>
            </w:pPr>
          </w:p>
        </w:tc>
        <w:tc>
          <w:tcPr>
            <w:tcW w:w="10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97.8</w:t>
            </w: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2"/>
                <w:szCs w:val="22"/>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57.2</w:t>
            </w:r>
          </w:p>
        </w:tc>
      </w:tr>
      <w:tr>
        <w:trPr>
          <w:trHeight w:val="272"/>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(Income) loss from discontinued operations, net of taxes</w:t>
            </w:r>
          </w:p>
        </w:tc>
        <w:tc>
          <w:tcPr>
            <w:tcW w:w="340" w:type="dxa"/>
            <w:vAlign w:val="bottom"/>
            <w:tcBorders>
              <w:bottom w:val="single" w:sz="8" w:color="auto"/>
            </w:tcBorders>
            <w:shd w:val="clear" w:color="auto" w:fill="DCE2EF"/>
          </w:tcPr>
          <w:p>
            <w:pPr>
              <w:spacing w:after="0"/>
              <w:rPr>
                <w:sz w:val="23"/>
                <w:szCs w:val="23"/>
                <w:color w:val="auto"/>
              </w:rPr>
            </w:pPr>
          </w:p>
        </w:tc>
        <w:tc>
          <w:tcPr>
            <w:tcW w:w="1060" w:type="dxa"/>
            <w:vAlign w:val="bottom"/>
            <w:tcBorders>
              <w:bottom w:val="single" w:sz="8" w:color="auto"/>
            </w:tcBorders>
            <w:shd w:val="clear" w:color="auto" w:fill="DCE2EF"/>
          </w:tcPr>
          <w:p>
            <w:pPr>
              <w:jc w:val="right"/>
              <w:ind w:right="1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040" w:type="dxa"/>
            <w:vAlign w:val="bottom"/>
            <w:tcBorders>
              <w:bottom w:val="single" w:sz="8" w:color="auto"/>
            </w:tcBorders>
            <w:shd w:val="clear" w:color="auto" w:fill="DCE2EF"/>
          </w:tcPr>
          <w:p>
            <w:pPr>
              <w:jc w:val="right"/>
              <w:ind w:right="37"/>
              <w:spacing w:after="0"/>
              <w:rPr>
                <w:sz w:val="20"/>
                <w:szCs w:val="20"/>
                <w:color w:val="auto"/>
              </w:rPr>
            </w:pPr>
            <w:r>
              <w:rPr>
                <w:rFonts w:ascii="Arial" w:cs="Arial" w:eastAsia="Arial" w:hAnsi="Arial"/>
                <w:sz w:val="13"/>
                <w:szCs w:val="13"/>
                <w:color w:val="auto"/>
              </w:rPr>
              <w:t>74.3</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040" w:type="dxa"/>
            <w:vAlign w:val="bottom"/>
            <w:tcBorders>
              <w:bottom w:val="single" w:sz="8" w:color="auto"/>
            </w:tcBorders>
            <w:shd w:val="clear" w:color="auto" w:fill="DCE2EF"/>
          </w:tcPr>
          <w:p>
            <w:pPr>
              <w:jc w:val="right"/>
              <w:ind w:right="37"/>
              <w:spacing w:after="0"/>
              <w:rPr>
                <w:sz w:val="20"/>
                <w:szCs w:val="20"/>
                <w:color w:val="auto"/>
              </w:rPr>
            </w:pPr>
            <w:r>
              <w:rPr>
                <w:rFonts w:ascii="Arial" w:cs="Arial" w:eastAsia="Arial" w:hAnsi="Arial"/>
                <w:sz w:val="13"/>
                <w:szCs w:val="13"/>
                <w:color w:val="auto"/>
              </w:rPr>
              <w:t>5.1</w:t>
            </w:r>
          </w:p>
        </w:tc>
      </w:tr>
      <w:tr>
        <w:trPr>
          <w:trHeight w:val="249"/>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Income from continuing operations</w:t>
            </w:r>
          </w:p>
        </w:tc>
        <w:tc>
          <w:tcPr>
            <w:tcW w:w="3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95.9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62.3</w:t>
            </w:r>
          </w:p>
        </w:tc>
      </w:tr>
      <w:tr>
        <w:trPr>
          <w:trHeight w:val="148"/>
        </w:trPr>
        <w:tc>
          <w:tcPr>
            <w:tcW w:w="7080" w:type="dxa"/>
            <w:vAlign w:val="bottom"/>
            <w:gridSpan w:val="3"/>
            <w:shd w:val="clear" w:color="auto" w:fill="DCE2EF"/>
          </w:tcPr>
          <w:p>
            <w:pPr>
              <w:ind w:left="40"/>
              <w:spacing w:after="0" w:line="148" w:lineRule="exact"/>
              <w:rPr>
                <w:sz w:val="20"/>
                <w:szCs w:val="20"/>
                <w:color w:val="auto"/>
              </w:rPr>
            </w:pPr>
            <w:r>
              <w:rPr>
                <w:rFonts w:ascii="Arial" w:cs="Arial" w:eastAsia="Arial" w:hAnsi="Arial"/>
                <w:sz w:val="13"/>
                <w:szCs w:val="13"/>
                <w:b w:val="1"/>
                <w:bCs w:val="1"/>
                <w:color w:val="auto"/>
              </w:rPr>
              <w:t>Adjustments to reconcile income from continuing operations to net cash provided by operating activities of</w:t>
            </w:r>
          </w:p>
        </w:tc>
        <w:tc>
          <w:tcPr>
            <w:tcW w:w="340" w:type="dxa"/>
            <w:vAlign w:val="bottom"/>
            <w:shd w:val="clear" w:color="auto" w:fill="DCE2EF"/>
          </w:tcPr>
          <w:p>
            <w:pPr>
              <w:spacing w:after="0"/>
              <w:rPr>
                <w:sz w:val="12"/>
                <w:szCs w:val="12"/>
                <w:color w:val="auto"/>
              </w:rPr>
            </w:pPr>
          </w:p>
        </w:tc>
        <w:tc>
          <w:tcPr>
            <w:tcW w:w="106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320" w:type="dxa"/>
            <w:vAlign w:val="bottom"/>
            <w:shd w:val="clear" w:color="auto" w:fill="DCE2EF"/>
          </w:tcPr>
          <w:p>
            <w:pPr>
              <w:spacing w:after="0"/>
              <w:rPr>
                <w:sz w:val="12"/>
                <w:szCs w:val="12"/>
                <w:color w:val="auto"/>
              </w:rPr>
            </w:pPr>
          </w:p>
        </w:tc>
        <w:tc>
          <w:tcPr>
            <w:tcW w:w="104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20" w:type="dxa"/>
            <w:vAlign w:val="bottom"/>
            <w:shd w:val="clear" w:color="auto" w:fill="DCE2EF"/>
          </w:tcPr>
          <w:p>
            <w:pPr>
              <w:spacing w:after="0"/>
              <w:rPr>
                <w:sz w:val="12"/>
                <w:szCs w:val="12"/>
                <w:color w:val="auto"/>
              </w:rPr>
            </w:pPr>
          </w:p>
        </w:tc>
        <w:tc>
          <w:tcPr>
            <w:tcW w:w="1040" w:type="dxa"/>
            <w:vAlign w:val="bottom"/>
            <w:shd w:val="clear" w:color="auto" w:fill="DCE2EF"/>
          </w:tcPr>
          <w:p>
            <w:pPr>
              <w:spacing w:after="0"/>
              <w:rPr>
                <w:sz w:val="12"/>
                <w:szCs w:val="12"/>
                <w:color w:val="auto"/>
              </w:rPr>
            </w:pPr>
          </w:p>
        </w:tc>
      </w:tr>
      <w:tr>
        <w:trPr>
          <w:trHeight w:val="184"/>
        </w:trPr>
        <w:tc>
          <w:tcPr>
            <w:tcW w:w="4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160"/>
              <w:spacing w:after="0"/>
              <w:rPr>
                <w:sz w:val="20"/>
                <w:szCs w:val="20"/>
                <w:color w:val="auto"/>
              </w:rPr>
            </w:pPr>
            <w:r>
              <w:rPr>
                <w:rFonts w:ascii="Arial" w:cs="Arial" w:eastAsia="Arial" w:hAnsi="Arial"/>
                <w:sz w:val="13"/>
                <w:szCs w:val="13"/>
                <w:b w:val="1"/>
                <w:bCs w:val="1"/>
                <w:color w:val="auto"/>
              </w:rPr>
              <w:t>continuing operations</w:t>
            </w: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40" w:type="dxa"/>
            <w:vAlign w:val="bottom"/>
            <w:shd w:val="clear" w:color="auto" w:fill="DCE2EF"/>
          </w:tcPr>
          <w:p>
            <w:pPr>
              <w:spacing w:after="0"/>
              <w:rPr>
                <w:sz w:val="16"/>
                <w:szCs w:val="16"/>
                <w:color w:val="auto"/>
              </w:rPr>
            </w:pP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70.1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57.5</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Proceeds from termination of interest rate swaps</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25.9</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140" w:type="dxa"/>
            <w:vAlign w:val="bottom"/>
            <w:gridSpan w:val="2"/>
            <w:shd w:val="clear" w:color="auto" w:fill="DCE2E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Impairment loss (recovery)</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22.5</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Deferred income taxes</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17"/>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(3.7)</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Share-based compensation expense</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14.0</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Provision for bad debt</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6.4</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12.9</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Discount accretion on insurance claims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0.3</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Loss (gain) on sale of assets</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(0.2)</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Income from unconsolidated affiliates, net</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Distributions from unconsolidated affiliates</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8.2</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Changes in operating assets and liabilities, net of effects of acquisitions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40" w:type="dxa"/>
            <w:vAlign w:val="bottom"/>
            <w:shd w:val="clear" w:color="auto" w:fill="DCE2EF"/>
          </w:tcPr>
          <w:p>
            <w:pPr>
              <w:spacing w:after="0"/>
              <w:rPr>
                <w:sz w:val="24"/>
                <w:szCs w:val="24"/>
                <w:color w:val="auto"/>
              </w:rPr>
            </w:pPr>
          </w:p>
        </w:tc>
        <w:tc>
          <w:tcPr>
            <w:tcW w:w="7040" w:type="dxa"/>
            <w:vAlign w:val="bottom"/>
            <w:gridSpan w:val="2"/>
            <w:shd w:val="clear" w:color="auto" w:fill="DCE2EF"/>
          </w:tcPr>
          <w:p>
            <w:pPr>
              <w:ind w:left="340"/>
              <w:spacing w:after="0"/>
              <w:rPr>
                <w:sz w:val="20"/>
                <w:szCs w:val="20"/>
                <w:color w:val="auto"/>
              </w:rPr>
            </w:pPr>
            <w:r>
              <w:rPr>
                <w:rFonts w:ascii="Arial" w:cs="Arial" w:eastAsia="Arial" w:hAnsi="Arial"/>
                <w:sz w:val="13"/>
                <w:szCs w:val="13"/>
                <w:color w:val="auto"/>
              </w:rPr>
              <w:t>Trade accounts receivable</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(115.7)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(80.9)</w:t>
            </w:r>
          </w:p>
        </w:tc>
      </w:tr>
      <w:tr>
        <w:trPr>
          <w:trHeight w:val="262"/>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0" w:type="dxa"/>
            <w:vAlign w:val="bottom"/>
            <w:shd w:val="clear" w:color="auto" w:fill="DCE2EF"/>
          </w:tcPr>
          <w:p>
            <w:pPr>
              <w:spacing w:after="0"/>
              <w:rPr>
                <w:sz w:val="24"/>
                <w:szCs w:val="24"/>
                <w:color w:val="auto"/>
              </w:rPr>
            </w:pPr>
          </w:p>
        </w:tc>
        <w:tc>
          <w:tcPr>
            <w:tcW w:w="7040" w:type="dxa"/>
            <w:vAlign w:val="bottom"/>
            <w:gridSpan w:val="2"/>
            <w:shd w:val="clear" w:color="auto" w:fill="DCE2EF"/>
          </w:tcPr>
          <w:p>
            <w:pPr>
              <w:ind w:left="340"/>
              <w:spacing w:after="0"/>
              <w:rPr>
                <w:sz w:val="20"/>
                <w:szCs w:val="20"/>
                <w:color w:val="auto"/>
              </w:rPr>
            </w:pPr>
            <w:r>
              <w:rPr>
                <w:rFonts w:ascii="Arial" w:cs="Arial" w:eastAsia="Arial" w:hAnsi="Arial"/>
                <w:sz w:val="13"/>
                <w:szCs w:val="13"/>
                <w:color w:val="auto"/>
              </w:rPr>
              <w:t>Other noncurrent assets</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(29.5)</w:t>
            </w:r>
          </w:p>
        </w:tc>
      </w:tr>
      <w:tr>
        <w:trPr>
          <w:trHeight w:val="262"/>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3"/>
                <w:szCs w:val="13"/>
                <w:color w:val="auto"/>
              </w:rPr>
              <w:t>Trade accounts payable and other accrued liabilities</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15.4</w:t>
            </w:r>
          </w:p>
        </w:tc>
      </w:tr>
      <w:tr>
        <w:trPr>
          <w:trHeight w:val="278"/>
        </w:trPr>
        <w:tc>
          <w:tcPr>
            <w:tcW w:w="40" w:type="dxa"/>
            <w:vAlign w:val="bottom"/>
            <w:shd w:val="clear" w:color="auto" w:fill="DCE2EF"/>
          </w:tcPr>
          <w:p>
            <w:pPr>
              <w:spacing w:after="0"/>
              <w:rPr>
                <w:sz w:val="24"/>
                <w:szCs w:val="24"/>
                <w:color w:val="auto"/>
              </w:rPr>
            </w:pPr>
          </w:p>
        </w:tc>
        <w:tc>
          <w:tcPr>
            <w:tcW w:w="7040" w:type="dxa"/>
            <w:vAlign w:val="bottom"/>
            <w:gridSpan w:val="2"/>
            <w:shd w:val="clear" w:color="auto" w:fill="DCE2EF"/>
          </w:tcPr>
          <w:p>
            <w:pPr>
              <w:ind w:left="340"/>
              <w:spacing w:after="0"/>
              <w:rPr>
                <w:sz w:val="20"/>
                <w:szCs w:val="20"/>
                <w:color w:val="auto"/>
              </w:rPr>
            </w:pPr>
            <w:r>
              <w:rPr>
                <w:rFonts w:ascii="Arial" w:cs="Arial" w:eastAsia="Arial" w:hAnsi="Arial"/>
                <w:sz w:val="13"/>
                <w:szCs w:val="13"/>
                <w:color w:val="auto"/>
              </w:rPr>
              <w:t>Insurance claims</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33.6</w:t>
            </w:r>
          </w:p>
        </w:tc>
      </w:tr>
      <w:tr>
        <w:trPr>
          <w:trHeight w:val="262"/>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3"/>
                <w:szCs w:val="13"/>
                <w:color w:val="auto"/>
              </w:rPr>
              <w:t>Income taxes payable</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0.5</w:t>
            </w:r>
          </w:p>
        </w:tc>
      </w:tr>
      <w:tr>
        <w:trPr>
          <w:trHeight w:val="272"/>
        </w:trPr>
        <w:tc>
          <w:tcPr>
            <w:tcW w:w="40" w:type="dxa"/>
            <w:vAlign w:val="bottom"/>
            <w:shd w:val="clear" w:color="auto" w:fill="DCE2EF"/>
          </w:tcPr>
          <w:p>
            <w:pPr>
              <w:spacing w:after="0"/>
              <w:rPr>
                <w:sz w:val="23"/>
                <w:szCs w:val="23"/>
                <w:color w:val="auto"/>
              </w:rPr>
            </w:pPr>
          </w:p>
        </w:tc>
        <w:tc>
          <w:tcPr>
            <w:tcW w:w="7040" w:type="dxa"/>
            <w:vAlign w:val="bottom"/>
            <w:gridSpan w:val="2"/>
            <w:shd w:val="clear" w:color="auto" w:fill="DCE2EF"/>
          </w:tcPr>
          <w:p>
            <w:pPr>
              <w:ind w:left="340"/>
              <w:spacing w:after="0"/>
              <w:rPr>
                <w:sz w:val="20"/>
                <w:szCs w:val="20"/>
                <w:color w:val="auto"/>
              </w:rPr>
            </w:pPr>
            <w:r>
              <w:rPr>
                <w:rFonts w:ascii="Arial" w:cs="Arial" w:eastAsia="Arial" w:hAnsi="Arial"/>
                <w:sz w:val="13"/>
                <w:szCs w:val="13"/>
                <w:color w:val="auto"/>
              </w:rPr>
              <w:t>Other noncurrent liabilities</w:t>
            </w:r>
          </w:p>
        </w:tc>
        <w:tc>
          <w:tcPr>
            <w:tcW w:w="340" w:type="dxa"/>
            <w:vAlign w:val="bottom"/>
            <w:tcBorders>
              <w:bottom w:val="single" w:sz="8" w:color="auto"/>
            </w:tcBorders>
            <w:shd w:val="clear" w:color="auto" w:fill="DCE2EF"/>
          </w:tcPr>
          <w:p>
            <w:pPr>
              <w:spacing w:after="0"/>
              <w:rPr>
                <w:sz w:val="23"/>
                <w:szCs w:val="23"/>
                <w:color w:val="auto"/>
              </w:rPr>
            </w:pPr>
          </w:p>
        </w:tc>
        <w:tc>
          <w:tcPr>
            <w:tcW w:w="1060" w:type="dxa"/>
            <w:vAlign w:val="bottom"/>
            <w:tcBorders>
              <w:bottom w:val="single" w:sz="8" w:color="auto"/>
            </w:tcBorders>
            <w:shd w:val="clear" w:color="auto" w:fill="DCE2EF"/>
          </w:tcPr>
          <w:p>
            <w:pPr>
              <w:jc w:val="right"/>
              <w:ind w:right="1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040" w:type="dxa"/>
            <w:vAlign w:val="bottom"/>
            <w:tcBorders>
              <w:bottom w:val="single" w:sz="8" w:color="auto"/>
            </w:tcBorders>
            <w:shd w:val="clear" w:color="auto" w:fill="DCE2EF"/>
          </w:tcPr>
          <w:p>
            <w:pPr>
              <w:jc w:val="right"/>
              <w:ind w:right="37"/>
              <w:spacing w:after="0"/>
              <w:rPr>
                <w:sz w:val="20"/>
                <w:szCs w:val="20"/>
                <w:color w:val="auto"/>
              </w:rPr>
            </w:pPr>
            <w:r>
              <w:rPr>
                <w:rFonts w:ascii="Arial" w:cs="Arial" w:eastAsia="Arial" w:hAnsi="Arial"/>
                <w:sz w:val="13"/>
                <w:szCs w:val="13"/>
                <w:color w:val="auto"/>
              </w:rPr>
              <w:t>6.0</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040" w:type="dxa"/>
            <w:vAlign w:val="bottom"/>
            <w:tcBorders>
              <w:bottom w:val="single" w:sz="8" w:color="auto"/>
            </w:tcBorders>
            <w:shd w:val="clear" w:color="auto" w:fill="DCE2EF"/>
          </w:tcPr>
          <w:p>
            <w:pPr>
              <w:jc w:val="right"/>
              <w:ind w:right="37"/>
              <w:spacing w:after="0"/>
              <w:rPr>
                <w:sz w:val="20"/>
                <w:szCs w:val="20"/>
                <w:color w:val="auto"/>
              </w:rPr>
            </w:pPr>
            <w:r>
              <w:rPr>
                <w:rFonts w:ascii="Arial" w:cs="Arial" w:eastAsia="Arial" w:hAnsi="Arial"/>
                <w:sz w:val="13"/>
                <w:szCs w:val="13"/>
                <w:color w:val="auto"/>
              </w:rPr>
              <w:t>5.2</w:t>
            </w:r>
          </w:p>
        </w:tc>
      </w:tr>
      <w:tr>
        <w:trPr>
          <w:trHeight w:val="250"/>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3"/>
                <w:szCs w:val="13"/>
                <w:color w:val="auto"/>
              </w:rPr>
              <w:t>Total adjustments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203.7</w:t>
            </w:r>
          </w:p>
        </w:tc>
        <w:tc>
          <w:tcPr>
            <w:tcW w:w="120" w:type="dxa"/>
            <w:vAlign w:val="bottom"/>
            <w:tcBorders>
              <w:bottom w:val="single" w:sz="8" w:color="DCE2E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23.6</w:t>
            </w:r>
          </w:p>
        </w:tc>
        <w:tc>
          <w:tcPr>
            <w:tcW w:w="100" w:type="dxa"/>
            <w:vAlign w:val="bottom"/>
            <w:tcBorders>
              <w:bottom w:val="single" w:sz="8" w:color="DCE2E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48.2</w:t>
            </w:r>
          </w:p>
        </w:tc>
      </w:tr>
      <w:tr>
        <w:trPr>
          <w:trHeight w:val="257"/>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Net cash provided by operating activities of continuing operations</w:t>
            </w:r>
          </w:p>
        </w:tc>
        <w:tc>
          <w:tcPr>
            <w:tcW w:w="340" w:type="dxa"/>
            <w:vAlign w:val="bottom"/>
            <w:shd w:val="clear" w:color="auto" w:fill="DCE2EF"/>
          </w:tcPr>
          <w:p>
            <w:pPr>
              <w:spacing w:after="0"/>
              <w:rPr>
                <w:sz w:val="22"/>
                <w:szCs w:val="22"/>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299.7</w:t>
            </w:r>
          </w:p>
        </w:tc>
        <w:tc>
          <w:tcPr>
            <w:tcW w:w="12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101.7</w:t>
            </w: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110.5</w:t>
            </w:r>
          </w:p>
        </w:tc>
      </w:tr>
      <w:tr>
        <w:trPr>
          <w:trHeight w:val="264"/>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3"/>
                <w:szCs w:val="13"/>
                <w:color w:val="auto"/>
              </w:rPr>
              <w:t>Net cash provided by (used in) operating activities of discontinued operations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21.2</w:t>
            </w:r>
          </w:p>
        </w:tc>
        <w:tc>
          <w:tcPr>
            <w:tcW w:w="120" w:type="dxa"/>
            <w:vAlign w:val="bottom"/>
            <w:tcBorders>
              <w:bottom w:val="single" w:sz="8" w:color="DCE2E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w:t>
            </w:r>
          </w:p>
        </w:tc>
        <w:tc>
          <w:tcPr>
            <w:tcW w:w="100" w:type="dxa"/>
            <w:vAlign w:val="bottom"/>
            <w:tcBorders>
              <w:bottom w:val="single" w:sz="8" w:color="DCE2E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w:t>
            </w:r>
          </w:p>
        </w:tc>
      </w:tr>
      <w:tr>
        <w:trPr>
          <w:trHeight w:val="257"/>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b w:val="1"/>
                <w:bCs w:val="1"/>
                <w:color w:val="auto"/>
              </w:rPr>
              <w:t>Net cash provided by operating activities</w:t>
            </w:r>
          </w:p>
        </w:tc>
        <w:tc>
          <w:tcPr>
            <w:tcW w:w="340" w:type="dxa"/>
            <w:vAlign w:val="bottom"/>
            <w:tcBorders>
              <w:bottom w:val="single" w:sz="8" w:color="auto"/>
            </w:tcBorders>
            <w:shd w:val="clear" w:color="auto" w:fill="DCE2EF"/>
          </w:tcPr>
          <w:p>
            <w:pPr>
              <w:spacing w:after="0"/>
              <w:rPr>
                <w:sz w:val="22"/>
                <w:szCs w:val="22"/>
                <w:color w:val="auto"/>
              </w:rPr>
            </w:pPr>
          </w:p>
        </w:tc>
        <w:tc>
          <w:tcPr>
            <w:tcW w:w="1060" w:type="dxa"/>
            <w:vAlign w:val="bottom"/>
            <w:tcBorders>
              <w:bottom w:val="single" w:sz="8" w:color="auto"/>
            </w:tcBorders>
            <w:shd w:val="clear" w:color="auto" w:fill="DCE2EF"/>
          </w:tcPr>
          <w:p>
            <w:pPr>
              <w:jc w:val="right"/>
              <w:ind w:right="57"/>
              <w:spacing w:after="0"/>
              <w:rPr>
                <w:sz w:val="20"/>
                <w:szCs w:val="20"/>
                <w:color w:val="auto"/>
              </w:rPr>
            </w:pPr>
            <w:r>
              <w:rPr>
                <w:rFonts w:ascii="Arial" w:cs="Arial" w:eastAsia="Arial" w:hAnsi="Arial"/>
                <w:sz w:val="13"/>
                <w:szCs w:val="13"/>
                <w:color w:val="auto"/>
              </w:rPr>
              <w:t>320.9</w:t>
            </w:r>
          </w:p>
        </w:tc>
        <w:tc>
          <w:tcPr>
            <w:tcW w:w="120" w:type="dxa"/>
            <w:vAlign w:val="bottom"/>
            <w:shd w:val="clear" w:color="auto" w:fill="DCE2EF"/>
          </w:tcPr>
          <w:p>
            <w:pPr>
              <w:spacing w:after="0"/>
              <w:rPr>
                <w:sz w:val="22"/>
                <w:szCs w:val="22"/>
                <w:color w:val="auto"/>
              </w:rPr>
            </w:pPr>
          </w:p>
        </w:tc>
        <w:tc>
          <w:tcPr>
            <w:tcW w:w="320" w:type="dxa"/>
            <w:vAlign w:val="bottom"/>
            <w:tcBorders>
              <w:bottom w:val="single" w:sz="8" w:color="auto"/>
            </w:tcBorders>
            <w:shd w:val="clear" w:color="auto" w:fill="DCE2EF"/>
          </w:tcPr>
          <w:p>
            <w:pPr>
              <w:spacing w:after="0"/>
              <w:rPr>
                <w:sz w:val="22"/>
                <w:szCs w:val="22"/>
                <w:color w:val="auto"/>
              </w:rPr>
            </w:pPr>
          </w:p>
        </w:tc>
        <w:tc>
          <w:tcPr>
            <w:tcW w:w="1040" w:type="dxa"/>
            <w:vAlign w:val="bottom"/>
            <w:tcBorders>
              <w:bottom w:val="single" w:sz="8" w:color="auto"/>
            </w:tcBorders>
            <w:shd w:val="clear" w:color="auto" w:fill="DCE2EF"/>
          </w:tcPr>
          <w:p>
            <w:pPr>
              <w:jc w:val="right"/>
              <w:ind w:right="37"/>
              <w:spacing w:after="0"/>
              <w:rPr>
                <w:sz w:val="20"/>
                <w:szCs w:val="20"/>
                <w:color w:val="auto"/>
              </w:rPr>
            </w:pPr>
            <w:r>
              <w:rPr>
                <w:rFonts w:ascii="Arial" w:cs="Arial" w:eastAsia="Arial" w:hAnsi="Arial"/>
                <w:sz w:val="13"/>
                <w:szCs w:val="13"/>
                <w:color w:val="auto"/>
              </w:rPr>
              <w:t>5.6</w:t>
            </w:r>
          </w:p>
        </w:tc>
        <w:tc>
          <w:tcPr>
            <w:tcW w:w="100" w:type="dxa"/>
            <w:vAlign w:val="bottom"/>
            <w:shd w:val="clear" w:color="auto" w:fill="DCE2EF"/>
          </w:tcPr>
          <w:p>
            <w:pPr>
              <w:spacing w:after="0"/>
              <w:rPr>
                <w:sz w:val="22"/>
                <w:szCs w:val="22"/>
                <w:color w:val="auto"/>
              </w:rPr>
            </w:pPr>
          </w:p>
        </w:tc>
        <w:tc>
          <w:tcPr>
            <w:tcW w:w="320" w:type="dxa"/>
            <w:vAlign w:val="bottom"/>
            <w:tcBorders>
              <w:bottom w:val="single" w:sz="8" w:color="auto"/>
            </w:tcBorders>
            <w:shd w:val="clear" w:color="auto" w:fill="DCE2EF"/>
          </w:tcPr>
          <w:p>
            <w:pPr>
              <w:spacing w:after="0"/>
              <w:rPr>
                <w:sz w:val="22"/>
                <w:szCs w:val="22"/>
                <w:color w:val="auto"/>
              </w:rPr>
            </w:pPr>
          </w:p>
        </w:tc>
        <w:tc>
          <w:tcPr>
            <w:tcW w:w="1040" w:type="dxa"/>
            <w:vAlign w:val="bottom"/>
            <w:tcBorders>
              <w:bottom w:val="single" w:sz="8" w:color="auto"/>
            </w:tcBorders>
            <w:shd w:val="clear" w:color="auto" w:fill="DCE2EF"/>
          </w:tcPr>
          <w:p>
            <w:pPr>
              <w:jc w:val="right"/>
              <w:ind w:right="37"/>
              <w:spacing w:after="0"/>
              <w:rPr>
                <w:sz w:val="20"/>
                <w:szCs w:val="20"/>
                <w:color w:val="auto"/>
              </w:rPr>
            </w:pPr>
            <w:r>
              <w:rPr>
                <w:rFonts w:ascii="Arial" w:cs="Arial" w:eastAsia="Arial" w:hAnsi="Arial"/>
                <w:sz w:val="13"/>
                <w:szCs w:val="13"/>
                <w:color w:val="auto"/>
              </w:rPr>
              <w:t>83.5</w:t>
            </w:r>
          </w:p>
        </w:tc>
      </w:tr>
      <w:tr>
        <w:trPr>
          <w:trHeight w:val="256"/>
        </w:trPr>
        <w:tc>
          <w:tcPr>
            <w:tcW w:w="7080" w:type="dxa"/>
            <w:vAlign w:val="bottom"/>
            <w:gridSpan w:val="3"/>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Additions to property, plant and equipment</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17"/>
              <w:spacing w:after="0"/>
              <w:rPr>
                <w:sz w:val="20"/>
                <w:szCs w:val="20"/>
                <w:color w:val="auto"/>
              </w:rPr>
            </w:pPr>
            <w:r>
              <w:rPr>
                <w:rFonts w:ascii="Arial" w:cs="Arial" w:eastAsia="Arial" w:hAnsi="Arial"/>
                <w:sz w:val="13"/>
                <w:szCs w:val="13"/>
                <w:color w:val="auto"/>
              </w:rPr>
              <w:t>(50.9)</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(57.2)</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(44.0)</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Proceeds from sale of assets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3.3</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(Adjustments to) and proceeds from sale of business</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1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Purchase of businesses, net of cash acquired</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(853.6)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(96.0)</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Proceeds from redemption of auction rate security</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140" w:type="dxa"/>
            <w:vAlign w:val="bottom"/>
            <w:gridSpan w:val="2"/>
            <w:shd w:val="clear" w:color="auto" w:fill="DCE2E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5.0</w:t>
            </w:r>
          </w:p>
        </w:tc>
      </w:tr>
      <w:tr>
        <w:trPr>
          <w:trHeight w:val="264"/>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3"/>
                <w:szCs w:val="13"/>
                <w:color w:val="auto"/>
              </w:rPr>
              <w:t>Investments in unconsolidated affiliates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DCE2E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DCE2E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Net cash used in investing activities of continuing operations</w:t>
            </w:r>
          </w:p>
        </w:tc>
        <w:tc>
          <w:tcPr>
            <w:tcW w:w="340" w:type="dxa"/>
            <w:vAlign w:val="bottom"/>
            <w:shd w:val="clear" w:color="auto" w:fill="DCE2EF"/>
          </w:tcPr>
          <w:p>
            <w:pPr>
              <w:spacing w:after="0"/>
              <w:rPr>
                <w:sz w:val="22"/>
                <w:szCs w:val="22"/>
                <w:color w:val="auto"/>
              </w:rPr>
            </w:pPr>
          </w:p>
        </w:tc>
        <w:tc>
          <w:tcPr>
            <w:tcW w:w="1060" w:type="dxa"/>
            <w:vAlign w:val="bottom"/>
            <w:shd w:val="clear" w:color="auto" w:fill="DCE2EF"/>
          </w:tcPr>
          <w:p>
            <w:pPr>
              <w:jc w:val="right"/>
              <w:ind w:right="17"/>
              <w:spacing w:after="0"/>
              <w:rPr>
                <w:sz w:val="20"/>
                <w:szCs w:val="20"/>
                <w:color w:val="auto"/>
              </w:rPr>
            </w:pPr>
            <w:r>
              <w:rPr>
                <w:rFonts w:ascii="Arial" w:cs="Arial" w:eastAsia="Arial" w:hAnsi="Arial"/>
                <w:sz w:val="13"/>
                <w:szCs w:val="13"/>
                <w:color w:val="auto"/>
              </w:rPr>
              <w:t>(48.1)</w:t>
            </w:r>
          </w:p>
        </w:tc>
        <w:tc>
          <w:tcPr>
            <w:tcW w:w="12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(871.8)</w:t>
            </w: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(131.7)</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Net cash used in investing activities of discontinued operations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257"/>
        </w:trPr>
        <w:tc>
          <w:tcPr>
            <w:tcW w:w="7080" w:type="dxa"/>
            <w:vAlign w:val="bottom"/>
            <w:tcBorders>
              <w:top w:val="single" w:sz="8" w:color="DCE2EF"/>
            </w:tcBorders>
            <w:gridSpan w:val="3"/>
            <w:shd w:val="clear" w:color="auto" w:fill="DCE2EF"/>
          </w:tcPr>
          <w:p>
            <w:pPr>
              <w:ind w:left="40"/>
              <w:spacing w:after="0"/>
              <w:rPr>
                <w:sz w:val="20"/>
                <w:szCs w:val="20"/>
                <w:color w:val="auto"/>
              </w:rPr>
            </w:pPr>
            <w:r>
              <w:rPr>
                <w:rFonts w:ascii="Arial" w:cs="Arial" w:eastAsia="Arial" w:hAnsi="Arial"/>
                <w:sz w:val="13"/>
                <w:szCs w:val="13"/>
                <w:b w:val="1"/>
                <w:bCs w:val="1"/>
                <w:color w:val="auto"/>
              </w:rPr>
              <w:t>Net cash used in investing activities</w:t>
            </w:r>
          </w:p>
        </w:tc>
        <w:tc>
          <w:tcPr>
            <w:tcW w:w="340" w:type="dxa"/>
            <w:vAlign w:val="bottom"/>
            <w:tcBorders>
              <w:top w:val="single" w:sz="8" w:color="auto"/>
              <w:bottom w:val="single" w:sz="8" w:color="auto"/>
            </w:tcBorders>
            <w:shd w:val="clear" w:color="auto" w:fill="DCE2EF"/>
          </w:tcPr>
          <w:p>
            <w:pPr>
              <w:spacing w:after="0"/>
              <w:rPr>
                <w:sz w:val="22"/>
                <w:szCs w:val="22"/>
                <w:color w:val="auto"/>
              </w:rPr>
            </w:pPr>
          </w:p>
        </w:tc>
        <w:tc>
          <w:tcPr>
            <w:tcW w:w="1060" w:type="dxa"/>
            <w:vAlign w:val="bottom"/>
            <w:tcBorders>
              <w:top w:val="single" w:sz="8" w:color="auto"/>
              <w:bottom w:val="single" w:sz="8" w:color="auto"/>
            </w:tcBorders>
            <w:shd w:val="clear" w:color="auto" w:fill="DCE2EF"/>
          </w:tcPr>
          <w:p>
            <w:pPr>
              <w:jc w:val="right"/>
              <w:ind w:right="17"/>
              <w:spacing w:after="0"/>
              <w:rPr>
                <w:sz w:val="20"/>
                <w:szCs w:val="20"/>
                <w:color w:val="auto"/>
              </w:rPr>
            </w:pPr>
            <w:r>
              <w:rPr>
                <w:rFonts w:ascii="Arial" w:cs="Arial" w:eastAsia="Arial" w:hAnsi="Arial"/>
                <w:sz w:val="13"/>
                <w:szCs w:val="13"/>
                <w:color w:val="auto"/>
              </w:rPr>
              <w:t>(48.1)</w:t>
            </w:r>
          </w:p>
        </w:tc>
        <w:tc>
          <w:tcPr>
            <w:tcW w:w="120" w:type="dxa"/>
            <w:vAlign w:val="bottom"/>
            <w:tcBorders>
              <w:top w:val="single" w:sz="8" w:color="DCE2EF"/>
            </w:tcBorders>
            <w:shd w:val="clear" w:color="auto" w:fill="DCE2EF"/>
          </w:tcPr>
          <w:p>
            <w:pPr>
              <w:spacing w:after="0"/>
              <w:rPr>
                <w:sz w:val="22"/>
                <w:szCs w:val="22"/>
                <w:color w:val="auto"/>
              </w:rPr>
            </w:pPr>
          </w:p>
        </w:tc>
        <w:tc>
          <w:tcPr>
            <w:tcW w:w="320" w:type="dxa"/>
            <w:vAlign w:val="bottom"/>
            <w:tcBorders>
              <w:top w:val="single" w:sz="8" w:color="auto"/>
              <w:bottom w:val="single" w:sz="8" w:color="auto"/>
            </w:tcBorders>
            <w:shd w:val="clear" w:color="auto" w:fill="DCE2EF"/>
          </w:tcPr>
          <w:p>
            <w:pPr>
              <w:spacing w:after="0"/>
              <w:rPr>
                <w:sz w:val="22"/>
                <w:szCs w:val="22"/>
                <w:color w:val="auto"/>
              </w:rPr>
            </w:pPr>
          </w:p>
        </w:tc>
        <w:tc>
          <w:tcPr>
            <w:tcW w:w="10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(871.8)</w:t>
            </w:r>
          </w:p>
        </w:tc>
        <w:tc>
          <w:tcPr>
            <w:tcW w:w="100" w:type="dxa"/>
            <w:vAlign w:val="bottom"/>
            <w:tcBorders>
              <w:top w:val="single" w:sz="8" w:color="DCE2EF"/>
            </w:tcBorders>
            <w:shd w:val="clear" w:color="auto" w:fill="DCE2EF"/>
          </w:tcPr>
          <w:p>
            <w:pPr>
              <w:spacing w:after="0"/>
              <w:rPr>
                <w:sz w:val="22"/>
                <w:szCs w:val="22"/>
                <w:color w:val="auto"/>
              </w:rPr>
            </w:pPr>
          </w:p>
        </w:tc>
        <w:tc>
          <w:tcPr>
            <w:tcW w:w="320" w:type="dxa"/>
            <w:vAlign w:val="bottom"/>
            <w:tcBorders>
              <w:top w:val="single" w:sz="8" w:color="auto"/>
              <w:bottom w:val="single" w:sz="8" w:color="auto"/>
            </w:tcBorders>
            <w:shd w:val="clear" w:color="auto" w:fill="DCE2EF"/>
          </w:tcPr>
          <w:p>
            <w:pPr>
              <w:spacing w:after="0"/>
              <w:rPr>
                <w:sz w:val="22"/>
                <w:szCs w:val="22"/>
                <w:color w:val="auto"/>
              </w:rPr>
            </w:pPr>
          </w:p>
        </w:tc>
        <w:tc>
          <w:tcPr>
            <w:tcW w:w="10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(134.8)</w:t>
            </w:r>
          </w:p>
        </w:tc>
      </w:tr>
      <w:tr>
        <w:trPr>
          <w:trHeight w:val="256"/>
        </w:trPr>
        <w:tc>
          <w:tcPr>
            <w:tcW w:w="7080" w:type="dxa"/>
            <w:vAlign w:val="bottom"/>
            <w:gridSpan w:val="3"/>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(Taxes withheld) and proceeds from issuance of share-based compensation awards, net</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5.3</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Repurchases of common stock</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(46.6)</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Dividends paid</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17"/>
              <w:spacing w:after="0"/>
              <w:rPr>
                <w:sz w:val="20"/>
                <w:szCs w:val="20"/>
                <w:color w:val="auto"/>
              </w:rPr>
            </w:pPr>
            <w:r>
              <w:rPr>
                <w:rFonts w:ascii="Arial" w:cs="Arial" w:eastAsia="Arial" w:hAnsi="Arial"/>
                <w:sz w:val="13"/>
                <w:szCs w:val="13"/>
                <w:color w:val="auto"/>
              </w:rPr>
              <w:t>(46.0)</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(36.9)</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Deferred financing costs paid</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Borrowings from credit facility</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1,184.2</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1,880.1</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1,052.3</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Repayment of borrowings from credit facility</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(1,426.4)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(957.2)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(942.0)</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Changes in book cash overdrafts</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17"/>
              <w:spacing w:after="0"/>
              <w:rPr>
                <w:sz w:val="20"/>
                <w:szCs w:val="20"/>
                <w:color w:val="auto"/>
              </w:rPr>
            </w:pPr>
            <w:r>
              <w:rPr>
                <w:rFonts w:ascii="Arial" w:cs="Arial" w:eastAsia="Arial" w:hAnsi="Arial"/>
                <w:sz w:val="13"/>
                <w:szCs w:val="13"/>
                <w:color w:val="auto"/>
              </w:rPr>
              <w:t>(8.5)</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0.7</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Financing of energy savings performance contracts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22.6</w:t>
            </w:r>
          </w:p>
        </w:tc>
      </w:tr>
      <w:tr>
        <w:trPr>
          <w:trHeight w:val="278"/>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Payment of contingent consideration</w:t>
            </w:r>
          </w:p>
        </w:tc>
        <w:tc>
          <w:tcPr>
            <w:tcW w:w="34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(1.5)</w:t>
            </w:r>
          </w:p>
        </w:tc>
      </w:tr>
      <w:tr>
        <w:trPr>
          <w:trHeight w:val="264"/>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3"/>
                <w:szCs w:val="13"/>
                <w:color w:val="auto"/>
              </w:rPr>
              <w:t>Repayment of capital lease obligations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w:t>
            </w:r>
          </w:p>
        </w:tc>
        <w:tc>
          <w:tcPr>
            <w:tcW w:w="120" w:type="dxa"/>
            <w:vAlign w:val="bottom"/>
            <w:tcBorders>
              <w:bottom w:val="single" w:sz="8" w:color="DCE2E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DCE2E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r>
      <w:tr>
        <w:trPr>
          <w:trHeight w:val="257"/>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b w:val="1"/>
                <w:bCs w:val="1"/>
                <w:color w:val="auto"/>
              </w:rPr>
              <w:t>Net cash (used in) provided by financing activities</w:t>
            </w:r>
          </w:p>
        </w:tc>
        <w:tc>
          <w:tcPr>
            <w:tcW w:w="340" w:type="dxa"/>
            <w:vAlign w:val="bottom"/>
            <w:tcBorders>
              <w:bottom w:val="single" w:sz="8" w:color="auto"/>
            </w:tcBorders>
            <w:shd w:val="clear" w:color="auto" w:fill="DCE2EF"/>
          </w:tcPr>
          <w:p>
            <w:pPr>
              <w:spacing w:after="0"/>
              <w:rPr>
                <w:sz w:val="22"/>
                <w:szCs w:val="22"/>
                <w:color w:val="auto"/>
              </w:rPr>
            </w:pPr>
          </w:p>
        </w:tc>
        <w:tc>
          <w:tcPr>
            <w:tcW w:w="1060" w:type="dxa"/>
            <w:vAlign w:val="bottom"/>
            <w:tcBorders>
              <w:bottom w:val="single" w:sz="8" w:color="auto"/>
            </w:tcBorders>
            <w:shd w:val="clear" w:color="auto" w:fill="DCE2EF"/>
          </w:tcPr>
          <w:p>
            <w:pPr>
              <w:jc w:val="right"/>
              <w:ind w:right="17"/>
              <w:spacing w:after="0"/>
              <w:rPr>
                <w:sz w:val="20"/>
                <w:szCs w:val="20"/>
                <w:color w:val="auto"/>
              </w:rPr>
            </w:pPr>
            <w:r>
              <w:rPr>
                <w:rFonts w:ascii="Arial" w:cs="Arial" w:eastAsia="Arial" w:hAnsi="Arial"/>
                <w:sz w:val="13"/>
                <w:szCs w:val="13"/>
                <w:color w:val="auto"/>
              </w:rPr>
              <w:t>(295.8)</w:t>
            </w:r>
          </w:p>
        </w:tc>
        <w:tc>
          <w:tcPr>
            <w:tcW w:w="120" w:type="dxa"/>
            <w:vAlign w:val="bottom"/>
            <w:shd w:val="clear" w:color="auto" w:fill="DCE2EF"/>
          </w:tcPr>
          <w:p>
            <w:pPr>
              <w:spacing w:after="0"/>
              <w:rPr>
                <w:sz w:val="22"/>
                <w:szCs w:val="22"/>
                <w:color w:val="auto"/>
              </w:rPr>
            </w:pPr>
          </w:p>
        </w:tc>
        <w:tc>
          <w:tcPr>
            <w:tcW w:w="320" w:type="dxa"/>
            <w:vAlign w:val="bottom"/>
            <w:tcBorders>
              <w:bottom w:val="single" w:sz="8" w:color="auto"/>
            </w:tcBorders>
            <w:shd w:val="clear" w:color="auto" w:fill="DCE2EF"/>
          </w:tcPr>
          <w:p>
            <w:pPr>
              <w:spacing w:after="0"/>
              <w:rPr>
                <w:sz w:val="22"/>
                <w:szCs w:val="22"/>
                <w:color w:val="auto"/>
              </w:rPr>
            </w:pPr>
          </w:p>
        </w:tc>
        <w:tc>
          <w:tcPr>
            <w:tcW w:w="1040" w:type="dxa"/>
            <w:vAlign w:val="bottom"/>
            <w:tcBorders>
              <w:bottom w:val="single" w:sz="8" w:color="auto"/>
            </w:tcBorders>
            <w:shd w:val="clear" w:color="auto" w:fill="DCE2EF"/>
          </w:tcPr>
          <w:p>
            <w:pPr>
              <w:jc w:val="right"/>
              <w:ind w:right="37"/>
              <w:spacing w:after="0"/>
              <w:rPr>
                <w:sz w:val="20"/>
                <w:szCs w:val="20"/>
                <w:color w:val="auto"/>
              </w:rPr>
            </w:pPr>
            <w:r>
              <w:rPr>
                <w:rFonts w:ascii="Arial" w:cs="Arial" w:eastAsia="Arial" w:hAnsi="Arial"/>
                <w:sz w:val="13"/>
                <w:szCs w:val="13"/>
                <w:color w:val="auto"/>
              </w:rPr>
              <w:t>874.0</w:t>
            </w:r>
          </w:p>
        </w:tc>
        <w:tc>
          <w:tcPr>
            <w:tcW w:w="100" w:type="dxa"/>
            <w:vAlign w:val="bottom"/>
            <w:shd w:val="clear" w:color="auto" w:fill="DCE2EF"/>
          </w:tcPr>
          <w:p>
            <w:pPr>
              <w:spacing w:after="0"/>
              <w:rPr>
                <w:sz w:val="22"/>
                <w:szCs w:val="22"/>
                <w:color w:val="auto"/>
              </w:rPr>
            </w:pPr>
          </w:p>
        </w:tc>
        <w:tc>
          <w:tcPr>
            <w:tcW w:w="320" w:type="dxa"/>
            <w:vAlign w:val="bottom"/>
            <w:tcBorders>
              <w:bottom w:val="single" w:sz="8" w:color="auto"/>
            </w:tcBorders>
            <w:shd w:val="clear" w:color="auto" w:fill="DCE2EF"/>
          </w:tcPr>
          <w:p>
            <w:pPr>
              <w:spacing w:after="0"/>
              <w:rPr>
                <w:sz w:val="22"/>
                <w:szCs w:val="22"/>
                <w:color w:val="auto"/>
              </w:rPr>
            </w:pPr>
          </w:p>
        </w:tc>
        <w:tc>
          <w:tcPr>
            <w:tcW w:w="1040" w:type="dxa"/>
            <w:vAlign w:val="bottom"/>
            <w:tcBorders>
              <w:bottom w:val="single" w:sz="8" w:color="auto"/>
            </w:tcBorders>
            <w:shd w:val="clear" w:color="auto" w:fill="DCE2EF"/>
          </w:tcPr>
          <w:p>
            <w:pPr>
              <w:jc w:val="right"/>
              <w:ind w:right="37"/>
              <w:spacing w:after="0"/>
              <w:rPr>
                <w:sz w:val="20"/>
                <w:szCs w:val="20"/>
                <w:color w:val="auto"/>
              </w:rPr>
            </w:pPr>
            <w:r>
              <w:rPr>
                <w:rFonts w:ascii="Arial" w:cs="Arial" w:eastAsia="Arial" w:hAnsi="Arial"/>
                <w:sz w:val="13"/>
                <w:szCs w:val="13"/>
                <w:color w:val="auto"/>
              </w:rPr>
              <w:t>52.6</w:t>
            </w:r>
          </w:p>
        </w:tc>
      </w:tr>
      <w:tr>
        <w:trPr>
          <w:trHeight w:val="244"/>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3"/>
                <w:szCs w:val="13"/>
                <w:b w:val="1"/>
                <w:bCs w:val="1"/>
                <w:color w:val="auto"/>
              </w:rPr>
              <w:t>Effect of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(0.7)</w:t>
            </w:r>
          </w:p>
        </w:tc>
        <w:tc>
          <w:tcPr>
            <w:tcW w:w="120" w:type="dxa"/>
            <w:vAlign w:val="bottom"/>
            <w:tcBorders>
              <w:bottom w:val="single" w:sz="8" w:color="DCE2E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DCE2E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257"/>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color w:val="auto"/>
              </w:rPr>
              <w:t>Net (decrease) increase in cash and cash equivalents</w:t>
            </w:r>
          </w:p>
        </w:tc>
        <w:tc>
          <w:tcPr>
            <w:tcW w:w="340" w:type="dxa"/>
            <w:vAlign w:val="bottom"/>
            <w:shd w:val="clear" w:color="auto" w:fill="DCE2EF"/>
          </w:tcPr>
          <w:p>
            <w:pPr>
              <w:spacing w:after="0"/>
              <w:rPr>
                <w:sz w:val="22"/>
                <w:szCs w:val="22"/>
                <w:color w:val="auto"/>
              </w:rPr>
            </w:pPr>
          </w:p>
        </w:tc>
        <w:tc>
          <w:tcPr>
            <w:tcW w:w="1060" w:type="dxa"/>
            <w:vAlign w:val="bottom"/>
            <w:shd w:val="clear" w:color="auto" w:fill="DCE2EF"/>
          </w:tcPr>
          <w:p>
            <w:pPr>
              <w:jc w:val="right"/>
              <w:ind w:right="17"/>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9.3</w:t>
            </w: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(2.0)</w:t>
            </w:r>
          </w:p>
        </w:tc>
      </w:tr>
      <w:tr>
        <w:trPr>
          <w:trHeight w:val="264"/>
        </w:trPr>
        <w:tc>
          <w:tcPr>
            <w:tcW w:w="7080" w:type="dxa"/>
            <w:vAlign w:val="bottom"/>
            <w:tcBorders>
              <w:bottom w:val="single" w:sz="8" w:color="DCE2EF"/>
            </w:tcBorders>
            <w:gridSpan w:val="3"/>
          </w:tcPr>
          <w:p>
            <w:pPr>
              <w:ind w:left="40"/>
              <w:spacing w:after="0"/>
              <w:rPr>
                <w:sz w:val="20"/>
                <w:szCs w:val="20"/>
                <w:color w:val="auto"/>
              </w:rPr>
            </w:pPr>
            <w:r>
              <w:rPr>
                <w:rFonts w:ascii="Arial" w:cs="Arial" w:eastAsia="Arial" w:hAnsi="Arial"/>
                <w:sz w:val="13"/>
                <w:szCs w:val="13"/>
                <w:b w:val="1"/>
                <w:bCs w:val="1"/>
                <w:color w:val="auto"/>
              </w:rPr>
              <w:t>Cash and cash equivalents at beginning of year</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62.8</w:t>
            </w:r>
          </w:p>
        </w:tc>
        <w:tc>
          <w:tcPr>
            <w:tcW w:w="120" w:type="dxa"/>
            <w:vAlign w:val="bottom"/>
            <w:tcBorders>
              <w:bottom w:val="single" w:sz="8" w:color="DCE2E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53.5</w:t>
            </w:r>
          </w:p>
        </w:tc>
        <w:tc>
          <w:tcPr>
            <w:tcW w:w="100" w:type="dxa"/>
            <w:vAlign w:val="bottom"/>
            <w:tcBorders>
              <w:bottom w:val="single" w:sz="8" w:color="DCE2E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55.5</w:t>
            </w:r>
          </w:p>
        </w:tc>
      </w:tr>
      <w:tr>
        <w:trPr>
          <w:trHeight w:val="242"/>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3"/>
                <w:szCs w:val="13"/>
                <w:b w:val="1"/>
                <w:bCs w:val="1"/>
                <w:color w:val="auto"/>
              </w:rPr>
              <w:t>Cash and cash equivalents at end of year</w:t>
            </w:r>
          </w:p>
        </w:tc>
        <w:tc>
          <w:tcPr>
            <w:tcW w:w="340" w:type="dxa"/>
            <w:vAlign w:val="bottom"/>
            <w:shd w:val="clear" w:color="auto" w:fill="DCE2EF"/>
          </w:tcPr>
          <w:p>
            <w:pPr>
              <w:jc w:val="right"/>
              <w:ind w:right="177"/>
              <w:spacing w:after="0"/>
              <w:rPr>
                <w:sz w:val="20"/>
                <w:szCs w:val="20"/>
                <w:color w:val="auto"/>
              </w:rPr>
            </w:pPr>
            <w:r>
              <w:rPr>
                <w:rFonts w:ascii="Arial" w:cs="Arial" w:eastAsia="Arial" w:hAnsi="Arial"/>
                <w:sz w:val="13"/>
                <w:szCs w:val="13"/>
                <w:color w:val="auto"/>
              </w:rPr>
              <w:t>$</w:t>
            </w:r>
          </w:p>
        </w:tc>
        <w:tc>
          <w:tcPr>
            <w:tcW w:w="1060" w:type="dxa"/>
            <w:vAlign w:val="bottom"/>
            <w:shd w:val="clear" w:color="auto" w:fill="DCE2EF"/>
          </w:tcPr>
          <w:p>
            <w:pPr>
              <w:jc w:val="right"/>
              <w:ind w:right="57"/>
              <w:spacing w:after="0"/>
              <w:rPr>
                <w:sz w:val="20"/>
                <w:szCs w:val="20"/>
                <w:color w:val="auto"/>
              </w:rPr>
            </w:pPr>
            <w:r>
              <w:rPr>
                <w:rFonts w:ascii="Arial" w:cs="Arial" w:eastAsia="Arial" w:hAnsi="Arial"/>
                <w:sz w:val="13"/>
                <w:szCs w:val="13"/>
                <w:color w:val="auto"/>
              </w:rPr>
              <w:t>39.1</w:t>
            </w:r>
          </w:p>
        </w:tc>
        <w:tc>
          <w:tcPr>
            <w:tcW w:w="440" w:type="dxa"/>
            <w:vAlign w:val="bottom"/>
            <w:gridSpan w:val="2"/>
            <w:shd w:val="clear" w:color="auto" w:fill="DCE2EF"/>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shd w:val="clear" w:color="auto" w:fill="DCE2EF"/>
          </w:tcPr>
          <w:p>
            <w:pPr>
              <w:jc w:val="right"/>
              <w:ind w:right="37"/>
              <w:spacing w:after="0"/>
              <w:rPr>
                <w:sz w:val="20"/>
                <w:szCs w:val="20"/>
                <w:color w:val="auto"/>
              </w:rPr>
            </w:pPr>
            <w:r>
              <w:rPr>
                <w:rFonts w:ascii="Arial" w:cs="Arial" w:eastAsia="Arial" w:hAnsi="Arial"/>
                <w:sz w:val="13"/>
                <w:szCs w:val="13"/>
                <w:color w:val="auto"/>
              </w:rPr>
              <w:t>53.5</w:t>
            </w: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620" w:type="dxa"/>
            <w:vAlign w:val="bottom"/>
            <w:tcBorders>
              <w:top w:val="single" w:sz="8" w:color="DCE2EF"/>
            </w:tcBorders>
          </w:tcPr>
          <w:p>
            <w:pPr>
              <w:spacing w:after="0" w:line="20" w:lineRule="exact"/>
              <w:rPr>
                <w:sz w:val="1"/>
                <w:szCs w:val="1"/>
                <w:color w:val="auto"/>
              </w:rPr>
            </w:pPr>
          </w:p>
        </w:tc>
        <w:tc>
          <w:tcPr>
            <w:tcW w:w="64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22" w:right="239" w:bottom="0" w:gutter="0" w:footer="0" w:header="0"/>
        </w:sectPr>
      </w:pPr>
    </w:p>
    <w:bookmarkStart w:id="58" w:name="page59"/>
    <w:bookmarkEnd w:id="58"/>
    <w:p>
      <w:pPr>
        <w:jc w:val="center"/>
        <w:ind w:right="-20"/>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9019"/>
          </w:cols>
          <w:pgMar w:left="1440" w:top="544"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Years Ended October 31,</w:t>
            </w:r>
          </w:p>
        </w:tc>
        <w:tc>
          <w:tcPr>
            <w:tcW w:w="1040" w:type="dxa"/>
            <w:vAlign w:val="bottom"/>
            <w:tcBorders>
              <w:bottom w:val="single" w:sz="8" w:color="auto"/>
            </w:tcBorders>
          </w:tcPr>
          <w:p>
            <w:pPr>
              <w:spacing w:after="0"/>
              <w:rPr>
                <w:sz w:val="17"/>
                <w:szCs w:val="17"/>
                <w:color w:val="auto"/>
              </w:rPr>
            </w:pPr>
          </w:p>
        </w:tc>
      </w:tr>
      <w:tr>
        <w:trPr>
          <w:trHeight w:val="229"/>
        </w:trPr>
        <w:tc>
          <w:tcPr>
            <w:tcW w:w="70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20" w:type="dxa"/>
            <w:vAlign w:val="bottom"/>
          </w:tcPr>
          <w:p>
            <w:pPr>
              <w:spacing w:after="0"/>
              <w:rPr>
                <w:sz w:val="19"/>
                <w:szCs w:val="19"/>
                <w:color w:val="auto"/>
              </w:rPr>
            </w:pPr>
          </w:p>
        </w:tc>
        <w:tc>
          <w:tcPr>
            <w:tcW w:w="10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70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shd w:val="clear" w:color="auto" w:fill="DCE2EF"/>
              </w:rPr>
              <w:t>Supplemental cash flow information</w:t>
            </w:r>
          </w:p>
        </w:tc>
        <w:tc>
          <w:tcPr>
            <w:tcW w:w="320" w:type="dxa"/>
            <w:vAlign w:val="bottom"/>
            <w:tcBorders>
              <w:bottom w:val="single" w:sz="8" w:color="DCE2EF"/>
            </w:tcBorders>
            <w:shd w:val="clear" w:color="auto" w:fill="DCE2EF"/>
          </w:tcPr>
          <w:p>
            <w:pPr>
              <w:spacing w:after="0"/>
              <w:rPr>
                <w:sz w:val="21"/>
                <w:szCs w:val="21"/>
                <w:color w:val="auto"/>
              </w:rPr>
            </w:pPr>
          </w:p>
        </w:tc>
        <w:tc>
          <w:tcPr>
            <w:tcW w:w="1020" w:type="dxa"/>
            <w:vAlign w:val="bottom"/>
            <w:tcBorders>
              <w:bottom w:val="single" w:sz="8" w:color="DCE2EF"/>
            </w:tcBorders>
            <w:shd w:val="clear" w:color="auto" w:fill="DCE2EF"/>
          </w:tcPr>
          <w:p>
            <w:pPr>
              <w:spacing w:after="0"/>
              <w:rPr>
                <w:sz w:val="21"/>
                <w:szCs w:val="21"/>
                <w:color w:val="auto"/>
              </w:rPr>
            </w:pPr>
          </w:p>
        </w:tc>
        <w:tc>
          <w:tcPr>
            <w:tcW w:w="6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spacing w:after="0"/>
              <w:rPr>
                <w:sz w:val="21"/>
                <w:szCs w:val="21"/>
                <w:color w:val="auto"/>
              </w:rPr>
            </w:pPr>
          </w:p>
        </w:tc>
        <w:tc>
          <w:tcPr>
            <w:tcW w:w="104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DCE2EF"/>
            </w:tcBorders>
            <w:shd w:val="clear" w:color="auto" w:fill="DCE2EF"/>
          </w:tcPr>
          <w:p>
            <w:pPr>
              <w:spacing w:after="0"/>
              <w:rPr>
                <w:sz w:val="21"/>
                <w:szCs w:val="21"/>
                <w:color w:val="auto"/>
              </w:rPr>
            </w:pPr>
          </w:p>
        </w:tc>
        <w:tc>
          <w:tcPr>
            <w:tcW w:w="1040" w:type="dxa"/>
            <w:vAlign w:val="bottom"/>
            <w:tcBorders>
              <w:bottom w:val="single" w:sz="8" w:color="DCE2EF"/>
            </w:tcBorders>
            <w:shd w:val="clear" w:color="auto" w:fill="DCE2EF"/>
          </w:tcPr>
          <w:p>
            <w:pPr>
              <w:spacing w:after="0"/>
              <w:rPr>
                <w:sz w:val="21"/>
                <w:szCs w:val="21"/>
                <w:color w:val="auto"/>
              </w:rPr>
            </w:pP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Income tax (refunds) payments, net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w:t>
            </w:r>
          </w:p>
        </w:tc>
      </w:tr>
      <w:tr>
        <w:trPr>
          <w:trHeight w:val="256"/>
        </w:trPr>
        <w:tc>
          <w:tcPr>
            <w:tcW w:w="40" w:type="dxa"/>
            <w:vAlign w:val="bottom"/>
            <w:tcBorders>
              <w:bottom w:val="single" w:sz="8" w:color="DCE2EF"/>
            </w:tcBorders>
            <w:shd w:val="clear" w:color="auto" w:fill="DCE2EF"/>
          </w:tcPr>
          <w:p>
            <w:pPr>
              <w:spacing w:after="0"/>
              <w:rPr>
                <w:sz w:val="22"/>
                <w:szCs w:val="22"/>
                <w:color w:val="auto"/>
              </w:rPr>
            </w:pPr>
          </w:p>
        </w:tc>
        <w:tc>
          <w:tcPr>
            <w:tcW w:w="70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color w:val="auto"/>
                <w:shd w:val="clear" w:color="auto" w:fill="DCE2EF"/>
              </w:rPr>
              <w:t>Interest paid on credit facility</w:t>
            </w:r>
          </w:p>
        </w:tc>
        <w:tc>
          <w:tcPr>
            <w:tcW w:w="320" w:type="dxa"/>
            <w:vAlign w:val="bottom"/>
            <w:tcBorders>
              <w:bottom w:val="single" w:sz="8" w:color="DCE2EF"/>
            </w:tcBorders>
            <w:shd w:val="clear" w:color="auto" w:fill="DCE2EF"/>
          </w:tcPr>
          <w:p>
            <w:pPr>
              <w:spacing w:after="0"/>
              <w:rPr>
                <w:sz w:val="22"/>
                <w:szCs w:val="22"/>
                <w:color w:val="auto"/>
              </w:rPr>
            </w:pPr>
          </w:p>
        </w:tc>
        <w:tc>
          <w:tcPr>
            <w:tcW w:w="10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49.6</w:t>
            </w:r>
          </w:p>
        </w:tc>
        <w:tc>
          <w:tcPr>
            <w:tcW w:w="60" w:type="dxa"/>
            <w:vAlign w:val="bottom"/>
            <w:tcBorders>
              <w:bottom w:val="single" w:sz="8" w:color="DCE2EF"/>
            </w:tcBorders>
            <w:shd w:val="clear" w:color="auto" w:fill="DCE2EF"/>
          </w:tcPr>
          <w:p>
            <w:pPr>
              <w:spacing w:after="0"/>
              <w:rPr>
                <w:sz w:val="22"/>
                <w:szCs w:val="22"/>
                <w:color w:val="auto"/>
              </w:rPr>
            </w:pPr>
          </w:p>
        </w:tc>
        <w:tc>
          <w:tcPr>
            <w:tcW w:w="120" w:type="dxa"/>
            <w:vAlign w:val="bottom"/>
            <w:tcBorders>
              <w:bottom w:val="single" w:sz="8" w:color="DCE2EF"/>
            </w:tcBorders>
            <w:shd w:val="clear" w:color="auto" w:fill="DCE2EF"/>
          </w:tcPr>
          <w:p>
            <w:pPr>
              <w:spacing w:after="0"/>
              <w:rPr>
                <w:sz w:val="22"/>
                <w:szCs w:val="22"/>
                <w:color w:val="auto"/>
              </w:rPr>
            </w:pPr>
          </w:p>
        </w:tc>
        <w:tc>
          <w:tcPr>
            <w:tcW w:w="320" w:type="dxa"/>
            <w:vAlign w:val="bottom"/>
            <w:tcBorders>
              <w:bottom w:val="single" w:sz="8" w:color="DCE2EF"/>
            </w:tcBorders>
            <w:shd w:val="clear" w:color="auto" w:fill="DCE2EF"/>
          </w:tcPr>
          <w:p>
            <w:pPr>
              <w:spacing w:after="0"/>
              <w:rPr>
                <w:sz w:val="22"/>
                <w:szCs w:val="22"/>
                <w:color w:val="auto"/>
              </w:rPr>
            </w:pPr>
          </w:p>
        </w:tc>
        <w:tc>
          <w:tcPr>
            <w:tcW w:w="1040" w:type="dxa"/>
            <w:vAlign w:val="bottom"/>
            <w:tcBorders>
              <w:bottom w:val="single" w:sz="8" w:color="DCE2EF"/>
            </w:tcBorders>
            <w:shd w:val="clear" w:color="auto" w:fill="DCE2EF"/>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DCE2EF"/>
            </w:tcBorders>
            <w:shd w:val="clear" w:color="auto" w:fill="DCE2EF"/>
          </w:tcPr>
          <w:p>
            <w:pPr>
              <w:spacing w:after="0"/>
              <w:rPr>
                <w:sz w:val="22"/>
                <w:szCs w:val="22"/>
                <w:color w:val="auto"/>
              </w:rPr>
            </w:pPr>
          </w:p>
        </w:tc>
        <w:tc>
          <w:tcPr>
            <w:tcW w:w="320" w:type="dxa"/>
            <w:vAlign w:val="bottom"/>
            <w:tcBorders>
              <w:bottom w:val="single" w:sz="8" w:color="DCE2EF"/>
            </w:tcBorders>
            <w:shd w:val="clear" w:color="auto" w:fill="DCE2EF"/>
          </w:tcPr>
          <w:p>
            <w:pPr>
              <w:spacing w:after="0"/>
              <w:rPr>
                <w:sz w:val="22"/>
                <w:szCs w:val="22"/>
                <w:color w:val="auto"/>
              </w:rPr>
            </w:pPr>
          </w:p>
        </w:tc>
        <w:tc>
          <w:tcPr>
            <w:tcW w:w="1040" w:type="dxa"/>
            <w:vAlign w:val="bottom"/>
            <w:tcBorders>
              <w:bottom w:val="single" w:sz="8" w:color="DCE2EF"/>
            </w:tcBorders>
            <w:shd w:val="clear" w:color="auto" w:fill="DCE2EF"/>
          </w:tcPr>
          <w:p>
            <w:pPr>
              <w:jc w:val="right"/>
              <w:ind w:right="28"/>
              <w:spacing w:after="0"/>
              <w:rPr>
                <w:sz w:val="20"/>
                <w:szCs w:val="20"/>
                <w:color w:val="auto"/>
              </w:rPr>
            </w:pPr>
            <w:r>
              <w:rPr>
                <w:rFonts w:ascii="Arial" w:cs="Arial" w:eastAsia="Arial" w:hAnsi="Arial"/>
                <w:sz w:val="14"/>
                <w:szCs w:val="14"/>
                <w:color w:val="auto"/>
              </w:rPr>
              <w:t>4.4</w:t>
            </w: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320" w:type="dxa"/>
            <w:vAlign w:val="bottom"/>
            <w:shd w:val="clear" w:color="auto" w:fill="DCE2EF"/>
          </w:tcPr>
          <w:p>
            <w:pPr>
              <w:spacing w:after="0"/>
              <w:rPr>
                <w:sz w:val="23"/>
                <w:szCs w:val="23"/>
                <w:color w:val="auto"/>
              </w:rPr>
            </w:pPr>
          </w:p>
        </w:tc>
        <w:tc>
          <w:tcPr>
            <w:tcW w:w="102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040" w:type="dxa"/>
            <w:vAlign w:val="bottom"/>
            <w:shd w:val="clear" w:color="auto" w:fill="DCE2EF"/>
          </w:tcPr>
          <w:p>
            <w:pPr>
              <w:spacing w:after="0"/>
              <w:rPr>
                <w:sz w:val="23"/>
                <w:szCs w:val="23"/>
                <w:color w:val="auto"/>
              </w:rPr>
            </w:pPr>
          </w:p>
        </w:tc>
      </w:tr>
      <w:tr>
        <w:trPr>
          <w:trHeight w:val="258"/>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Stock issued in GCA acquisition, net of shares withheld for taxes</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22"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3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solutions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We are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94615</wp:posOffset>
            </wp:positionV>
            <wp:extent cx="5814695" cy="797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146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 and Principles of Consolidation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consolidated financial statements and accompanying notes (the “Financial Statements”) have been prepared in accordance with United States generally accepted accounting principles (“U.S. GAAP”) and with the rules and regulations of the Securities and Exchange Commission (“SEC”), specifically Regulation S-X and the instructions to Form 10-K. Unless otherwise indicated, all references to years are to our fiscal year, which ends on October 31.</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from their respective acquisition dates. All intercompany accounts and transactions have been eliminated in consolidation.</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consolidated financial statements in accordance with U.S. GAAP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GCA Services Group</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1, 2017 (the “Acquisition Date”), we completed the acquisition of GCA Services Group (“GCA”). Accordingly, our consolidated statements of comprehensive income and statements of cash flows include GCA’s results of operations in 2018, but exclude GCA’s results of operations in the comparative years prior to the Acquisition Date. See Note 3, “Acquisitions,” for further information on the acquisition of GCA.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Government Services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2016, the assets and liabilities of our former Government Services business were classified as held for sale, at which time we wrote down goodwill and long-lived assets of this business by $22.5 million to reflect our best estimate of fair value less costs to sell, using all information available at that time. During the second quarter of 2017, we received an offer from a strategic buyer to purchase this business for approximately $35.0 million, which was higher than our previous estimate of fair value less costs to sell. As a result, we recorded a $17.4 million impairment recovery to adjust the fair value of certain previously impaired assets to the valuation of the assets as implied by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08" w:right="239" w:bottom="1440" w:gutter="0" w:footer="0" w:header="0"/>
        </w:sectPr>
      </w:pPr>
    </w:p>
    <w:bookmarkStart w:id="61" w:name="page62"/>
    <w:bookmarkEnd w:id="61"/>
    <w:p>
      <w:pPr>
        <w:jc w:val="both"/>
        <w:spacing w:after="0" w:line="254" w:lineRule="auto"/>
        <w:rPr>
          <w:sz w:val="20"/>
          <w:szCs w:val="20"/>
          <w:color w:val="auto"/>
        </w:rPr>
      </w:pPr>
      <w:r>
        <w:rPr>
          <w:rFonts w:ascii="Arial" w:cs="Arial" w:eastAsia="Arial" w:hAnsi="Arial"/>
          <w:sz w:val="18"/>
          <w:szCs w:val="18"/>
          <w:color w:val="auto"/>
        </w:rPr>
        <w:t>agreed-upon sales price, less estimated costs to sell. We sold this business on May 31, 2017 for $35.5 million and recorded a pre-tax gain of $1.2 million. The impairment charges, subsequent recovery, and gain on sale are reflected in impairment loss (recovery) in the accompanying consolidated statements of comprehensive income. The reported results for this business are through the date of sale and future results could include run-off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Prior Year Reclassifications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November 1, 2017, we made changes to our operating structure as a result of the GCA acquisition. To reflect these changes, certain prior year amounts, including operating segment data, have been reclassified to conform with our fiscal 2018 presentation. These changes had no impact on our previously reported consolidated balance sheets, statements of comprehensive income, or statements of cash flows. See Note 18, “Segment and Geographic Information,” for further details.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Cash and Cash Equivalents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 amount due to reconciling items, such as outstanding checks. We report the changes in these book cash overdrafts as cash flows from financing activities.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Trade Accounts Receivable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Trade accounts receivable arise from services provided to our clients and are usually due and payable on varying terms from receipt of the invoice to net ninety days, with the exception of certain Technical Solutions project receivables that may have longer collection periods. These receivables are recorded at the invoiced amount and normally do not bear interest. In addition, our trade accounts receivable include unbilled receivables that can include costs and estimated earnings in excess of billings on uncompleted contracts, as well as invoices for services that have been provided but are not yet billed.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Allowance for Doubtful Accounts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twelve months, unless our management believes such amounts will ultimately be collectible.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Sales Allowance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Current Assets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2018 and 2017, other current assets primarily consisted of other receivables and short-term insurance recoverables.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Investments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2018 and 2017, other investments primarily consisted of investments in unconsolidated affiliates and in auction rate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Investments in Unconsolidated Affiliates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own non-controlling interests (generally 20% to 50%) in certain affiliated entities that predominantly provide facility solutions to governmental and commercial clients, primarily in the United States and the Middle East. We account for such investments under the equity method of accounting. We evaluate our equity method investments for impairment whenever events or changes in circumstances indicate that the carrying amounts of such investments may not be recoverable. An impairment loss is recognized to the extent that the estimated fair value of the investment is less than its carrying amount and we determine that the impairment is other-than-temporary. At October 31, 2018,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44" w:right="239" w:bottom="1440" w:gutter="0" w:footer="0" w:header="0"/>
        </w:sectPr>
      </w:pPr>
    </w:p>
    <w:bookmarkStart w:id="62" w:name="page63"/>
    <w:bookmarkEnd w:id="62"/>
    <w:p>
      <w:pPr>
        <w:jc w:val="both"/>
        <w:spacing w:after="0" w:line="254" w:lineRule="auto"/>
        <w:rPr>
          <w:sz w:val="20"/>
          <w:szCs w:val="20"/>
          <w:color w:val="auto"/>
        </w:rPr>
      </w:pPr>
      <w:r>
        <w:rPr>
          <w:rFonts w:ascii="Arial" w:cs="Arial" w:eastAsia="Arial" w:hAnsi="Arial"/>
          <w:sz w:val="18"/>
          <w:szCs w:val="18"/>
          <w:color w:val="auto"/>
        </w:rPr>
        <w:t>2017, and 2016, our investments in unconsolidated affiliates were $ 11.3 million, $9.3 million, and $17.1 million, respectively. At October 31, 2016, a portion of these investments were classified as held for sale, as they related to our Government Services business. In connection with the held-for-sale classification, we recognized an impairment charge of $5.0 million to write down these investments to their estimated fair value in 2016, which we subsequently recovered in 2017. We did not recognize any impairment charges on these investments in 2018 or 2017.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Investments in Auction Rate Securities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investments in auction rate securities are classified as available-for-sale. Accordingly, auction rate securities are presented at fair value with unrealized gains and losses recorded in accumulated other comprehensive income (loss), net of taxes (“AOCI”). On a quarterly basis, we analyze all auction rate securities that have unrealized losses for impairment consideration and assess the intent to sell such securities. If such intent exists, impaired securities are considered other-than-temporarily impaired and we recognize the entire difference between the auction rate security’s amortized cost and its fair value in earnings. We also consider if we may be required to sell the securities prior to the recovery of amortized cost, which may trigger an impairment charge. If these securities are considered impaired, we assess whether the amortized costs of the securities can be recovered by reviewing several factors, including credit risks associated with the issuer. If we do not expect to recover the entire amortized cost of the security, we consider the security to be other-than-temporarily impaired, and record the difference between the security’s amortized costs and its recoverable amount in earnings and the difference between the security’s amortized cost and fair value in AOCI.</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Property, Plant and Equipment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264"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5860" w:type="dxa"/>
            <w:vAlign w:val="bottom"/>
            <w:tcBorders>
              <w:top w:val="single" w:sz="8" w:color="auto"/>
              <w:right w:val="single" w:sz="8" w:color="auto"/>
            </w:tcBorders>
            <w:gridSpan w:val="3"/>
          </w:tcPr>
          <w:p>
            <w:pPr>
              <w:ind w:left="2760"/>
              <w:spacing w:after="0"/>
              <w:rPr>
                <w:sz w:val="20"/>
                <w:szCs w:val="20"/>
                <w:color w:val="auto"/>
              </w:rPr>
            </w:pPr>
            <w:r>
              <w:rPr>
                <w:rFonts w:ascii="Arial" w:cs="Arial" w:eastAsia="Arial" w:hAnsi="Arial"/>
                <w:sz w:val="18"/>
                <w:szCs w:val="18"/>
                <w:b w:val="1"/>
                <w:bCs w:val="1"/>
                <w:color w:val="auto"/>
              </w:rPr>
              <w:t>Years</w:t>
            </w:r>
          </w:p>
        </w:tc>
      </w:tr>
      <w:tr>
        <w:trPr>
          <w:trHeight w:val="34"/>
        </w:trPr>
        <w:tc>
          <w:tcPr>
            <w:tcW w:w="40" w:type="dxa"/>
            <w:vAlign w:val="bottom"/>
            <w:tcBorders>
              <w:left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7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20" w:type="dxa"/>
            <w:vAlign w:val="bottom"/>
            <w:tcBorders>
              <w:right w:val="single" w:sz="8" w:color="auto"/>
            </w:tcBorders>
          </w:tcPr>
          <w:p>
            <w:pPr>
              <w:spacing w:after="0"/>
              <w:rPr>
                <w:sz w:val="2"/>
                <w:szCs w:val="2"/>
                <w:color w:val="auto"/>
              </w:rPr>
            </w:pPr>
          </w:p>
        </w:tc>
      </w:tr>
      <w:tr>
        <w:trPr>
          <w:trHeight w:val="257"/>
        </w:trPr>
        <w:tc>
          <w:tcPr>
            <w:tcW w:w="40" w:type="dxa"/>
            <w:vAlign w:val="bottom"/>
            <w:tcBorders>
              <w:left w:val="single" w:sz="8" w:color="auto"/>
            </w:tcBorders>
            <w:shd w:val="clear" w:color="auto" w:fill="DCE2EF"/>
          </w:tcPr>
          <w:p>
            <w:pPr>
              <w:spacing w:after="0"/>
              <w:rPr>
                <w:sz w:val="22"/>
                <w:szCs w:val="22"/>
                <w:color w:val="auto"/>
              </w:rPr>
            </w:pPr>
          </w:p>
        </w:tc>
        <w:tc>
          <w:tcPr>
            <w:tcW w:w="54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Computer equipment and software</w:t>
            </w:r>
          </w:p>
        </w:tc>
        <w:tc>
          <w:tcPr>
            <w:tcW w:w="2760" w:type="dxa"/>
            <w:vAlign w:val="bottom"/>
            <w:shd w:val="clear" w:color="auto" w:fill="DCE2EF"/>
          </w:tcPr>
          <w:p>
            <w:pPr>
              <w:spacing w:after="0"/>
              <w:rPr>
                <w:sz w:val="22"/>
                <w:szCs w:val="22"/>
                <w:color w:val="auto"/>
              </w:rPr>
            </w:pPr>
          </w:p>
        </w:tc>
        <w:tc>
          <w:tcPr>
            <w:tcW w:w="3100" w:type="dxa"/>
            <w:vAlign w:val="bottom"/>
            <w:tcBorders>
              <w:right w:val="single" w:sz="8" w:color="auto"/>
            </w:tcBorders>
            <w:gridSpan w:val="2"/>
            <w:shd w:val="clear" w:color="auto" w:fill="DCE2EF"/>
          </w:tcPr>
          <w:p>
            <w:pPr>
              <w:jc w:val="center"/>
              <w:ind w:right="2640"/>
              <w:spacing w:after="0"/>
              <w:rPr>
                <w:sz w:val="20"/>
                <w:szCs w:val="20"/>
                <w:color w:val="auto"/>
              </w:rPr>
            </w:pPr>
            <w:r>
              <w:rPr>
                <w:rFonts w:ascii="Arial" w:cs="Arial" w:eastAsia="Arial" w:hAnsi="Arial"/>
                <w:sz w:val="18"/>
                <w:szCs w:val="18"/>
                <w:color w:val="auto"/>
                <w:w w:val="99"/>
              </w:rPr>
              <w:t>3–5</w:t>
            </w:r>
          </w:p>
        </w:tc>
      </w:tr>
      <w:tr>
        <w:trPr>
          <w:trHeight w:val="250"/>
        </w:trPr>
        <w:tc>
          <w:tcPr>
            <w:tcW w:w="40" w:type="dxa"/>
            <w:vAlign w:val="bottom"/>
            <w:tcBorders>
              <w:left w:val="single" w:sz="8" w:color="auto"/>
            </w:tcBorders>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Machinery and other equipment</w:t>
            </w:r>
          </w:p>
        </w:tc>
        <w:tc>
          <w:tcPr>
            <w:tcW w:w="2760" w:type="dxa"/>
            <w:vAlign w:val="bottom"/>
          </w:tcPr>
          <w:p>
            <w:pPr>
              <w:spacing w:after="0"/>
              <w:rPr>
                <w:sz w:val="21"/>
                <w:szCs w:val="21"/>
                <w:color w:val="auto"/>
              </w:rPr>
            </w:pPr>
          </w:p>
        </w:tc>
        <w:tc>
          <w:tcPr>
            <w:tcW w:w="3100" w:type="dxa"/>
            <w:vAlign w:val="bottom"/>
            <w:tcBorders>
              <w:right w:val="single" w:sz="8" w:color="auto"/>
            </w:tcBorders>
            <w:gridSpan w:val="2"/>
          </w:tcPr>
          <w:p>
            <w:pPr>
              <w:jc w:val="center"/>
              <w:ind w:right="2640"/>
              <w:spacing w:after="0"/>
              <w:rPr>
                <w:sz w:val="20"/>
                <w:szCs w:val="20"/>
                <w:color w:val="auto"/>
              </w:rPr>
            </w:pPr>
            <w:r>
              <w:rPr>
                <w:rFonts w:ascii="Arial" w:cs="Arial" w:eastAsia="Arial" w:hAnsi="Arial"/>
                <w:sz w:val="18"/>
                <w:szCs w:val="18"/>
                <w:color w:val="auto"/>
                <w:w w:val="99"/>
              </w:rPr>
              <w:t>3–5</w:t>
            </w:r>
          </w:p>
        </w:tc>
      </w:tr>
      <w:tr>
        <w:trPr>
          <w:trHeight w:val="263"/>
        </w:trPr>
        <w:tc>
          <w:tcPr>
            <w:tcW w:w="40" w:type="dxa"/>
            <w:vAlign w:val="bottom"/>
            <w:tcBorders>
              <w:left w:val="single" w:sz="8" w:color="auto"/>
            </w:tcBorders>
            <w:shd w:val="clear" w:color="auto" w:fill="DCE2EF"/>
          </w:tcPr>
          <w:p>
            <w:pPr>
              <w:spacing w:after="0"/>
              <w:rPr>
                <w:sz w:val="22"/>
                <w:szCs w:val="22"/>
                <w:color w:val="auto"/>
              </w:rPr>
            </w:pPr>
          </w:p>
        </w:tc>
        <w:tc>
          <w:tcPr>
            <w:tcW w:w="54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Transportation equipment</w:t>
            </w:r>
          </w:p>
        </w:tc>
        <w:tc>
          <w:tcPr>
            <w:tcW w:w="5860" w:type="dxa"/>
            <w:vAlign w:val="bottom"/>
            <w:tcBorders>
              <w:right w:val="single" w:sz="8" w:color="auto"/>
            </w:tcBorders>
            <w:gridSpan w:val="3"/>
            <w:shd w:val="clear" w:color="auto" w:fill="DCE2EF"/>
          </w:tcPr>
          <w:p>
            <w:pPr>
              <w:jc w:val="center"/>
              <w:ind w:left="50"/>
              <w:spacing w:after="0"/>
              <w:rPr>
                <w:sz w:val="20"/>
                <w:szCs w:val="20"/>
                <w:color w:val="auto"/>
              </w:rPr>
            </w:pPr>
            <w:r>
              <w:rPr>
                <w:rFonts w:ascii="Arial" w:cs="Arial" w:eastAsia="Arial" w:hAnsi="Arial"/>
                <w:sz w:val="18"/>
                <w:szCs w:val="18"/>
                <w:color w:val="auto"/>
              </w:rPr>
              <w:t>1.5–10</w:t>
            </w:r>
          </w:p>
        </w:tc>
      </w:tr>
      <w:tr>
        <w:trPr>
          <w:trHeight w:val="250"/>
        </w:trPr>
        <w:tc>
          <w:tcPr>
            <w:tcW w:w="40" w:type="dxa"/>
            <w:vAlign w:val="bottom"/>
            <w:tcBorders>
              <w:left w:val="single" w:sz="8" w:color="auto"/>
            </w:tcBorders>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586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10–40</w:t>
            </w:r>
          </w:p>
        </w:tc>
      </w:tr>
      <w:tr>
        <w:trPr>
          <w:trHeight w:val="257"/>
        </w:trPr>
        <w:tc>
          <w:tcPr>
            <w:tcW w:w="40" w:type="dxa"/>
            <w:vAlign w:val="bottom"/>
            <w:tcBorders>
              <w:left w:val="single" w:sz="8" w:color="auto"/>
              <w:bottom w:val="single" w:sz="8" w:color="auto"/>
            </w:tcBorders>
            <w:shd w:val="clear" w:color="auto" w:fill="DCE2EF"/>
          </w:tcPr>
          <w:p>
            <w:pPr>
              <w:spacing w:after="0"/>
              <w:rPr>
                <w:sz w:val="22"/>
                <w:szCs w:val="22"/>
                <w:color w:val="auto"/>
              </w:rPr>
            </w:pPr>
          </w:p>
        </w:tc>
        <w:tc>
          <w:tcPr>
            <w:tcW w:w="5480" w:type="dxa"/>
            <w:vAlign w:val="bottom"/>
            <w:tcBorders>
              <w:bottom w:val="single" w:sz="8" w:color="auto"/>
            </w:tcBorders>
            <w:gridSpan w:val="2"/>
            <w:shd w:val="clear" w:color="auto" w:fill="DCE2EF"/>
          </w:tcPr>
          <w:p>
            <w:pPr>
              <w:spacing w:after="0"/>
              <w:rPr>
                <w:sz w:val="20"/>
                <w:szCs w:val="20"/>
                <w:color w:val="auto"/>
              </w:rPr>
            </w:pPr>
            <w:r>
              <w:rPr>
                <w:rFonts w:ascii="Arial" w:cs="Arial" w:eastAsia="Arial" w:hAnsi="Arial"/>
                <w:sz w:val="18"/>
                <w:szCs w:val="18"/>
                <w:color w:val="auto"/>
              </w:rPr>
              <w:t>Furniture and fixtures</w:t>
            </w:r>
          </w:p>
        </w:tc>
        <w:tc>
          <w:tcPr>
            <w:tcW w:w="3240" w:type="dxa"/>
            <w:vAlign w:val="bottom"/>
            <w:tcBorders>
              <w:bottom w:val="single" w:sz="8" w:color="auto"/>
            </w:tcBorders>
            <w:gridSpan w:val="2"/>
            <w:shd w:val="clear" w:color="auto" w:fill="DCE2EF"/>
          </w:tcPr>
          <w:p>
            <w:pPr>
              <w:jc w:val="center"/>
              <w:ind w:left="2650"/>
              <w:spacing w:after="0"/>
              <w:rPr>
                <w:sz w:val="20"/>
                <w:szCs w:val="20"/>
                <w:color w:val="auto"/>
              </w:rPr>
            </w:pPr>
            <w:r>
              <w:rPr>
                <w:rFonts w:ascii="Arial" w:cs="Arial" w:eastAsia="Arial" w:hAnsi="Arial"/>
                <w:sz w:val="18"/>
                <w:szCs w:val="18"/>
                <w:color w:val="auto"/>
                <w:w w:val="99"/>
              </w:rPr>
              <w:t>5</w:t>
            </w:r>
          </w:p>
        </w:tc>
        <w:tc>
          <w:tcPr>
            <w:tcW w:w="2620" w:type="dxa"/>
            <w:vAlign w:val="bottom"/>
            <w:tcBorders>
              <w:bottom w:val="single" w:sz="8" w:color="auto"/>
              <w:right w:val="single" w:sz="8" w:color="auto"/>
            </w:tcBorders>
            <w:shd w:val="clear" w:color="auto" w:fill="DCE2EF"/>
          </w:tcPr>
          <w:p>
            <w:pPr>
              <w:spacing w:after="0"/>
              <w:rPr>
                <w:sz w:val="22"/>
                <w:szCs w:val="22"/>
                <w:color w:val="auto"/>
              </w:rPr>
            </w:pPr>
          </w:p>
        </w:tc>
      </w:tr>
    </w:tbl>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depreciate assets under capital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Leases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enter into various noncancelable lease agreements for premises and equipment used in the normal course of business. We evaluate the lease agreement at the inception of the lease to determine whether the lease is an operating lease or capital lease.</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account for rent expense under noncancelable operating leases with escalation clauses on a straight-line basis over the initial lease term. A deferred liability is recorded for the amount of the excess of straight-line rent expense over scheduled payments. We do not assume renewals in our determination of the lease term unless the renewals are deemed to be reasonably assured at lease inception. We may also be required to make additional payments to reimburse the lessors for operating expenses such as real estate taxes, maintenance, utilities, and insurance, which are expensed as incurred. We enter into leases of parking lots and garages that contain contingent payment provisions. Under these provisions, we pay contingent amounts in addition to base rent, primarily based on percentages of the gross receipts or other financial parameters attributable to the related facilities. We record contingent rent as it becomes probable that specified targets will be met.</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record each capital lease as an asset and an obligation at an amount that is equal to the present value of the minimum lease payments over the lease term.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4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0046AD"/>
        </w:rPr>
        <w:t>Goodwill and Other Intangible Assets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Goodwill represents the excess purchase price of acquired businesses over the fair value of the assets acquired and liabilities assumed. We have elected to make the first day of our fourth quarter, August 1st, the annual impairment assessment date for goodwill. However, we could be required to evaluate the recoverability of goodwill more often if impairment indicators exist. Goodwill is tested for impairment at a “reporting unit” level by performing either a qualitative evaluation or a quantitative test. The qualitative evaluation is an assessment of factors to determine whether it is more likely than not that the fair value of a reporting unit is less than its carrying amount. We may elect not to perform the qualitative assessment for some or all reporting units and perform a quantitative test instead, under which fair value is determined based on discounted cash flow analyses. The discounted estimates of future cash flows include significant management assumptions, such as revenue growth rates, operating margins, weighted average cost of capital, and future economic and market conditions. In 2017, we adopted Accounting Standards Update 2017-04, which allows us to test goodwill for impairment by comparing the fair value of a reporting unit to its carrying amount. If the fair value of a reporting unit is less than its carrying value, an impairment charge will be recorded for the difference between the fair value and carrying value, but it is limited to the carrying value of the reporting unit’s goodwill.</w:t>
      </w:r>
    </w:p>
    <w:p>
      <w:pPr>
        <w:spacing w:after="0" w:line="15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 We evaluate other intangible assets, as well as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 less than the carrying amount, we calculate an impairment loss. The impairment loss calculation compares the fair value, which is based on projected discounted cash flows, to the carrying value.</w:t>
      </w:r>
    </w:p>
    <w:p>
      <w:pPr>
        <w:spacing w:after="0" w:line="15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See Note 10, “Goodwill and Other Intangible Assets,” for further information on goodwill, other intangible assets, and impairment charges.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Noncurrent Assets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2018 and 2017, other noncurrent assets primarily consisted of long-term insurance recoverables, deferred charges, insurance and other long-term deposits, prepayments to carriers for future insurance claims, and federal energy savings performance contract receivables.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Federal Energy Savings Performance Contract Receivables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part of our Technical Solutions business, we enter into energy savings performance contracts (“ESPCs”) with the federal government pursuant to which we agree to develop, design, engineer, and construct a project and guarantee that the project will satisfy agreed-upon performance standards. ESPC receivables represent the amount to be paid by various federal government agencies for work we have satisfactorily performed under specific ESPCs. We assign certain of our rights to receive those payments to unaffiliated third parties that provide construction financing, which we record as a liability, for such contracts. This construction financing is recorded as cash flows from financing activities, while the use of the cash received under these arrangements to pay project costs is classified as operating cash flows. The ESPC receivable is recognized as revenue as each project is constructed. Upon completion and acceptance of the project by the government and upon satisfaction of true sale criteria, the assigned ESPC receivable from the government and corresponding ESPC liability are eliminated from our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2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0046AD"/>
        </w:rPr>
        <w:t>Fair Value of Financial Instruments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Observable inputs reflect market data obtained from independent sources, while unobservable inputs reflect our market assumptions.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Preference is given to observable inputs. These two types of inputs create the following fair value hierarchy: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active; and model-derived valuations whose inputs are observable or whose significant value drivers are observable; and</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Significant inputs to the valuation model are unobservable.</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assets and liabilities subject to fair value measurements on a recurring and non-recurring basis to determine the appropriate level at which to classify them for each reporting period. Some non-financial assets are measured at fair value on a non-recurring basis only in certain circumstances, including the event of impairment. See Note 7, “Fair Value of Financial Instruments,” for the fair value hierarchy table and for details on how we measure fair value for our assets and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expense acquisition-related costs as incurred. On the date of the acquisition, we allocate the purchase price to the assets acquired and liabilities assumed at their estimated fair values. Goodwill on the acquisition date is measured as the excess of the purchase price over the fair values of assets acquired and liabilities assumed. While we use our best estimates and assumptions to accurately value assets acquired and liabilities assumed at the acquisition date as well as contingent consideration, where applicable, our estimates are subject to refinement. As a result, during the measurement period, which may be up to one year from the acquisition date, we record adjustments to the assets acquired and liabilities assumed with corresponding adjustments to goodwill. We recognize subsequent changes in the estimate of the amount to be paid under contingent consideration arrangements in the accompanying consolidated statements of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Discontinued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order to be reported within discontinued operations, our disposal of a component or a group of components must represent a strategic shift that will have a major effect on our operations and financial results. We aggregate the results of operations for discontinued operations within a single line item on the income statement. General corporate overhead is not allocated to discontinued operations. We disclose any gain or loss that is recognized upon the disposition of a discontinued operation. Prior to disposition, we aggregate the assets and liabilities of discontinued operations and report the amounts on separate line items within the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Assets and Liabilities Held for Sale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a business being classified as held for sale, we cease all depreciation and amortization related to the assets of the business and record them at the lower of their carrying amount or fair value less estimated costs to sell. The assets and related liabilities of the business are separately presented on the consolidated balance sheets. We review all assets held for sale each reporting period to determine whether the existing carrying amounts are fully recoverable in comparison to estimated fair values.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2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0046AD"/>
        </w:rPr>
        <w:t>Insurance Reserves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claims incurred but not reported (“IBNR Claims”).</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that the receipt of such amounts is probable.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Accrued Liabilities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2018 and 2017, other accrued liabilities primarily consisted of employee benefits, deferred revenue, progress billings in excess of costs, legal fees and settlements, dividends payable, current capital leases, insurance claims, interest, rent payable, severance, and other accrued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Noncurrent Liabilities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At October 31, 2018 and 2017, other noncurrent liabilities primarily consisted of deferred rent, retirement plan liabilities, deferred compensation, long-term capital leases, and ESPC liabilities.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2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0046AD"/>
        </w:rPr>
        <w:t>Revenue Recognition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earn revenue under various types of service contracts. In all forms of service we provide, revenue is recognized when persuasive evidence of an arrangement exists, services have been rendered, the fee is fixed or determinable, and collectability is reasonably assured. The various types of service contracts are described below.</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860" w:type="dxa"/>
            <w:vAlign w:val="bottom"/>
            <w:tcBorders>
              <w:top w:val="single" w:sz="8" w:color="auto"/>
              <w:left w:val="single" w:sz="8" w:color="auto"/>
              <w:bottom w:val="single" w:sz="8" w:color="auto"/>
              <w:right w:val="single" w:sz="8" w:color="auto"/>
            </w:tcBorders>
            <w:shd w:val="clear" w:color="auto" w:fill="DCE2EF"/>
          </w:tcPr>
          <w:p>
            <w:pPr>
              <w:jc w:val="center"/>
              <w:spacing w:after="0"/>
              <w:rPr>
                <w:sz w:val="20"/>
                <w:szCs w:val="20"/>
                <w:color w:val="auto"/>
              </w:rPr>
            </w:pPr>
            <w:r>
              <w:rPr>
                <w:rFonts w:ascii="Arial" w:cs="Arial" w:eastAsia="Arial" w:hAnsi="Arial"/>
                <w:sz w:val="18"/>
                <w:szCs w:val="18"/>
                <w:b w:val="1"/>
                <w:bCs w:val="1"/>
                <w:color w:val="0046AD"/>
                <w:w w:val="99"/>
              </w:rPr>
              <w:t>Contract Type</w:t>
            </w:r>
          </w:p>
        </w:tc>
        <w:tc>
          <w:tcPr>
            <w:tcW w:w="9480" w:type="dxa"/>
            <w:vAlign w:val="bottom"/>
            <w:tcBorders>
              <w:top w:val="single" w:sz="8" w:color="auto"/>
              <w:bottom w:val="single" w:sz="8" w:color="auto"/>
              <w:right w:val="single" w:sz="8" w:color="auto"/>
            </w:tcBorders>
            <w:shd w:val="clear" w:color="auto" w:fill="DCE2EF"/>
          </w:tcPr>
          <w:p>
            <w:pPr>
              <w:ind w:left="4240"/>
              <w:spacing w:after="0"/>
              <w:rPr>
                <w:sz w:val="20"/>
                <w:szCs w:val="20"/>
                <w:color w:val="auto"/>
              </w:rPr>
            </w:pPr>
            <w:r>
              <w:rPr>
                <w:rFonts w:ascii="Arial" w:cs="Arial" w:eastAsia="Arial" w:hAnsi="Arial"/>
                <w:sz w:val="18"/>
                <w:szCs w:val="18"/>
                <w:b w:val="1"/>
                <w:bCs w:val="1"/>
                <w:color w:val="0046AD"/>
              </w:rPr>
              <w:t>Description</w:t>
            </w:r>
          </w:p>
        </w:tc>
        <w:tc>
          <w:tcPr>
            <w:tcW w:w="0" w:type="dxa"/>
            <w:vAlign w:val="bottom"/>
          </w:tcPr>
          <w:p>
            <w:pPr>
              <w:spacing w:after="0"/>
              <w:rPr>
                <w:sz w:val="1"/>
                <w:szCs w:val="1"/>
                <w:color w:val="auto"/>
              </w:rPr>
            </w:pPr>
          </w:p>
        </w:tc>
      </w:tr>
      <w:tr>
        <w:trPr>
          <w:trHeight w:val="283"/>
        </w:trPr>
        <w:tc>
          <w:tcPr>
            <w:tcW w:w="18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 agrees to pay a fixed fee every month over a specified contract</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Monthly Fixed-Price</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term. A variation of a fixed-price arrangement is a square-foot arrangement, under which monthly billings are based on</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actual square footage serviced.</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clients reimburse us for the agreed-upon amount of wages and</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Cost-Plus</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benefits, payroll taxes, insurance charges, and other expenses associated with the contracted work, plus a profit</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margin.</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Tag Services</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Tag work generally consists of supplemental services requested by clients outside of the standard service specification</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includes cleanup after tenant moves, construction cleanup, flood cleanup, and snow removal.</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Transaction-Price</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are agreements in which the clients are billed for each transaction performed on a monthly basis (e.g.,</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wheelchair passengers served or planes cleaned).</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Hourly</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 is billed a set hourly rate for each labor hour provided.</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Management</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manage a parking facility for a management fee and pass through the revenue</w:t>
            </w: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vMerge w:val="continue"/>
          </w:tcPr>
          <w:p>
            <w:pPr>
              <w:spacing w:after="0"/>
              <w:rPr>
                <w:sz w:val="8"/>
                <w:szCs w:val="8"/>
                <w:color w:val="auto"/>
              </w:rPr>
            </w:pPr>
          </w:p>
        </w:tc>
        <w:tc>
          <w:tcPr>
            <w:tcW w:w="94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and expenses associated with the facility to the owner. These revenues and expenses are reported in equal amounts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Reimbursement</w:t>
            </w: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as costs reimbursed from our managed locations.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generally pay to the property owner a fixed amount of rent plus a percentage</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Leased Location</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revenues derived from monthly and transient parkers. We retain all revenues and we are responsible for most</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operating expenses incurred.</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Allowance</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are paid a fixed or hourly fee to provide parking services, and we are</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responsible for certain operating expenses, as specified in the contract.</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Energy Savings</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arrangements, we agree to develop, design, engineer, and construct a project and guarantee that the</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Contracts and Fixed-</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project will satisfy agreed-upon performance standards. We recognize revenue under certain of these contracts using</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Price Repair and</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percentage-of-completion method of accounting, most often based on the cost-to-cost method, under which</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Refurbishment</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revenues are recognized as the work progresses.</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Franchise</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franchise certain engineering services through individual and area franchises under the Linc Service and TEGG</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brands, which are part of ABM Technical Solutions.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134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Impact of Accounting Standards Codification Topic 606, Revenue from Contracts with Customers</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(Topic 606). </w:t>
      </w:r>
      <w:r>
        <w:rPr>
          <w:rFonts w:ascii="Arial" w:cs="Arial" w:eastAsia="Arial" w:hAnsi="Arial"/>
          <w:sz w:val="18"/>
          <w:szCs w:val="18"/>
          <w:color w:val="auto"/>
        </w:rPr>
        <w:t>Since the release of ASU 2014-09, the FASB issued the following additional ASUs further updating</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606:</w:t>
      </w:r>
    </w:p>
    <w:p>
      <w:pPr>
        <w:spacing w:after="0" w:line="12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August 2015, ASU 2015-14, </w:t>
      </w:r>
      <w:r>
        <w:rPr>
          <w:rFonts w:ascii="Arial" w:cs="Arial" w:eastAsia="Arial" w:hAnsi="Arial"/>
          <w:sz w:val="18"/>
          <w:szCs w:val="18"/>
          <w:i w:val="1"/>
          <w:iCs w:val="1"/>
          <w:color w:val="auto"/>
        </w:rPr>
        <w:t>Revenue from Contracts with Customers (Topic 606): Deferral of the Effective Date</w:t>
      </w:r>
    </w:p>
    <w:p>
      <w:pPr>
        <w:spacing w:after="0" w:line="17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March 2016, ASU 2016-08, </w:t>
      </w:r>
      <w:r>
        <w:rPr>
          <w:rFonts w:ascii="Arial" w:cs="Arial" w:eastAsia="Arial" w:hAnsi="Arial"/>
          <w:sz w:val="18"/>
          <w:szCs w:val="18"/>
          <w:i w:val="1"/>
          <w:iCs w:val="1"/>
          <w:color w:val="auto"/>
        </w:rPr>
        <w:t>Revenue from Contracts with Customers (Topic 606):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Gross versus Net)</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April 2016, ASU 2016-10, </w:t>
      </w:r>
      <w:r>
        <w:rPr>
          <w:rFonts w:ascii="Arial" w:cs="Arial" w:eastAsia="Arial" w:hAnsi="Arial"/>
          <w:sz w:val="18"/>
          <w:szCs w:val="18"/>
          <w:i w:val="1"/>
          <w:iCs w:val="1"/>
          <w:color w:val="auto"/>
        </w:rPr>
        <w:t>Revenue from Contracts with Customers (Topic 606): Identifying Performance Obligations and Licensing</w:t>
      </w:r>
    </w:p>
    <w:p>
      <w:pPr>
        <w:spacing w:after="0" w:line="17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May 2016, ASU 2016-12,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Expedients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22" w:right="239" w:bottom="1440" w:gutter="0" w:footer="0" w:header="0"/>
        </w:sectPr>
      </w:pPr>
    </w:p>
    <w:bookmarkStart w:id="67" w:name="page68"/>
    <w:bookmarkEnd w:id="67"/>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 December 2016, ASU 2016-20, </w:t>
      </w:r>
      <w:r>
        <w:rPr>
          <w:rFonts w:ascii="Arial" w:cs="Arial" w:eastAsia="Arial" w:hAnsi="Arial"/>
          <w:sz w:val="18"/>
          <w:szCs w:val="18"/>
          <w:i w:val="1"/>
          <w:iCs w:val="1"/>
          <w:color w:val="auto"/>
        </w:rPr>
        <w:t>Technical Corrections and Improvements to Topic 606, Revenue from Contracts with Customers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Additionally, in May 2017, the FASB issued ASU 2017-10, </w:t>
      </w:r>
      <w:r>
        <w:rPr>
          <w:rFonts w:ascii="Arial" w:cs="Arial" w:eastAsia="Arial" w:hAnsi="Arial"/>
          <w:sz w:val="18"/>
          <w:szCs w:val="18"/>
          <w:i w:val="1"/>
          <w:iCs w:val="1"/>
          <w:color w:val="auto"/>
        </w:rPr>
        <w:t>Service Concession Arrangements (Topic 853): Determining the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of the Operation Services</w:t>
      </w:r>
      <w:r>
        <w:rPr>
          <w:rFonts w:ascii="Arial" w:cs="Arial" w:eastAsia="Arial" w:hAnsi="Arial"/>
          <w:sz w:val="18"/>
          <w:szCs w:val="18"/>
          <w:color w:val="auto"/>
        </w:rPr>
        <w:t>, which clarifies how operating entities should determine the customer of operation services for transactions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this guidance. US GAAP does not currently address how an operating entity should determine the customer of the operation services for transactions within the scope of Topic 853. The amendment eliminates diversity in practice by clarifying that the grantor is the customer of the operation services in all cases for those arrangements. We determined that revenue we generate from service concession arrangements, primarily from certain parking arrangements, will be accounted for under this guidance. We adopted the amendments in this update in conjunction with the adoption of Topic 606, as discussed below, and prior period financial statements will not be adjusted.</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Collectively these ASUs introduce a new principles-based framework for revenue recognition and disclosure. The core principle of the standard is when an entity transfers goods or services to customers it will recognize revenue in an amount that reflects the consideration it expects to be entitled to for those goods or services. The standard also expands the required disclosures to include the disaggregation of revenue from contracts with customers into categories that depict how the nature, timing, and uncertainty of revenue and cash flows are affected by economic factors. We adopted this standard on November 1, 2018 and are using a modified retrospective adoption approach with a cumulative-effect adjustment to retained earnings as of the beginning of 2019; prior period financial statements will not be adjusted. The standard will be applied to contracts that have not been completed at November 1, 2018 and will not be applied to contracts that were modified before the beginning of the earliest reporting period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Effect on the Financial Statements</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assess the impact of this standard, we established a cross-functional implementation team consisting of representatives from all of our operating segments. The implementation team has completed analyzing our contract portfolio to identify potential differences that result from applying the requirements of this new standard. In addition, we have identified the appropriate changes to our business processes and controls to support revenue recognition and disclosure under this new standard. We expect adoption of this standard will have an impact on the timing of revenue recognition related to certain lines of business and our financial statement line item reporting of certain items. Additionally, the accounting for certain direct and incremental contract costs is significantly different from our current capitalization policy.</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process for implementing Topic 606 included, but was not limited to, identifying contracts within the scope of the standard, identifying distinct performance obligations within each contract, and applying the new guidance for measuring and recognizing revenue to each performance obligation.</w:t>
      </w:r>
    </w:p>
    <w:p>
      <w:pPr>
        <w:spacing w:after="0" w:line="148"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are finalizing our analysis of adopting Topics 606 and 853 and do not believe there are any remaining significant implementation matters that have not yet been addressed.</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do not expect adopting Topic 606 will materially impact our consolidated balance sheets and do not anticipate an impact on our consolidated statements of cash flows. We anticipate a pre-tax net increase of $9.1 million to our opening retained earnings as a result of adopting Topic 606, primarily related to changes in accounting for commission costs and project type contracts. Specific impacts include:</w:t>
      </w:r>
    </w:p>
    <w:p>
      <w:pPr>
        <w:spacing w:after="0" w:line="148" w:lineRule="exact"/>
        <w:rPr>
          <w:sz w:val="20"/>
          <w:szCs w:val="20"/>
          <w:color w:val="auto"/>
        </w:rPr>
      </w:pPr>
    </w:p>
    <w:p>
      <w:pPr>
        <w:ind w:left="6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$15.1 million of commission costs incremental to successful sales will be deferred and recognized over the expected customer relationship period. Currently, commission costs are expensed as incurred.</w:t>
      </w:r>
    </w:p>
    <w:p>
      <w:pPr>
        <w:spacing w:after="0" w:line="14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Historically, we have recognized revenue and margin on uninstalled materials associated with project type contracts, generally energy savings performance contracts and fixed-price repair and refurbishment projects, consistent with other project costs under the percentage-of-completion method. Under the new standard, uninstalled materials will be excluded from the measure of progress, revenue for uninstalled materials is recognized at cost, and the associated margin is deferred until installation is substantially complete. Accordingly, we expect a reduction of $4.4 million to previously recognized revenue and related margin for uninstalled materials.</w:t>
      </w:r>
    </w:p>
    <w:p>
      <w:pPr>
        <w:spacing w:after="0" w:line="15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Initial fees from sales of franchise licenses, currently recognized in the year of sale, of $1.6 million will be deferred and recognized over the terms of the initial franchise agreements.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26" w:right="239" w:bottom="1440" w:gutter="0" w:footer="0" w:header="0"/>
        </w:sectPr>
      </w:pPr>
    </w:p>
    <w:bookmarkStart w:id="68" w:name="page69"/>
    <w:bookmarkEnd w:id="68"/>
    <w:p>
      <w:pPr>
        <w:ind w:right="560" w:firstLine="648"/>
        <w:spacing w:after="0" w:line="262" w:lineRule="auto"/>
        <w:rPr>
          <w:sz w:val="20"/>
          <w:szCs w:val="20"/>
          <w:color w:val="auto"/>
        </w:rPr>
      </w:pPr>
      <w:r>
        <w:rPr>
          <w:rFonts w:ascii="Arial" w:cs="Arial" w:eastAsia="Arial" w:hAnsi="Arial"/>
          <w:sz w:val="18"/>
          <w:szCs w:val="18"/>
          <w:color w:val="auto"/>
        </w:rPr>
        <w:t>In accordance with Topic 853, rent expense related to service concession arrangements of approximately $48 million, which was previously classified as operating expenses, will be classified as a reduction of revenues.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rPr>
              <w:t>Years Ended October 31,</w:t>
            </w:r>
          </w:p>
        </w:tc>
        <w:tc>
          <w:tcPr>
            <w:tcW w:w="1420" w:type="dxa"/>
            <w:vAlign w:val="bottom"/>
            <w:tcBorders>
              <w:bottom w:val="single" w:sz="8" w:color="auto"/>
            </w:tcBorders>
          </w:tcPr>
          <w:p>
            <w:pPr>
              <w:spacing w:after="0"/>
              <w:rPr>
                <w:sz w:val="21"/>
                <w:szCs w:val="21"/>
                <w:color w:val="auto"/>
              </w:rPr>
            </w:pPr>
          </w:p>
        </w:tc>
      </w:tr>
      <w:tr>
        <w:trPr>
          <w:trHeight w:val="230"/>
        </w:trPr>
        <w:tc>
          <w:tcPr>
            <w:tcW w:w="57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9"/>
                <w:szCs w:val="19"/>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96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5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257.1</w:t>
            </w:r>
          </w:p>
        </w:tc>
        <w:tc>
          <w:tcPr>
            <w:tcW w:w="600" w:type="dxa"/>
            <w:vAlign w:val="bottom"/>
            <w:gridSpan w:val="3"/>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227.8</w:t>
            </w:r>
          </w:p>
        </w:tc>
      </w:tr>
      <w:tr>
        <w:trPr>
          <w:trHeight w:val="26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Aviation</w:t>
            </w: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78.2</w:t>
            </w:r>
          </w:p>
        </w:tc>
      </w:tr>
      <w:tr>
        <w:trPr>
          <w:trHeight w:val="270"/>
        </w:trPr>
        <w:tc>
          <w:tcPr>
            <w:tcW w:w="5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Healthcare</w:t>
            </w:r>
          </w:p>
        </w:tc>
        <w:tc>
          <w:tcPr>
            <w:tcW w:w="420" w:type="dxa"/>
            <w:vAlign w:val="bottom"/>
            <w:tcBorders>
              <w:bottom w:val="single" w:sz="8" w:color="auto"/>
            </w:tcBorders>
            <w:shd w:val="clear" w:color="auto" w:fill="DCE2EF"/>
          </w:tcPr>
          <w:p>
            <w:pPr>
              <w:spacing w:after="0"/>
              <w:rPr>
                <w:sz w:val="23"/>
                <w:szCs w:val="23"/>
                <w:color w:val="auto"/>
              </w:rPr>
            </w:pPr>
          </w:p>
        </w:tc>
        <w:tc>
          <w:tcPr>
            <w:tcW w:w="13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auto"/>
            </w:tcBorders>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420" w:type="dxa"/>
            <w:vAlign w:val="bottom"/>
            <w:tcBorders>
              <w:bottom w:val="single" w:sz="8" w:color="auto"/>
            </w:tcBorders>
            <w:shd w:val="clear" w:color="auto" w:fill="DCE2EF"/>
          </w:tcPr>
          <w:p>
            <w:pPr>
              <w:spacing w:after="0"/>
              <w:rPr>
                <w:sz w:val="23"/>
                <w:szCs w:val="23"/>
                <w:color w:val="auto"/>
              </w:rPr>
            </w:pPr>
          </w:p>
        </w:tc>
        <w:tc>
          <w:tcPr>
            <w:tcW w:w="142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DCE2EF"/>
          </w:tcPr>
          <w:p>
            <w:pPr>
              <w:spacing w:after="0"/>
              <w:rPr>
                <w:sz w:val="23"/>
                <w:szCs w:val="23"/>
                <w:color w:val="auto"/>
              </w:rPr>
            </w:pPr>
          </w:p>
        </w:tc>
        <w:tc>
          <w:tcPr>
            <w:tcW w:w="420" w:type="dxa"/>
            <w:vAlign w:val="bottom"/>
            <w:tcBorders>
              <w:bottom w:val="single" w:sz="8" w:color="auto"/>
            </w:tcBorders>
            <w:shd w:val="clear" w:color="auto" w:fill="DCE2EF"/>
          </w:tcPr>
          <w:p>
            <w:pPr>
              <w:spacing w:after="0"/>
              <w:rPr>
                <w:sz w:val="23"/>
                <w:szCs w:val="23"/>
                <w:color w:val="auto"/>
              </w:rPr>
            </w:pPr>
          </w:p>
        </w:tc>
        <w:tc>
          <w:tcPr>
            <w:tcW w:w="14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17.6</w:t>
            </w:r>
          </w:p>
        </w:tc>
      </w:tr>
      <w:tr>
        <w:trPr>
          <w:trHeight w:val="257"/>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376.4</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323.4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Restructuring and Related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Restructuring and related expenses include employee severance, lease exit costs, external support fees, and other costs. Our methodology to record these costs is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Severance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we do not have a past history of consistently providing severance benefits, we recognize severance costs for employees who do not have formal employment agreements when management has committed to a restructuring plan and communicated those actions to impacted employees, such that the employee is able to determine the type and amount of benefits that they will receive upon termination. In addition, if the employees are required to render service beyond the minimum retention period until they are terminated in order to receive the benefits, a liability is recognized ratably over the future service period. For employees with employment agreements, we accrue for these severance liabilities when it is probable that the impacted employee will be entitled to the benefits and the amount can be reasonably estimated.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Noncancelable Leases and Contractual Obligations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record liabilities when we terminate a contract in accordance with the contract terms or when we exit the leased space. The expense for noncancelable leases is determined based on the fair value of remaining lease payments reduced by the fair value of estimated sublease income that could reasonably be obtained for the property, estimated using a present value technique.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Other</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other costs associated with exit and disposal activities, we recognize an expense at fair value in the period in which the liability is incurred.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Advertising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Advertising costs are expensed as incurred. During 2018, 2017, and 2016, advertising expense was $2.3 million, $2.2 million, and $2.1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Share-Based Compensation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current share-based awards principally consist of restricted stock units (“RSUs”) and various performance share awards. We recognize compensation costs associated with these awards in selling, general and administrative expenses. For RSUs and certain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4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0046AD"/>
        </w:rPr>
        <w:t>Taxes Collected from Clients and Remitted to Governmental Agencies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taxes on client transactions due to governmental agencies as receivables and liabilities on the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Net Income Per Common Share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exercise of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Contingencies and Litigation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Income Taxes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temporary differences between the financial statement 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 of a deferred tax asset to its realizable value unless it is more likely than not that such asset will be realized. We recognize accrued interest and penalties related to unrecognized tax benefits in income tax expense in our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2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GCA during 2017</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1, 2017, we acquired all of the outstanding stock of GCA, a provider of integrated facility services to educational institutions and commercial facilities, for a purchase price of approximately $1.3 billion. As described in Note 18, “Segment and Geographic Information,” we integrated GCA’s operations into our industry group model effective November 1, 2017. As a result of the acquisition, we are now a leading facilities services provider in the education market.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Consideration Transferred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93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Shares of ABM common stock, net of shares withheld for taxes</w:t>
            </w:r>
          </w:p>
        </w:tc>
        <w:tc>
          <w:tcPr>
            <w:tcW w:w="72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9.4</w:t>
            </w:r>
          </w:p>
        </w:tc>
      </w:tr>
      <w:tr>
        <w:trPr>
          <w:trHeight w:val="264"/>
        </w:trPr>
        <w:tc>
          <w:tcPr>
            <w:tcW w:w="932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ABM common stock closing market price at acquisition date</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44.63</w:t>
            </w:r>
          </w:p>
        </w:tc>
      </w:tr>
      <w:tr>
        <w:trPr>
          <w:trHeight w:val="257"/>
        </w:trPr>
        <w:tc>
          <w:tcPr>
            <w:tcW w:w="93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Fair value of ABM common stock at closing</w:t>
            </w:r>
          </w:p>
        </w:tc>
        <w:tc>
          <w:tcPr>
            <w:tcW w:w="720" w:type="dxa"/>
            <w:vAlign w:val="bottom"/>
            <w:shd w:val="clear" w:color="auto" w:fill="DCE2EF"/>
          </w:tcPr>
          <w:p>
            <w:pPr>
              <w:spacing w:after="0"/>
              <w:rPr>
                <w:sz w:val="22"/>
                <w:szCs w:val="22"/>
                <w:color w:val="auto"/>
              </w:rPr>
            </w:pP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421.3</w:t>
            </w:r>
          </w:p>
        </w:tc>
      </w:tr>
      <w:tr>
        <w:trPr>
          <w:trHeight w:val="270"/>
        </w:trPr>
        <w:tc>
          <w:tcPr>
            <w:tcW w:w="932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1"/>
                <w:szCs w:val="21"/>
                <w:color w:val="auto"/>
                <w:vertAlign w:val="superscript"/>
              </w:rPr>
              <w:t>(1)</w:t>
            </w:r>
          </w:p>
        </w:tc>
        <w:tc>
          <w:tcPr>
            <w:tcW w:w="7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837.5</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92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Total consideration transferred</w:t>
            </w:r>
          </w:p>
        </w:tc>
        <w:tc>
          <w:tcPr>
            <w:tcW w:w="720" w:type="dxa"/>
            <w:vAlign w:val="bottom"/>
            <w:tcBorders>
              <w:bottom w:val="single" w:sz="8" w:color="auto"/>
            </w:tcBorders>
            <w:shd w:val="clear" w:color="auto" w:fill="DCE2EF"/>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1,258.8</w:t>
            </w:r>
          </w:p>
        </w:tc>
      </w:tr>
      <w:tr>
        <w:trPr>
          <w:trHeight w:val="20"/>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Revised during the second quarter of 2018 to reflect a post-closing purchase price adjustment related to a net working capital settlement.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gridSpan w:val="3"/>
          </w:tcPr>
          <w:p>
            <w:pPr>
              <w:spacing w:after="0"/>
              <w:rPr>
                <w:sz w:val="20"/>
                <w:szCs w:val="20"/>
                <w:color w:val="auto"/>
              </w:rPr>
            </w:pPr>
            <w:r>
              <w:rPr>
                <w:rFonts w:ascii="Arial" w:cs="Arial" w:eastAsia="Arial" w:hAnsi="Arial"/>
                <w:sz w:val="18"/>
                <w:szCs w:val="18"/>
                <w:b w:val="1"/>
                <w:bCs w:val="1"/>
                <w:i w:val="1"/>
                <w:iCs w:val="1"/>
                <w:color w:val="0046AD"/>
              </w:rPr>
              <w:t>Purchase Price Allocation</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As reported at</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b w:val="1"/>
                <w:bCs w:val="1"/>
                <w:color w:val="auto"/>
              </w:rPr>
              <w:t>As reported at</w:t>
            </w:r>
          </w:p>
        </w:tc>
      </w:tr>
      <w:tr>
        <w:trPr>
          <w:trHeight w:val="243"/>
        </w:trPr>
        <w:tc>
          <w:tcPr>
            <w:tcW w:w="5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1"/>
                <w:szCs w:val="21"/>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October 31, 2017</w:t>
            </w:r>
          </w:p>
        </w:tc>
        <w:tc>
          <w:tcPr>
            <w:tcW w:w="280" w:type="dxa"/>
            <w:vAlign w:val="bottom"/>
          </w:tcPr>
          <w:p>
            <w:pPr>
              <w:spacing w:after="0"/>
              <w:rPr>
                <w:sz w:val="21"/>
                <w:szCs w:val="21"/>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1"/>
                <w:szCs w:val="21"/>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6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Trade accounts receivable</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0"/>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DCE2EF"/>
          </w:tcPr>
          <w:p>
            <w:pPr>
              <w:spacing w:after="0"/>
              <w:rPr>
                <w:sz w:val="23"/>
                <w:szCs w:val="23"/>
                <w:color w:val="auto"/>
              </w:rPr>
            </w:pP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12.0</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Customer relationships</w:t>
            </w:r>
            <w:r>
              <w:rPr>
                <w:rFonts w:ascii="Arial" w:cs="Arial" w:eastAsia="Arial" w:hAnsi="Arial"/>
                <w:sz w:val="21"/>
                <w:szCs w:val="21"/>
                <w:color w:val="auto"/>
                <w:vertAlign w:val="superscript"/>
              </w:rPr>
              <w:t>(2)</w:t>
            </w:r>
          </w:p>
        </w:tc>
        <w:tc>
          <w:tcPr>
            <w:tcW w:w="200" w:type="dxa"/>
            <w:vAlign w:val="bottom"/>
            <w:shd w:val="clear" w:color="auto" w:fill="DCE2EF"/>
          </w:tcPr>
          <w:p>
            <w:pPr>
              <w:spacing w:after="0"/>
              <w:rPr>
                <w:sz w:val="24"/>
                <w:szCs w:val="24"/>
                <w:color w:val="auto"/>
              </w:rPr>
            </w:pPr>
          </w:p>
        </w:tc>
        <w:tc>
          <w:tcPr>
            <w:tcW w:w="17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78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CE2EF"/>
          </w:tcPr>
          <w:p>
            <w:pPr>
              <w:spacing w:after="0"/>
              <w:rPr>
                <w:sz w:val="24"/>
                <w:szCs w:val="24"/>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340.0</w:t>
            </w:r>
          </w:p>
        </w:tc>
      </w:tr>
      <w:tr>
        <w:trPr>
          <w:trHeight w:val="270"/>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Trade names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(3)</w:t>
            </w:r>
          </w:p>
        </w:tc>
        <w:tc>
          <w:tcPr>
            <w:tcW w:w="20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933.9</w:t>
            </w:r>
          </w:p>
        </w:tc>
        <w:tc>
          <w:tcPr>
            <w:tcW w:w="100" w:type="dxa"/>
            <w:vAlign w:val="bottom"/>
            <w:shd w:val="clear" w:color="auto" w:fill="DCE2EF"/>
          </w:tcPr>
          <w:p>
            <w:pPr>
              <w:spacing w:after="0"/>
              <w:rPr>
                <w:sz w:val="23"/>
                <w:szCs w:val="23"/>
                <w:color w:val="auto"/>
              </w:rPr>
            </w:pP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926.9</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DCE2EF"/>
          </w:tcPr>
          <w:p>
            <w:pPr>
              <w:spacing w:after="0"/>
              <w:rPr>
                <w:sz w:val="24"/>
                <w:szCs w:val="24"/>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(9.6)</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Insurance reserves</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DCE2EF"/>
          </w:tcPr>
          <w:p>
            <w:pPr>
              <w:spacing w:after="0"/>
              <w:rPr>
                <w:sz w:val="24"/>
                <w:szCs w:val="24"/>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(8.6)</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200" w:type="dxa"/>
            <w:vAlign w:val="bottom"/>
            <w:shd w:val="clear" w:color="auto" w:fill="DCE2EF"/>
          </w:tcPr>
          <w:p>
            <w:pPr>
              <w:spacing w:after="0"/>
              <w:rPr>
                <w:sz w:val="24"/>
                <w:szCs w:val="24"/>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(85.6)</w:t>
            </w:r>
          </w:p>
        </w:tc>
      </w:tr>
      <w:tr>
        <w:trPr>
          <w:trHeight w:val="264"/>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40" w:type="dxa"/>
            <w:vAlign w:val="bottom"/>
            <w:tcBorders>
              <w:top w:val="single" w:sz="8" w:color="DCE2EF"/>
              <w:bottom w:val="single" w:sz="8" w:color="DCE2EF"/>
            </w:tcBorders>
            <w:shd w:val="clear" w:color="auto" w:fill="DCE2EF"/>
          </w:tcPr>
          <w:p>
            <w:pPr>
              <w:spacing w:after="0"/>
              <w:rPr>
                <w:sz w:val="22"/>
                <w:szCs w:val="22"/>
                <w:color w:val="auto"/>
              </w:rPr>
            </w:pPr>
          </w:p>
        </w:tc>
        <w:tc>
          <w:tcPr>
            <w:tcW w:w="5320" w:type="dxa"/>
            <w:vAlign w:val="bottom"/>
            <w:tcBorders>
              <w:top w:val="single" w:sz="8" w:color="DCE2EF"/>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Net assets acquired</w:t>
            </w:r>
          </w:p>
        </w:tc>
        <w:tc>
          <w:tcPr>
            <w:tcW w:w="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1,261.3</w:t>
            </w:r>
          </w:p>
        </w:tc>
        <w:tc>
          <w:tcPr>
            <w:tcW w:w="100" w:type="dxa"/>
            <w:vAlign w:val="bottom"/>
            <w:tcBorders>
              <w:top w:val="single" w:sz="8" w:color="DCE2EF"/>
              <w:bottom w:val="single" w:sz="8" w:color="DCE2EF"/>
            </w:tcBorders>
            <w:shd w:val="clear" w:color="auto" w:fill="DCE2EF"/>
          </w:tcPr>
          <w:p>
            <w:pPr>
              <w:spacing w:after="0"/>
              <w:rPr>
                <w:sz w:val="22"/>
                <w:szCs w:val="22"/>
                <w:color w:val="auto"/>
              </w:rPr>
            </w:pPr>
          </w:p>
        </w:tc>
        <w:tc>
          <w:tcPr>
            <w:tcW w:w="280" w:type="dxa"/>
            <w:vAlign w:val="bottom"/>
            <w:tcBorders>
              <w:top w:val="single" w:sz="8" w:color="auto"/>
              <w:bottom w:val="single" w:sz="8" w:color="auto"/>
            </w:tcBorders>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DCE2EF"/>
              <w:bottom w:val="single" w:sz="8" w:color="DCE2EF"/>
            </w:tcBorders>
            <w:shd w:val="clear" w:color="auto" w:fill="DCE2EF"/>
          </w:tcPr>
          <w:p>
            <w:pPr>
              <w:spacing w:after="0"/>
              <w:rPr>
                <w:sz w:val="22"/>
                <w:szCs w:val="22"/>
                <w:color w:val="auto"/>
              </w:rPr>
            </w:pP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1,258.8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The gross amount of trade accounts receivable was $121.9 million, of which $5.6 million is deemed uncollectible.</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The amortization periods for the acquired intangible assets are 15 years for customer relationships and 2 years for trade names.</w:t>
      </w:r>
    </w:p>
    <w:p>
      <w:pPr>
        <w:spacing w:after="0" w:line="156" w:lineRule="exact"/>
        <w:rPr>
          <w:rFonts w:ascii="Arial" w:cs="Arial" w:eastAsia="Arial" w:hAnsi="Arial"/>
          <w:sz w:val="21"/>
          <w:szCs w:val="21"/>
          <w:color w:val="auto"/>
          <w:vertAlign w:val="superscript"/>
        </w:rPr>
      </w:pPr>
    </w:p>
    <w:p>
      <w:pPr>
        <w:ind w:left="180" w:hanging="172"/>
        <w:spacing w:after="0" w:line="222"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Goodwill is largely attributable to value we expect to obtain from long-term business growth, the established workforce, and buyer-specific synergies. This goodwill is not deductible for income tax purposes.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22"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0046AD"/>
        </w:rPr>
        <w:t>Financial Information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year ended October 31, 2018, we recorded revenue related to GCA of $1.0 billion and operating profit of $33.8 million. The following table presents our unaudited pro forma results for October 31, 2017 and 2016 as though the GCA acquisition occurred on November 1, 2015. These results include adjustments for the estimated amortization of intangible assets, interest expense, and the income tax impact of the pro forma adjustments at the statutory rate of 41%. These results were adjusted to exclude $24.2 million of acquisition-related costs incurred during 2017, which are included in selling, general and administrative expenses in the accompanying consolidated statements of comprehensive income. In addition, they do not reflect the cost of integration activities or benefits from expected revenue enhancements and synergies. Accordingly, the unaudited pro forma information is not necessarily indicative of the results that would have been achieved if the acquisition had been effective on November 1, 2015.</w:t>
      </w:r>
    </w:p>
    <w:p>
      <w:pPr>
        <w:spacing w:after="0" w:line="306"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28575</wp:posOffset>
            </wp:positionV>
            <wp:extent cx="24009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9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Pro forma revenue</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6,293.0</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6,153.6</w:t>
            </w:r>
          </w:p>
        </w:tc>
      </w:tr>
      <w:tr>
        <w:trPr>
          <w:trHeight w:val="257"/>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Pro forma income from continuing operations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2017 Acquisitions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December 1, 2016, we acquired all of the outstanding stock of Mechanical Solutions, Inc. (“MSI”), a provider of specialized HVAC, chiller, and plumbing services, for a purchase price of $12.6 million. The purchase price includes up to $1.0 million of undiscounted contingent consideration that is based on the expected achievement of certain pre-established revenue goals. See Note 7, “Fair Value of Financial Instruments,” regarding our valuation of contingent consideration liabilities. As of December 1, 2016, the operations of MSI are included in our Technical Solutions segment.</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Effective December 1, 2016, we also acquired all of the outstanding stock of OFJ Connections Ltd (“OFJ”), a provider of airport transportation services in the United Kingdom, for a purchase price of $6.3 million. As of December 1, 2016, the operations of OFJ are included in our Aviation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2016 Acquisitions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September 30, 2016, we acquired all of the outstanding stock of BRBIBR Limited, a company that held all of the outstanding shares of 8 Solutions Ltd. (“8 Solutions”), a provider of technical cleaning services to data centers in the United Kingdom and certain other locations, for a purchase price of $16.1 million. As of September 30, 2016, the operations of 8 Solutions are included in our Business &amp; Industry segment, and 8 Solutions has been renamed “ABM Critical Solutions Limited.”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December 1, 2015, we acquired all of the outstanding stock of Westway Services Holdings (2014) Ltd. (“Westway”), a provider of technical services to clients in the United Kingdom, for a purchase price of $81.0 million. This acquisition expanded the geographical reach of our technical solutions business to the United Kingdom, resulting in the allocation of a significant portion of the purchase price to goodwill. As such, we recorded goodwill and intangible assets of $53.8 million and $22.5 million, respectively. The goodwill associated with this acquisition is not deductible for tax purposes. See Note 10, “Goodwill and Other Intangible Assets,” for information related to impairment charges we recorded during 2018. As of December 1, 2015, the operations of Westway are included in our Technical Solutions segment.</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Pro Forma and Other Financial Information</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Except for GCA, we do not present pro forma and other financial information for our other acquisitions, as they are not considered material business combinations individually or on a combined basis.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2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0046AD"/>
        </w:rPr>
        <w:t>4.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GCA Restructuring</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first quarter of 2018, we initiated a restructuring program to achieve cost synergies following the acquisition of GCA. We incurred the majority of our anticipated severance expense associated with this restructuring program in the first half of 2018. We expect to incur additional charges related to other project fees and rebranding activities in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Restructuring</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incurred additional expenses primarily related to external support fees and other project fees during 2018 relating to this strategy. We do not expect to incur significant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expenses in the future, other than in connection with the continued consolidation of our real estate leases.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Rollforward of Restructuring and Related Liabilities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External</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5"/>
                <w:szCs w:val="15"/>
                <w:b w:val="1"/>
                <w:bCs w:val="1"/>
                <w:color w:val="auto"/>
              </w:rPr>
              <w:t>Employee</w:t>
            </w:r>
          </w:p>
        </w:tc>
        <w:tc>
          <w:tcPr>
            <w:tcW w:w="12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Other Project</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9"/>
              </w:rPr>
              <w:t>Lease Exit</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line="170" w:lineRule="exact"/>
              <w:rPr>
                <w:sz w:val="20"/>
                <w:szCs w:val="20"/>
                <w:color w:val="auto"/>
              </w:rPr>
            </w:pPr>
            <w:r>
              <w:rPr>
                <w:rFonts w:ascii="Arial" w:cs="Arial" w:eastAsia="Arial" w:hAnsi="Arial"/>
                <w:sz w:val="15"/>
                <w:szCs w:val="15"/>
                <w:b w:val="1"/>
                <w:bCs w:val="1"/>
                <w:color w:val="auto"/>
              </w:rPr>
              <w:t>Support Fees</w:t>
            </w:r>
          </w:p>
        </w:tc>
        <w:tc>
          <w:tcPr>
            <w:tcW w:w="180" w:type="dxa"/>
            <w:vAlign w:val="bottom"/>
          </w:tcPr>
          <w:p>
            <w:pPr>
              <w:spacing w:after="0"/>
              <w:rPr>
                <w:sz w:val="14"/>
                <w:szCs w:val="14"/>
                <w:color w:val="auto"/>
              </w:rPr>
            </w:pPr>
          </w:p>
        </w:tc>
        <w:tc>
          <w:tcPr>
            <w:tcW w:w="1160" w:type="dxa"/>
            <w:vAlign w:val="bottom"/>
            <w:gridSpan w:val="2"/>
          </w:tcPr>
          <w:p>
            <w:pPr>
              <w:ind w:left="60"/>
              <w:spacing w:after="0" w:line="170" w:lineRule="exact"/>
              <w:rPr>
                <w:sz w:val="20"/>
                <w:szCs w:val="20"/>
                <w:color w:val="auto"/>
              </w:rPr>
            </w:pPr>
            <w:r>
              <w:rPr>
                <w:rFonts w:ascii="Arial" w:cs="Arial" w:eastAsia="Arial" w:hAnsi="Arial"/>
                <w:sz w:val="15"/>
                <w:szCs w:val="15"/>
                <w:b w:val="1"/>
                <w:bCs w:val="1"/>
                <w:color w:val="auto"/>
              </w:rPr>
              <w:t>Severance</w:t>
            </w:r>
          </w:p>
        </w:tc>
        <w:tc>
          <w:tcPr>
            <w:tcW w:w="260" w:type="dxa"/>
            <w:vAlign w:val="bottom"/>
          </w:tcPr>
          <w:p>
            <w:pPr>
              <w:spacing w:after="0"/>
              <w:rPr>
                <w:sz w:val="14"/>
                <w:szCs w:val="14"/>
                <w:color w:val="auto"/>
              </w:rPr>
            </w:pPr>
          </w:p>
        </w:tc>
        <w:tc>
          <w:tcPr>
            <w:tcW w:w="980" w:type="dxa"/>
            <w:vAlign w:val="bottom"/>
            <w:gridSpan w:val="2"/>
          </w:tcPr>
          <w:p>
            <w:pPr>
              <w:jc w:val="center"/>
              <w:ind w:right="360"/>
              <w:spacing w:after="0" w:line="170" w:lineRule="exact"/>
              <w:rPr>
                <w:sz w:val="20"/>
                <w:szCs w:val="20"/>
                <w:color w:val="auto"/>
              </w:rPr>
            </w:pPr>
            <w:r>
              <w:rPr>
                <w:rFonts w:ascii="Arial" w:cs="Arial" w:eastAsia="Arial" w:hAnsi="Arial"/>
                <w:sz w:val="15"/>
                <w:szCs w:val="15"/>
                <w:b w:val="1"/>
                <w:bCs w:val="1"/>
                <w:color w:val="auto"/>
                <w:w w:val="99"/>
              </w:rPr>
              <w:t>Fees</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70" w:lineRule="exact"/>
              <w:rPr>
                <w:sz w:val="20"/>
                <w:szCs w:val="20"/>
                <w:color w:val="auto"/>
              </w:rPr>
            </w:pPr>
            <w:r>
              <w:rPr>
                <w:rFonts w:ascii="Arial" w:cs="Arial" w:eastAsia="Arial" w:hAnsi="Arial"/>
                <w:sz w:val="15"/>
                <w:szCs w:val="15"/>
                <w:b w:val="1"/>
                <w:bCs w:val="1"/>
                <w:color w:val="auto"/>
              </w:rPr>
              <w:t>Costs</w:t>
            </w:r>
          </w:p>
        </w:tc>
        <w:tc>
          <w:tcPr>
            <w:tcW w:w="1460" w:type="dxa"/>
            <w:vAlign w:val="bottom"/>
            <w:gridSpan w:val="3"/>
          </w:tcPr>
          <w:p>
            <w:pPr>
              <w:ind w:left="40"/>
              <w:spacing w:after="0" w:line="170" w:lineRule="exact"/>
              <w:rPr>
                <w:sz w:val="20"/>
                <w:szCs w:val="20"/>
                <w:color w:val="auto"/>
              </w:rPr>
            </w:pPr>
            <w:r>
              <w:rPr>
                <w:rFonts w:ascii="Arial" w:cs="Arial" w:eastAsia="Arial" w:hAnsi="Arial"/>
                <w:sz w:val="15"/>
                <w:szCs w:val="15"/>
                <w:b w:val="1"/>
                <w:bCs w:val="1"/>
                <w:color w:val="auto"/>
              </w:rPr>
              <w:t>Asset Impairment</w:t>
            </w:r>
          </w:p>
        </w:tc>
        <w:tc>
          <w:tcPr>
            <w:tcW w:w="300" w:type="dxa"/>
            <w:vAlign w:val="bottom"/>
          </w:tcPr>
          <w:p>
            <w:pPr>
              <w:spacing w:after="0"/>
              <w:rPr>
                <w:sz w:val="14"/>
                <w:szCs w:val="14"/>
                <w:color w:val="auto"/>
              </w:rPr>
            </w:pPr>
          </w:p>
        </w:tc>
        <w:tc>
          <w:tcPr>
            <w:tcW w:w="960" w:type="dxa"/>
            <w:vAlign w:val="bottom"/>
          </w:tcPr>
          <w:p>
            <w:pPr>
              <w:jc w:val="right"/>
              <w:ind w:right="379"/>
              <w:spacing w:after="0" w:line="170"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258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2014</w:t>
            </w: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8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2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Payments</w:t>
            </w:r>
          </w:p>
        </w:tc>
        <w:tc>
          <w:tcPr>
            <w:tcW w:w="120" w:type="dxa"/>
            <w:vAlign w:val="bottom"/>
            <w:shd w:val="clear" w:color="auto" w:fill="DCE2EF"/>
          </w:tcPr>
          <w:p>
            <w:pPr>
              <w:spacing w:after="0"/>
              <w:rPr>
                <w:sz w:val="23"/>
                <w:szCs w:val="23"/>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1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328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0"/>
        </w:trPr>
        <w:tc>
          <w:tcPr>
            <w:tcW w:w="33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2015</w:t>
            </w: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DCE2EF"/>
          </w:tcPr>
          <w:p>
            <w:pPr>
              <w:spacing w:after="0"/>
              <w:rPr>
                <w:sz w:val="20"/>
                <w:szCs w:val="20"/>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DCE2EF"/>
          </w:tcPr>
          <w:p>
            <w:pPr>
              <w:spacing w:after="0"/>
              <w:rPr>
                <w:sz w:val="20"/>
                <w:szCs w:val="20"/>
                <w:color w:val="auto"/>
              </w:rPr>
            </w:pPr>
          </w:p>
        </w:tc>
        <w:tc>
          <w:tcPr>
            <w:tcW w:w="26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CE2EF"/>
          </w:tcPr>
          <w:p>
            <w:pPr>
              <w:spacing w:after="0"/>
              <w:rPr>
                <w:sz w:val="20"/>
                <w:szCs w:val="20"/>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3280" w:type="dxa"/>
            <w:vAlign w:val="bottom"/>
            <w:tcBorders>
              <w:top w:val="single" w:sz="8" w:color="DCE2EF"/>
              <w:bottom w:val="single" w:sz="8" w:color="DCE2EF"/>
            </w:tcBorders>
            <w:gridSpan w:val="2"/>
            <w:vMerge w:val="restart"/>
          </w:tcPr>
          <w:p>
            <w:pPr>
              <w:ind w:left="140"/>
              <w:spacing w:after="0"/>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Pr>
          <w:p>
            <w:pPr>
              <w:spacing w:after="0"/>
              <w:rPr>
                <w:sz w:val="19"/>
                <w:szCs w:val="19"/>
                <w:color w:val="auto"/>
              </w:rPr>
            </w:pPr>
          </w:p>
        </w:tc>
        <w:tc>
          <w:tcPr>
            <w:tcW w:w="3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2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Payments</w:t>
            </w:r>
          </w:p>
        </w:tc>
        <w:tc>
          <w:tcPr>
            <w:tcW w:w="120" w:type="dxa"/>
            <w:vAlign w:val="bottom"/>
            <w:shd w:val="clear" w:color="auto" w:fill="DCE2EF"/>
          </w:tcPr>
          <w:p>
            <w:pPr>
              <w:spacing w:after="0"/>
              <w:rPr>
                <w:sz w:val="23"/>
                <w:szCs w:val="23"/>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328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DCE2E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0"/>
        </w:trPr>
        <w:tc>
          <w:tcPr>
            <w:tcW w:w="332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2016</w:t>
            </w: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DCE2EF"/>
            </w:tcBorders>
            <w:shd w:val="clear" w:color="auto" w:fill="DCE2EF"/>
          </w:tcPr>
          <w:p>
            <w:pPr>
              <w:spacing w:after="0"/>
              <w:rPr>
                <w:sz w:val="20"/>
                <w:szCs w:val="20"/>
                <w:color w:val="auto"/>
              </w:rPr>
            </w:pPr>
          </w:p>
        </w:tc>
        <w:tc>
          <w:tcPr>
            <w:tcW w:w="54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80" w:type="dxa"/>
            <w:vAlign w:val="bottom"/>
            <w:gridSpan w:val="2"/>
            <w:vMerge w:val="restart"/>
          </w:tcPr>
          <w:p>
            <w:pPr>
              <w:ind w:left="140"/>
              <w:spacing w:after="0"/>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Pr>
          <w:p>
            <w:pPr>
              <w:spacing w:after="0"/>
              <w:rPr>
                <w:sz w:val="19"/>
                <w:szCs w:val="19"/>
                <w:color w:val="auto"/>
              </w:rPr>
            </w:pPr>
          </w:p>
        </w:tc>
        <w:tc>
          <w:tcPr>
            <w:tcW w:w="3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2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Payments</w:t>
            </w:r>
          </w:p>
        </w:tc>
        <w:tc>
          <w:tcPr>
            <w:tcW w:w="120" w:type="dxa"/>
            <w:vAlign w:val="bottom"/>
            <w:shd w:val="clear" w:color="auto" w:fill="DCE2EF"/>
          </w:tcPr>
          <w:p>
            <w:pPr>
              <w:spacing w:after="0"/>
              <w:rPr>
                <w:sz w:val="23"/>
                <w:szCs w:val="23"/>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328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DCE2E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0"/>
        </w:trPr>
        <w:tc>
          <w:tcPr>
            <w:tcW w:w="33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2017</w:t>
            </w: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CE2EF"/>
          </w:tcPr>
          <w:p>
            <w:pPr>
              <w:spacing w:after="0"/>
              <w:rPr>
                <w:sz w:val="20"/>
                <w:szCs w:val="20"/>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DCE2EF"/>
          </w:tcPr>
          <w:p>
            <w:pPr>
              <w:spacing w:after="0"/>
              <w:rPr>
                <w:sz w:val="20"/>
                <w:szCs w:val="20"/>
                <w:color w:val="auto"/>
              </w:rPr>
            </w:pPr>
          </w:p>
        </w:tc>
        <w:tc>
          <w:tcPr>
            <w:tcW w:w="26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20"/>
                <w:szCs w:val="20"/>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DCE2EF"/>
          </w:tcPr>
          <w:p>
            <w:pPr>
              <w:spacing w:after="0"/>
              <w:rPr>
                <w:sz w:val="20"/>
                <w:szCs w:val="20"/>
                <w:color w:val="auto"/>
              </w:rPr>
            </w:pP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3280" w:type="dxa"/>
            <w:vAlign w:val="bottom"/>
            <w:tcBorders>
              <w:top w:val="single" w:sz="8" w:color="DCE2EF"/>
              <w:bottom w:val="single" w:sz="8" w:color="DCE2EF"/>
            </w:tcBorders>
            <w:gridSpan w:val="2"/>
            <w:vMerge w:val="restart"/>
          </w:tcPr>
          <w:p>
            <w:pPr>
              <w:ind w:left="140"/>
              <w:spacing w:after="0"/>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Pr>
          <w:p>
            <w:pPr>
              <w:spacing w:after="0"/>
              <w:rPr>
                <w:sz w:val="19"/>
                <w:szCs w:val="19"/>
                <w:color w:val="auto"/>
              </w:rPr>
            </w:pPr>
          </w:p>
        </w:tc>
        <w:tc>
          <w:tcPr>
            <w:tcW w:w="3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2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Payments</w:t>
            </w:r>
          </w:p>
        </w:tc>
        <w:tc>
          <w:tcPr>
            <w:tcW w:w="120" w:type="dxa"/>
            <w:vAlign w:val="bottom"/>
            <w:shd w:val="clear" w:color="auto" w:fill="DCE2EF"/>
          </w:tcPr>
          <w:p>
            <w:pPr>
              <w:spacing w:after="0"/>
              <w:rPr>
                <w:sz w:val="23"/>
                <w:szCs w:val="23"/>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328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DCE2E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0"/>
        </w:trPr>
        <w:tc>
          <w:tcPr>
            <w:tcW w:w="332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Balance, October 31, 2018</w:t>
            </w: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DCE2EF"/>
            </w:tcBorders>
            <w:shd w:val="clear" w:color="auto" w:fill="DCE2EF"/>
          </w:tcPr>
          <w:p>
            <w:pPr>
              <w:spacing w:after="0"/>
              <w:rPr>
                <w:sz w:val="20"/>
                <w:szCs w:val="20"/>
                <w:color w:val="auto"/>
              </w:rPr>
            </w:pPr>
          </w:p>
        </w:tc>
        <w:tc>
          <w:tcPr>
            <w:tcW w:w="54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8890</wp:posOffset>
            </wp:positionV>
            <wp:extent cx="51028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02860" cy="8890"/>
                    </a:xfrm>
                    <a:prstGeom prst="rect">
                      <a:avLst/>
                    </a:prstGeom>
                    <a:noFill/>
                  </pic:spPr>
                </pic:pic>
              </a:graphicData>
            </a:graphic>
          </wp:anchor>
        </w:drawing>
      </w:r>
    </w:p>
    <w:p>
      <w:pPr>
        <w:ind w:left="180" w:hanging="172"/>
        <w:spacing w:after="0" w:line="222" w:lineRule="auto"/>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We include these costs within corporate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Cumulative Restructuring and Related Charges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External</w:t>
            </w:r>
          </w:p>
        </w:tc>
        <w:tc>
          <w:tcPr>
            <w:tcW w:w="18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5"/>
                <w:szCs w:val="15"/>
                <w:b w:val="1"/>
                <w:bCs w:val="1"/>
                <w:color w:val="auto"/>
              </w:rPr>
              <w:t>Employee</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Other Project</w:t>
            </w:r>
          </w:p>
        </w:tc>
        <w:tc>
          <w:tcPr>
            <w:tcW w:w="1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Lease Exit</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Asset</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0"/>
        </w:trPr>
        <w:tc>
          <w:tcPr>
            <w:tcW w:w="33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4"/>
                <w:szCs w:val="14"/>
                <w:color w:val="auto"/>
              </w:rPr>
            </w:pPr>
          </w:p>
        </w:tc>
        <w:tc>
          <w:tcPr>
            <w:tcW w:w="1260" w:type="dxa"/>
            <w:vAlign w:val="bottom"/>
            <w:gridSpan w:val="2"/>
          </w:tcPr>
          <w:p>
            <w:pPr>
              <w:jc w:val="center"/>
              <w:ind w:right="280"/>
              <w:spacing w:after="0" w:line="170" w:lineRule="exact"/>
              <w:rPr>
                <w:sz w:val="20"/>
                <w:szCs w:val="20"/>
                <w:color w:val="auto"/>
              </w:rPr>
            </w:pPr>
            <w:r>
              <w:rPr>
                <w:rFonts w:ascii="Arial" w:cs="Arial" w:eastAsia="Arial" w:hAnsi="Arial"/>
                <w:sz w:val="15"/>
                <w:szCs w:val="15"/>
                <w:b w:val="1"/>
                <w:bCs w:val="1"/>
                <w:color w:val="auto"/>
              </w:rPr>
              <w:t>Support Fees</w:t>
            </w:r>
          </w:p>
        </w:tc>
        <w:tc>
          <w:tcPr>
            <w:tcW w:w="180" w:type="dxa"/>
            <w:vAlign w:val="bottom"/>
          </w:tcPr>
          <w:p>
            <w:pPr>
              <w:spacing w:after="0"/>
              <w:rPr>
                <w:sz w:val="14"/>
                <w:szCs w:val="14"/>
                <w:color w:val="auto"/>
              </w:rPr>
            </w:pPr>
          </w:p>
        </w:tc>
        <w:tc>
          <w:tcPr>
            <w:tcW w:w="1180" w:type="dxa"/>
            <w:vAlign w:val="bottom"/>
            <w:gridSpan w:val="2"/>
          </w:tcPr>
          <w:p>
            <w:pPr>
              <w:ind w:left="60"/>
              <w:spacing w:after="0" w:line="170" w:lineRule="exact"/>
              <w:rPr>
                <w:sz w:val="20"/>
                <w:szCs w:val="20"/>
                <w:color w:val="auto"/>
              </w:rPr>
            </w:pPr>
            <w:r>
              <w:rPr>
                <w:rFonts w:ascii="Arial" w:cs="Arial" w:eastAsia="Arial" w:hAnsi="Arial"/>
                <w:sz w:val="15"/>
                <w:szCs w:val="15"/>
                <w:b w:val="1"/>
                <w:bCs w:val="1"/>
                <w:color w:val="auto"/>
              </w:rPr>
              <w:t>Severance</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line="170" w:lineRule="exact"/>
              <w:rPr>
                <w:sz w:val="20"/>
                <w:szCs w:val="20"/>
                <w:color w:val="auto"/>
              </w:rPr>
            </w:pPr>
            <w:r>
              <w:rPr>
                <w:rFonts w:ascii="Arial" w:cs="Arial" w:eastAsia="Arial" w:hAnsi="Arial"/>
                <w:sz w:val="15"/>
                <w:szCs w:val="15"/>
                <w:b w:val="1"/>
                <w:bCs w:val="1"/>
                <w:color w:val="auto"/>
                <w:w w:val="99"/>
              </w:rPr>
              <w:t>Fees</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70" w:lineRule="exact"/>
              <w:rPr>
                <w:sz w:val="20"/>
                <w:szCs w:val="20"/>
                <w:color w:val="auto"/>
              </w:rPr>
            </w:pPr>
            <w:r>
              <w:rPr>
                <w:rFonts w:ascii="Arial" w:cs="Arial" w:eastAsia="Arial" w:hAnsi="Arial"/>
                <w:sz w:val="15"/>
                <w:szCs w:val="15"/>
                <w:b w:val="1"/>
                <w:bCs w:val="1"/>
                <w:color w:val="auto"/>
              </w:rPr>
              <w:t>Costs</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line="170" w:lineRule="exact"/>
              <w:rPr>
                <w:sz w:val="20"/>
                <w:szCs w:val="20"/>
                <w:color w:val="auto"/>
              </w:rPr>
            </w:pPr>
            <w:r>
              <w:rPr>
                <w:rFonts w:ascii="Arial" w:cs="Arial" w:eastAsia="Arial" w:hAnsi="Arial"/>
                <w:sz w:val="15"/>
                <w:szCs w:val="15"/>
                <w:b w:val="1"/>
                <w:bCs w:val="1"/>
                <w:color w:val="auto"/>
              </w:rPr>
              <w:t>Impairment</w:t>
            </w:r>
          </w:p>
        </w:tc>
        <w:tc>
          <w:tcPr>
            <w:tcW w:w="280" w:type="dxa"/>
            <w:vAlign w:val="bottom"/>
          </w:tcPr>
          <w:p>
            <w:pPr>
              <w:spacing w:after="0"/>
              <w:rPr>
                <w:sz w:val="14"/>
                <w:szCs w:val="14"/>
                <w:color w:val="auto"/>
              </w:rPr>
            </w:pPr>
          </w:p>
        </w:tc>
        <w:tc>
          <w:tcPr>
            <w:tcW w:w="960" w:type="dxa"/>
            <w:vAlign w:val="bottom"/>
          </w:tcPr>
          <w:p>
            <w:pPr>
              <w:jc w:val="right"/>
              <w:ind w:right="360"/>
              <w:spacing w:after="0" w:line="170" w:lineRule="exact"/>
              <w:rPr>
                <w:sz w:val="20"/>
                <w:szCs w:val="20"/>
                <w:color w:val="auto"/>
              </w:rPr>
            </w:pPr>
            <w:r>
              <w:rPr>
                <w:rFonts w:ascii="Arial" w:cs="Arial" w:eastAsia="Arial" w:hAnsi="Arial"/>
                <w:sz w:val="15"/>
                <w:szCs w:val="15"/>
                <w:b w:val="1"/>
                <w:bCs w:val="1"/>
                <w:color w:val="auto"/>
              </w:rPr>
              <w:t>Total</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25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33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GCA</w:t>
            </w: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DCE2EF"/>
          </w:tcPr>
          <w:p>
            <w:pPr>
              <w:spacing w:after="0"/>
              <w:rPr>
                <w:sz w:val="21"/>
                <w:szCs w:val="21"/>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7.9</w:t>
            </w:r>
          </w:p>
        </w:tc>
        <w:tc>
          <w:tcPr>
            <w:tcW w:w="10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23.3</w:t>
            </w:r>
          </w:p>
        </w:tc>
      </w:tr>
      <w:tr>
        <w:trPr>
          <w:trHeight w:val="264"/>
        </w:trPr>
        <w:tc>
          <w:tcPr>
            <w:tcW w:w="332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FF9900"/>
              </w:rPr>
              <w:t xml:space="preserve">2020 </w:t>
            </w:r>
            <w:r>
              <w:rPr>
                <w:rFonts w:ascii="Arial" w:cs="Arial" w:eastAsia="Arial" w:hAnsi="Arial"/>
                <w:sz w:val="16"/>
                <w:szCs w:val="16"/>
                <w:b w:val="1"/>
                <w:bCs w:val="1"/>
                <w:color w:val="0070C0"/>
              </w:rPr>
              <w:t>Vision</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DCE2E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DCE2E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66.5</w:t>
            </w: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328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b w:val="1"/>
                <w:bCs w:val="1"/>
                <w:color w:val="auto"/>
              </w:rPr>
              <w:t>32.0</w:t>
            </w:r>
          </w:p>
        </w:tc>
        <w:tc>
          <w:tcPr>
            <w:tcW w:w="1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b w:val="1"/>
                <w:bCs w:val="1"/>
                <w:color w:val="auto"/>
              </w:rPr>
              <w:t>26.5</w:t>
            </w:r>
          </w:p>
        </w:tc>
        <w:tc>
          <w:tcPr>
            <w:tcW w:w="12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b w:val="1"/>
                <w:bCs w:val="1"/>
                <w:color w:val="auto"/>
              </w:rPr>
              <w:t>18.5</w:t>
            </w:r>
          </w:p>
        </w:tc>
        <w:tc>
          <w:tcPr>
            <w:tcW w:w="10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b w:val="1"/>
                <w:bCs w:val="1"/>
                <w:color w:val="auto"/>
              </w:rPr>
              <w:t>7.7</w:t>
            </w:r>
          </w:p>
        </w:tc>
        <w:tc>
          <w:tcPr>
            <w:tcW w:w="12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DCE2EF"/>
            </w:tcBorders>
            <w:shd w:val="clear" w:color="auto" w:fill="DCE2EF"/>
          </w:tcPr>
          <w:p>
            <w:pPr>
              <w:spacing w:after="0"/>
              <w:rPr>
                <w:sz w:val="20"/>
                <w:szCs w:val="20"/>
                <w:color w:val="auto"/>
              </w:rPr>
            </w:pPr>
          </w:p>
        </w:tc>
        <w:tc>
          <w:tcPr>
            <w:tcW w:w="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rPr>
              <w:t>89.9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2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0046AD"/>
        </w:rPr>
        <w:t>5.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October 26, 2015,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sold substantially all of the assets of our Security business to Universal Protection Service, L.P. for cash proceeds of $131.0 million, subject to a working capital adjustment. In connection with the sale, we recorded a $23.6 million gain, which was subsequently reduced by a $ 3.1 million working capital adjustment in 2016. Following the sale, we record all costs associated with this former business in discontinued operations. Such costs generally relate to litigation we retained and insurance reserves. In 2017, we incurred a net loss from discontinued operations of $74.3 million (a pretax loss of $123.7 million) primarily due to legal settlements. In 2018, we had net income from discontinued operations of $1.8 million (pretax income of $2.6 million) due to an insurance reimbursement on a legal settlement and collection of previously written off receivables, partially offset by union audit settlements.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6.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8"/>
                <w:szCs w:val="18"/>
                <w:b w:val="1"/>
                <w:bCs w:val="1"/>
                <w:color w:val="auto"/>
                <w:w w:val="99"/>
              </w:rPr>
              <w:t>Years Ended October 31,</w:t>
            </w:r>
          </w:p>
        </w:tc>
        <w:tc>
          <w:tcPr>
            <w:tcW w:w="1420" w:type="dxa"/>
            <w:vAlign w:val="bottom"/>
            <w:tcBorders>
              <w:bottom w:val="single" w:sz="8" w:color="auto"/>
            </w:tcBorders>
          </w:tcPr>
          <w:p>
            <w:pPr>
              <w:spacing w:after="0"/>
              <w:rPr>
                <w:sz w:val="21"/>
                <w:szCs w:val="21"/>
                <w:color w:val="auto"/>
              </w:rPr>
            </w:pPr>
          </w:p>
        </w:tc>
      </w:tr>
      <w:tr>
        <w:trPr>
          <w:trHeight w:val="230"/>
        </w:trPr>
        <w:tc>
          <w:tcPr>
            <w:tcW w:w="53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top w:val="single" w:sz="8" w:color="auto"/>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4"/>
            <w:shd w:val="clear" w:color="auto" w:fill="DCE2EF"/>
          </w:tcPr>
          <w:p>
            <w:pPr>
              <w:ind w:left="4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3"/>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95.9</w:t>
            </w:r>
          </w:p>
        </w:tc>
        <w:tc>
          <w:tcPr>
            <w:tcW w:w="580" w:type="dxa"/>
            <w:vAlign w:val="bottom"/>
            <w:gridSpan w:val="5"/>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78.1</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20" w:type="dxa"/>
            <w:vAlign w:val="bottom"/>
            <w:gridSpan w:val="2"/>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62.3</w:t>
            </w:r>
          </w:p>
        </w:tc>
      </w:tr>
      <w:tr>
        <w:trPr>
          <w:trHeight w:val="264"/>
        </w:trPr>
        <w:tc>
          <w:tcPr>
            <w:tcW w:w="5360" w:type="dxa"/>
            <w:vAlign w:val="bottom"/>
            <w:tcBorders>
              <w:bottom w:val="single" w:sz="8" w:color="DCE2EF"/>
            </w:tcBorders>
            <w:gridSpan w:val="4"/>
          </w:tcPr>
          <w:p>
            <w:pPr>
              <w:ind w:left="40"/>
              <w:spacing w:after="0"/>
              <w:rPr>
                <w:sz w:val="20"/>
                <w:szCs w:val="20"/>
                <w:color w:val="auto"/>
              </w:rPr>
            </w:pPr>
            <w:r>
              <w:rPr>
                <w:rFonts w:ascii="Arial" w:cs="Arial" w:eastAsia="Arial" w:hAnsi="Arial"/>
                <w:sz w:val="18"/>
                <w:szCs w:val="18"/>
                <w:color w:val="auto"/>
              </w:rPr>
              <w:t>Income (loss) from discontinued operations, net of taxes</w:t>
            </w:r>
          </w:p>
        </w:tc>
        <w:tc>
          <w:tcPr>
            <w:tcW w:w="340" w:type="dxa"/>
            <w:vAlign w:val="bottom"/>
            <w:tcBorders>
              <w:bottom w:val="single" w:sz="8" w:color="DCE2E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DCE2EF"/>
            </w:tcBorders>
          </w:tcPr>
          <w:p>
            <w:pPr>
              <w:spacing w:after="0"/>
              <w:rPr>
                <w:sz w:val="22"/>
                <w:szCs w:val="22"/>
                <w:color w:val="auto"/>
              </w:rPr>
            </w:pPr>
          </w:p>
        </w:tc>
        <w:tc>
          <w:tcPr>
            <w:tcW w:w="8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0" w:type="dxa"/>
            <w:vAlign w:val="bottom"/>
            <w:tcBorders>
              <w:bottom w:val="single" w:sz="8" w:color="DCE2EF"/>
            </w:tcBorders>
          </w:tcPr>
          <w:p>
            <w:pPr>
              <w:spacing w:after="0"/>
              <w:rPr>
                <w:sz w:val="22"/>
                <w:szCs w:val="22"/>
                <w:color w:val="auto"/>
              </w:rPr>
            </w:pPr>
          </w:p>
        </w:tc>
        <w:tc>
          <w:tcPr>
            <w:tcW w:w="8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5360" w:type="dxa"/>
            <w:vAlign w:val="bottom"/>
            <w:gridSpan w:val="4"/>
            <w:shd w:val="clear" w:color="auto" w:fill="DCE2EF"/>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gridSpan w:val="3"/>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97.8</w:t>
            </w:r>
          </w:p>
        </w:tc>
        <w:tc>
          <w:tcPr>
            <w:tcW w:w="580" w:type="dxa"/>
            <w:vAlign w:val="bottom"/>
            <w:gridSpan w:val="5"/>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3.8</w:t>
            </w:r>
          </w:p>
        </w:tc>
        <w:tc>
          <w:tcPr>
            <w:tcW w:w="20" w:type="dxa"/>
            <w:vAlign w:val="bottom"/>
            <w:shd w:val="clear" w:color="auto" w:fill="DCE2EF"/>
          </w:tcPr>
          <w:p>
            <w:pPr>
              <w:spacing w:after="0"/>
              <w:rPr>
                <w:sz w:val="22"/>
                <w:szCs w:val="22"/>
                <w:color w:val="auto"/>
              </w:rPr>
            </w:pPr>
          </w:p>
        </w:tc>
        <w:tc>
          <w:tcPr>
            <w:tcW w:w="80" w:type="dxa"/>
            <w:vAlign w:val="bottom"/>
            <w:shd w:val="clear" w:color="auto" w:fill="DCE2EF"/>
          </w:tcPr>
          <w:p>
            <w:pPr>
              <w:spacing w:after="0"/>
              <w:rPr>
                <w:sz w:val="22"/>
                <w:szCs w:val="22"/>
                <w:color w:val="auto"/>
              </w:rPr>
            </w:pPr>
          </w:p>
        </w:tc>
        <w:tc>
          <w:tcPr>
            <w:tcW w:w="420" w:type="dxa"/>
            <w:vAlign w:val="bottom"/>
            <w:gridSpan w:val="2"/>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57.2</w:t>
            </w: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1540" w:type="dxa"/>
            <w:vAlign w:val="bottom"/>
            <w:tcBorders>
              <w:top w:val="single" w:sz="8" w:color="DCE2EF"/>
            </w:tcBorders>
          </w:tcPr>
          <w:p>
            <w:pPr>
              <w:spacing w:after="0" w:line="20" w:lineRule="exact"/>
              <w:rPr>
                <w:sz w:val="1"/>
                <w:szCs w:val="1"/>
                <w:color w:val="auto"/>
              </w:rPr>
            </w:pPr>
          </w:p>
        </w:tc>
        <w:tc>
          <w:tcPr>
            <w:tcW w:w="308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7"/>
        </w:trPr>
        <w:tc>
          <w:tcPr>
            <w:tcW w:w="5360" w:type="dxa"/>
            <w:vAlign w:val="bottom"/>
            <w:gridSpan w:val="4"/>
            <w:shd w:val="clear" w:color="auto" w:fill="DCE2EF"/>
          </w:tcPr>
          <w:p>
            <w:pPr>
              <w:ind w:left="40"/>
              <w:spacing w:after="0"/>
              <w:rPr>
                <w:sz w:val="20"/>
                <w:szCs w:val="20"/>
                <w:color w:val="auto"/>
              </w:rPr>
            </w:pPr>
            <w:r>
              <w:rPr>
                <w:rFonts w:ascii="Arial" w:cs="Arial" w:eastAsia="Arial" w:hAnsi="Arial"/>
                <w:sz w:val="18"/>
                <w:szCs w:val="18"/>
                <w:b w:val="1"/>
                <w:bCs w:val="1"/>
                <w:color w:val="auto"/>
              </w:rPr>
              <w:t>Weighted-average common and common equivalent shares</w:t>
            </w:r>
          </w:p>
        </w:tc>
        <w:tc>
          <w:tcPr>
            <w:tcW w:w="34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6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42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4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420" w:type="dxa"/>
            <w:vAlign w:val="bottom"/>
            <w:shd w:val="clear" w:color="auto" w:fill="DCE2EF"/>
          </w:tcPr>
          <w:p>
            <w:pPr>
              <w:spacing w:after="0"/>
              <w:rPr>
                <w:sz w:val="17"/>
                <w:szCs w:val="17"/>
                <w:color w:val="auto"/>
              </w:rPr>
            </w:pPr>
          </w:p>
        </w:tc>
      </w:tr>
      <w:tr>
        <w:trPr>
          <w:trHeight w:val="252"/>
        </w:trPr>
        <w:tc>
          <w:tcPr>
            <w:tcW w:w="40" w:type="dxa"/>
            <w:vAlign w:val="bottom"/>
            <w:shd w:val="clear" w:color="auto" w:fill="DCE2EF"/>
          </w:tcPr>
          <w:p>
            <w:pPr>
              <w:spacing w:after="0"/>
              <w:rPr>
                <w:sz w:val="21"/>
                <w:szCs w:val="21"/>
                <w:color w:val="auto"/>
              </w:rPr>
            </w:pPr>
          </w:p>
        </w:tc>
        <w:tc>
          <w:tcPr>
            <w:tcW w:w="5320" w:type="dxa"/>
            <w:vAlign w:val="bottom"/>
            <w:gridSpan w:val="3"/>
            <w:shd w:val="clear" w:color="auto" w:fill="DCE2EF"/>
          </w:tcPr>
          <w:p>
            <w:pPr>
              <w:ind w:left="160"/>
              <w:spacing w:after="0"/>
              <w:rPr>
                <w:sz w:val="20"/>
                <w:szCs w:val="20"/>
                <w:color w:val="auto"/>
              </w:rPr>
            </w:pPr>
            <w:r>
              <w:rPr>
                <w:rFonts w:ascii="Arial" w:cs="Arial" w:eastAsia="Arial" w:hAnsi="Arial"/>
                <w:sz w:val="18"/>
                <w:szCs w:val="18"/>
                <w:b w:val="1"/>
                <w:bCs w:val="1"/>
                <w:color w:val="auto"/>
              </w:rPr>
              <w:t>outstanding — Basic</w:t>
            </w:r>
          </w:p>
        </w:tc>
        <w:tc>
          <w:tcPr>
            <w:tcW w:w="34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66.1</w:t>
            </w:r>
          </w:p>
        </w:tc>
        <w:tc>
          <w:tcPr>
            <w:tcW w:w="6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380" w:type="dxa"/>
            <w:vAlign w:val="bottom"/>
            <w:shd w:val="clear" w:color="auto" w:fill="DCE2EF"/>
          </w:tcPr>
          <w:p>
            <w:pPr>
              <w:spacing w:after="0"/>
              <w:rPr>
                <w:sz w:val="21"/>
                <w:szCs w:val="21"/>
                <w:color w:val="auto"/>
              </w:rPr>
            </w:pP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57.7</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380" w:type="dxa"/>
            <w:vAlign w:val="bottom"/>
            <w:shd w:val="clear" w:color="auto" w:fill="DCE2EF"/>
          </w:tcPr>
          <w:p>
            <w:pPr>
              <w:spacing w:after="0"/>
              <w:rPr>
                <w:sz w:val="21"/>
                <w:szCs w:val="21"/>
                <w:color w:val="auto"/>
              </w:rPr>
            </w:pP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56.3</w:t>
            </w:r>
          </w:p>
        </w:tc>
      </w:tr>
      <w:tr>
        <w:trPr>
          <w:trHeight w:val="26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RSUs</w:t>
            </w:r>
          </w:p>
        </w:tc>
        <w:tc>
          <w:tcPr>
            <w:tcW w:w="34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0.3</w:t>
            </w: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0.3</w:t>
            </w:r>
          </w:p>
        </w:tc>
      </w:tr>
      <w:tr>
        <w:trPr>
          <w:trHeight w:val="263"/>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Performance shares</w:t>
            </w:r>
          </w:p>
        </w:tc>
        <w:tc>
          <w:tcPr>
            <w:tcW w:w="340" w:type="dxa"/>
            <w:vAlign w:val="bottom"/>
            <w:shd w:val="clear" w:color="auto" w:fill="DCE2EF"/>
          </w:tcPr>
          <w:p>
            <w:pPr>
              <w:spacing w:after="0"/>
              <w:rPr>
                <w:sz w:val="24"/>
                <w:szCs w:val="24"/>
                <w:color w:val="auto"/>
              </w:rPr>
            </w:pPr>
          </w:p>
        </w:tc>
        <w:tc>
          <w:tcPr>
            <w:tcW w:w="20" w:type="dxa"/>
            <w:vAlign w:val="bottom"/>
            <w:tcBorders>
              <w:bottom w:val="single" w:sz="8" w:color="auto"/>
            </w:tcBorders>
            <w:shd w:val="clear" w:color="auto" w:fill="DCE2EF"/>
          </w:tcPr>
          <w:p>
            <w:pPr>
              <w:spacing w:after="0"/>
              <w:rPr>
                <w:sz w:val="24"/>
                <w:szCs w:val="24"/>
                <w:color w:val="auto"/>
              </w:rPr>
            </w:pPr>
          </w:p>
        </w:tc>
        <w:tc>
          <w:tcPr>
            <w:tcW w:w="400" w:type="dxa"/>
            <w:vAlign w:val="bottom"/>
            <w:tcBorders>
              <w:bottom w:val="single" w:sz="8" w:color="auto"/>
            </w:tcBorders>
            <w:shd w:val="clear" w:color="auto" w:fill="DCE2EF"/>
          </w:tcPr>
          <w:p>
            <w:pPr>
              <w:spacing w:after="0"/>
              <w:rPr>
                <w:sz w:val="24"/>
                <w:szCs w:val="24"/>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tcBorders>
              <w:bottom w:val="single" w:sz="8" w:color="auto"/>
            </w:tcBorders>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42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0.1</w:t>
            </w: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tcBorders>
              <w:bottom w:val="single" w:sz="8" w:color="auto"/>
            </w:tcBorders>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4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0.1</w:t>
            </w:r>
          </w:p>
        </w:tc>
      </w:tr>
      <w:tr>
        <w:trPr>
          <w:trHeight w:val="187"/>
        </w:trPr>
        <w:tc>
          <w:tcPr>
            <w:tcW w:w="5360" w:type="dxa"/>
            <w:vAlign w:val="bottom"/>
            <w:gridSpan w:val="4"/>
          </w:tcPr>
          <w:p>
            <w:pPr>
              <w:ind w:left="40"/>
              <w:spacing w:after="0" w:line="187" w:lineRule="exact"/>
              <w:rPr>
                <w:sz w:val="20"/>
                <w:szCs w:val="20"/>
                <w:color w:val="auto"/>
              </w:rPr>
            </w:pPr>
            <w:r>
              <w:rPr>
                <w:rFonts w:ascii="Arial" w:cs="Arial" w:eastAsia="Arial" w:hAnsi="Arial"/>
                <w:sz w:val="18"/>
                <w:szCs w:val="18"/>
                <w:b w:val="1"/>
                <w:bCs w:val="1"/>
                <w:color w:val="auto"/>
              </w:rPr>
              <w:t>Weighted-average common and common equivalent shares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79"/>
        </w:trPr>
        <w:tc>
          <w:tcPr>
            <w:tcW w:w="40" w:type="dxa"/>
            <w:vAlign w:val="bottom"/>
            <w:tcBorders>
              <w:bottom w:val="single" w:sz="8" w:color="DCE2EF"/>
            </w:tcBorders>
          </w:tcPr>
          <w:p>
            <w:pPr>
              <w:spacing w:after="0"/>
              <w:rPr>
                <w:sz w:val="24"/>
                <w:szCs w:val="24"/>
                <w:color w:val="auto"/>
              </w:rPr>
            </w:pPr>
          </w:p>
        </w:tc>
        <w:tc>
          <w:tcPr>
            <w:tcW w:w="5320" w:type="dxa"/>
            <w:vAlign w:val="bottom"/>
            <w:tcBorders>
              <w:bottom w:val="single" w:sz="8" w:color="DCE2EF"/>
            </w:tcBorders>
            <w:gridSpan w:val="3"/>
          </w:tcPr>
          <w:p>
            <w:pPr>
              <w:ind w:left="160"/>
              <w:spacing w:after="0"/>
              <w:rPr>
                <w:sz w:val="20"/>
                <w:szCs w:val="20"/>
                <w:color w:val="auto"/>
              </w:rPr>
            </w:pPr>
            <w:r>
              <w:rPr>
                <w:rFonts w:ascii="Arial" w:cs="Arial" w:eastAsia="Arial" w:hAnsi="Arial"/>
                <w:sz w:val="18"/>
                <w:szCs w:val="18"/>
                <w:b w:val="1"/>
                <w:bCs w:val="1"/>
                <w:color w:val="auto"/>
              </w:rPr>
              <w:t>outstanding — Diluted</w:t>
            </w:r>
          </w:p>
        </w:tc>
        <w:tc>
          <w:tcPr>
            <w:tcW w:w="340" w:type="dxa"/>
            <w:vAlign w:val="bottom"/>
            <w:tcBorders>
              <w:bottom w:val="single" w:sz="8" w:color="DCE2E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DCE2EF"/>
            </w:tcBorders>
          </w:tcPr>
          <w:p>
            <w:pPr>
              <w:spacing w:after="0"/>
              <w:rPr>
                <w:sz w:val="24"/>
                <w:szCs w:val="24"/>
                <w:color w:val="auto"/>
              </w:rPr>
            </w:pPr>
          </w:p>
        </w:tc>
        <w:tc>
          <w:tcPr>
            <w:tcW w:w="80" w:type="dxa"/>
            <w:vAlign w:val="bottom"/>
            <w:tcBorders>
              <w:bottom w:val="single" w:sz="8" w:color="DCE2E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w:t>
            </w:r>
          </w:p>
        </w:tc>
        <w:tc>
          <w:tcPr>
            <w:tcW w:w="20" w:type="dxa"/>
            <w:vAlign w:val="bottom"/>
            <w:tcBorders>
              <w:bottom w:val="single" w:sz="8" w:color="DCE2EF"/>
            </w:tcBorders>
          </w:tcPr>
          <w:p>
            <w:pPr>
              <w:spacing w:after="0"/>
              <w:rPr>
                <w:sz w:val="24"/>
                <w:szCs w:val="24"/>
                <w:color w:val="auto"/>
              </w:rPr>
            </w:pPr>
          </w:p>
        </w:tc>
        <w:tc>
          <w:tcPr>
            <w:tcW w:w="80" w:type="dxa"/>
            <w:vAlign w:val="bottom"/>
            <w:tcBorders>
              <w:bottom w:val="single" w:sz="8" w:color="DCE2E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r>
      <w:tr>
        <w:trPr>
          <w:trHeight w:val="278"/>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c>
          <w:tcPr>
            <w:tcW w:w="308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42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420" w:type="dxa"/>
            <w:vAlign w:val="bottom"/>
            <w:shd w:val="clear" w:color="auto" w:fill="DCE2EF"/>
          </w:tcPr>
          <w:p>
            <w:pPr>
              <w:spacing w:after="0"/>
              <w:rPr>
                <w:sz w:val="24"/>
                <w:szCs w:val="24"/>
                <w:color w:val="auto"/>
              </w:rPr>
            </w:pPr>
          </w:p>
        </w:tc>
      </w:tr>
      <w:tr>
        <w:trPr>
          <w:trHeight w:val="263"/>
        </w:trPr>
        <w:tc>
          <w:tcPr>
            <w:tcW w:w="536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income per common share — Basic</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3"/>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1.45</w:t>
            </w:r>
          </w:p>
        </w:tc>
        <w:tc>
          <w:tcPr>
            <w:tcW w:w="580" w:type="dxa"/>
            <w:vAlign w:val="bottom"/>
            <w:gridSpan w:val="5"/>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20" w:type="dxa"/>
            <w:vAlign w:val="bottom"/>
            <w:gridSpan w:val="2"/>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1.11</w:t>
            </w:r>
          </w:p>
        </w:tc>
      </w:tr>
      <w:tr>
        <w:trPr>
          <w:trHeight w:val="264"/>
        </w:trPr>
        <w:tc>
          <w:tcPr>
            <w:tcW w:w="40" w:type="dxa"/>
            <w:vAlign w:val="bottom"/>
            <w:tcBorders>
              <w:bottom w:val="single" w:sz="8" w:color="DCE2EF"/>
            </w:tcBorders>
          </w:tcPr>
          <w:p>
            <w:pPr>
              <w:spacing w:after="0"/>
              <w:rPr>
                <w:sz w:val="22"/>
                <w:szCs w:val="22"/>
                <w:color w:val="auto"/>
              </w:rPr>
            </w:pPr>
          </w:p>
        </w:tc>
        <w:tc>
          <w:tcPr>
            <w:tcW w:w="5320" w:type="dxa"/>
            <w:vAlign w:val="bottom"/>
            <w:tcBorders>
              <w:bottom w:val="single" w:sz="8" w:color="DCE2EF"/>
            </w:tcBorders>
            <w:gridSpan w:val="3"/>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DCE2E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DCE2EF"/>
            </w:tcBorders>
          </w:tcPr>
          <w:p>
            <w:pPr>
              <w:spacing w:after="0"/>
              <w:rPr>
                <w:sz w:val="22"/>
                <w:szCs w:val="22"/>
                <w:color w:val="auto"/>
              </w:rPr>
            </w:pPr>
          </w:p>
        </w:tc>
        <w:tc>
          <w:tcPr>
            <w:tcW w:w="8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DCE2EF"/>
            </w:tcBorders>
          </w:tcPr>
          <w:p>
            <w:pPr>
              <w:spacing w:after="0"/>
              <w:rPr>
                <w:sz w:val="22"/>
                <w:szCs w:val="22"/>
                <w:color w:val="auto"/>
              </w:rPr>
            </w:pPr>
          </w:p>
        </w:tc>
        <w:tc>
          <w:tcPr>
            <w:tcW w:w="8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57"/>
        </w:trPr>
        <w:tc>
          <w:tcPr>
            <w:tcW w:w="40" w:type="dxa"/>
            <w:vAlign w:val="bottom"/>
            <w:shd w:val="clear" w:color="auto" w:fill="DCE2EF"/>
          </w:tcPr>
          <w:p>
            <w:pPr>
              <w:spacing w:after="0"/>
              <w:rPr>
                <w:sz w:val="22"/>
                <w:szCs w:val="22"/>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760" w:type="dxa"/>
            <w:vAlign w:val="bottom"/>
            <w:gridSpan w:val="3"/>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1.48</w:t>
            </w:r>
          </w:p>
        </w:tc>
        <w:tc>
          <w:tcPr>
            <w:tcW w:w="580" w:type="dxa"/>
            <w:vAlign w:val="bottom"/>
            <w:gridSpan w:val="5"/>
            <w:shd w:val="clear" w:color="auto" w:fill="DCE2E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0.07</w:t>
            </w:r>
          </w:p>
        </w:tc>
        <w:tc>
          <w:tcPr>
            <w:tcW w:w="20" w:type="dxa"/>
            <w:vAlign w:val="bottom"/>
            <w:shd w:val="clear" w:color="auto" w:fill="DCE2EF"/>
          </w:tcPr>
          <w:p>
            <w:pPr>
              <w:spacing w:after="0"/>
              <w:rPr>
                <w:sz w:val="22"/>
                <w:szCs w:val="22"/>
                <w:color w:val="auto"/>
              </w:rPr>
            </w:pPr>
          </w:p>
        </w:tc>
        <w:tc>
          <w:tcPr>
            <w:tcW w:w="80" w:type="dxa"/>
            <w:vAlign w:val="bottom"/>
            <w:shd w:val="clear" w:color="auto" w:fill="DCE2EF"/>
          </w:tcPr>
          <w:p>
            <w:pPr>
              <w:spacing w:after="0"/>
              <w:rPr>
                <w:sz w:val="22"/>
                <w:szCs w:val="22"/>
                <w:color w:val="auto"/>
              </w:rPr>
            </w:pPr>
          </w:p>
        </w:tc>
        <w:tc>
          <w:tcPr>
            <w:tcW w:w="420" w:type="dxa"/>
            <w:vAlign w:val="bottom"/>
            <w:gridSpan w:val="2"/>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1.02</w:t>
            </w: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1540" w:type="dxa"/>
            <w:vAlign w:val="bottom"/>
            <w:tcBorders>
              <w:top w:val="single" w:sz="8" w:color="DCE2EF"/>
            </w:tcBorders>
          </w:tcPr>
          <w:p>
            <w:pPr>
              <w:spacing w:after="0" w:line="20" w:lineRule="exact"/>
              <w:rPr>
                <w:sz w:val="1"/>
                <w:szCs w:val="1"/>
                <w:color w:val="auto"/>
              </w:rPr>
            </w:pPr>
          </w:p>
        </w:tc>
        <w:tc>
          <w:tcPr>
            <w:tcW w:w="308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5360" w:type="dxa"/>
            <w:vAlign w:val="bottom"/>
            <w:gridSpan w:val="4"/>
            <w:shd w:val="clear" w:color="auto" w:fill="DCE2EF"/>
          </w:tcPr>
          <w:p>
            <w:pPr>
              <w:ind w:left="40"/>
              <w:spacing w:after="0"/>
              <w:rPr>
                <w:sz w:val="20"/>
                <w:szCs w:val="20"/>
                <w:color w:val="auto"/>
              </w:rPr>
            </w:pPr>
            <w:r>
              <w:rPr>
                <w:rFonts w:ascii="Arial" w:cs="Arial" w:eastAsia="Arial" w:hAnsi="Arial"/>
                <w:sz w:val="18"/>
                <w:szCs w:val="18"/>
                <w:b w:val="1"/>
                <w:bCs w:val="1"/>
                <w:color w:val="auto"/>
              </w:rPr>
              <w:t>Net income per common share — Diluted</w:t>
            </w:r>
          </w:p>
        </w:tc>
        <w:tc>
          <w:tcPr>
            <w:tcW w:w="34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400" w:type="dxa"/>
            <w:vAlign w:val="bottom"/>
            <w:shd w:val="clear" w:color="auto" w:fill="DCE2EF"/>
          </w:tcPr>
          <w:p>
            <w:pPr>
              <w:spacing w:after="0"/>
              <w:rPr>
                <w:sz w:val="23"/>
                <w:szCs w:val="23"/>
                <w:color w:val="auto"/>
              </w:rPr>
            </w:pPr>
          </w:p>
        </w:tc>
        <w:tc>
          <w:tcPr>
            <w:tcW w:w="13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42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420" w:type="dxa"/>
            <w:vAlign w:val="bottom"/>
            <w:shd w:val="clear" w:color="auto" w:fill="DCE2E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c>
          <w:tcPr>
            <w:tcW w:w="58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0"/>
        </w:trPr>
        <w:tc>
          <w:tcPr>
            <w:tcW w:w="40" w:type="dxa"/>
            <w:vAlign w:val="bottom"/>
            <w:shd w:val="clear" w:color="auto" w:fill="DCE2EF"/>
          </w:tcPr>
          <w:p>
            <w:pPr>
              <w:spacing w:after="0"/>
              <w:rPr>
                <w:sz w:val="23"/>
                <w:szCs w:val="23"/>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shd w:val="clear" w:color="auto" w:fill="DCE2EF"/>
          </w:tcPr>
          <w:p>
            <w:pPr>
              <w:spacing w:after="0"/>
              <w:rPr>
                <w:sz w:val="23"/>
                <w:szCs w:val="23"/>
                <w:color w:val="auto"/>
              </w:rPr>
            </w:pPr>
          </w:p>
        </w:tc>
        <w:tc>
          <w:tcPr>
            <w:tcW w:w="20" w:type="dxa"/>
            <w:vAlign w:val="bottom"/>
            <w:tcBorders>
              <w:bottom w:val="single" w:sz="8" w:color="auto"/>
            </w:tcBorders>
            <w:shd w:val="clear" w:color="auto" w:fill="DCE2EF"/>
          </w:tcPr>
          <w:p>
            <w:pPr>
              <w:spacing w:after="0"/>
              <w:rPr>
                <w:sz w:val="23"/>
                <w:szCs w:val="23"/>
                <w:color w:val="auto"/>
              </w:rPr>
            </w:pPr>
          </w:p>
        </w:tc>
        <w:tc>
          <w:tcPr>
            <w:tcW w:w="400" w:type="dxa"/>
            <w:vAlign w:val="bottom"/>
            <w:tcBorders>
              <w:bottom w:val="single" w:sz="8" w:color="auto"/>
            </w:tcBorders>
            <w:shd w:val="clear" w:color="auto" w:fill="DCE2EF"/>
          </w:tcPr>
          <w:p>
            <w:pPr>
              <w:spacing w:after="0"/>
              <w:rPr>
                <w:sz w:val="23"/>
                <w:szCs w:val="23"/>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0.03</w:t>
            </w:r>
          </w:p>
        </w:tc>
        <w:tc>
          <w:tcPr>
            <w:tcW w:w="60" w:type="dxa"/>
            <w:vAlign w:val="bottom"/>
            <w:tcBorders>
              <w:bottom w:val="single" w:sz="8" w:color="auto"/>
            </w:tcBorders>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0" w:type="dxa"/>
            <w:vAlign w:val="bottom"/>
            <w:tcBorders>
              <w:bottom w:val="single" w:sz="8" w:color="auto"/>
            </w:tcBorders>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0" w:type="dxa"/>
            <w:vAlign w:val="bottom"/>
            <w:tcBorders>
              <w:bottom w:val="single" w:sz="8" w:color="auto"/>
            </w:tcBorders>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(0.09)</w:t>
            </w:r>
          </w:p>
        </w:tc>
      </w:tr>
      <w:tr>
        <w:trPr>
          <w:trHeight w:val="257"/>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58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060" w:type="dxa"/>
            <w:vAlign w:val="bottom"/>
            <w:gridSpan w:val="13"/>
          </w:tcPr>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8"/>
                <w:szCs w:val="18"/>
                <w:b w:val="1"/>
                <w:bCs w:val="1"/>
                <w:color w:val="auto"/>
                <w:w w:val="99"/>
              </w:rPr>
              <w:t>Years Ended October 31,</w:t>
            </w:r>
          </w:p>
        </w:tc>
        <w:tc>
          <w:tcPr>
            <w:tcW w:w="1420" w:type="dxa"/>
            <w:vAlign w:val="bottom"/>
            <w:tcBorders>
              <w:bottom w:val="single" w:sz="8" w:color="auto"/>
            </w:tcBorders>
          </w:tcPr>
          <w:p>
            <w:pPr>
              <w:spacing w:after="0"/>
              <w:rPr>
                <w:sz w:val="24"/>
                <w:szCs w:val="24"/>
                <w:color w:val="auto"/>
              </w:rPr>
            </w:pPr>
          </w:p>
        </w:tc>
      </w:tr>
      <w:tr>
        <w:trPr>
          <w:trHeight w:val="230"/>
        </w:trPr>
        <w:tc>
          <w:tcPr>
            <w:tcW w:w="53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4"/>
            <w:shd w:val="clear" w:color="auto" w:fill="DCE2EF"/>
          </w:tcPr>
          <w:p>
            <w:pPr>
              <w:ind w:left="40"/>
              <w:spacing w:after="0"/>
              <w:rPr>
                <w:sz w:val="20"/>
                <w:szCs w:val="20"/>
                <w:color w:val="auto"/>
              </w:rPr>
            </w:pPr>
            <w:r>
              <w:rPr>
                <w:rFonts w:ascii="Arial" w:cs="Arial" w:eastAsia="Arial" w:hAnsi="Arial"/>
                <w:sz w:val="18"/>
                <w:szCs w:val="18"/>
                <w:b w:val="1"/>
                <w:bCs w:val="1"/>
                <w:color w:val="auto"/>
              </w:rPr>
              <w:t>Anti-dilutive</w:t>
            </w:r>
          </w:p>
        </w:tc>
        <w:tc>
          <w:tcPr>
            <w:tcW w:w="34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400" w:type="dxa"/>
            <w:vAlign w:val="bottom"/>
            <w:shd w:val="clear" w:color="auto" w:fill="DCE2EF"/>
          </w:tcPr>
          <w:p>
            <w:pPr>
              <w:spacing w:after="0"/>
              <w:rPr>
                <w:sz w:val="21"/>
                <w:szCs w:val="21"/>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380" w:type="dxa"/>
            <w:vAlign w:val="bottom"/>
            <w:shd w:val="clear" w:color="auto" w:fill="DCE2EF"/>
          </w:tcPr>
          <w:p>
            <w:pPr>
              <w:spacing w:after="0"/>
              <w:rPr>
                <w:sz w:val="21"/>
                <w:szCs w:val="21"/>
                <w:color w:val="auto"/>
              </w:rPr>
            </w:pPr>
          </w:p>
        </w:tc>
        <w:tc>
          <w:tcPr>
            <w:tcW w:w="1520" w:type="dxa"/>
            <w:vAlign w:val="bottom"/>
            <w:gridSpan w:val="3"/>
            <w:shd w:val="clear" w:color="auto" w:fill="DCE2EF"/>
          </w:tcPr>
          <w:p>
            <w:pPr>
              <w:ind w:left="1160"/>
              <w:spacing w:after="0"/>
              <w:rPr>
                <w:sz w:val="20"/>
                <w:szCs w:val="20"/>
                <w:color w:val="auto"/>
              </w:rPr>
            </w:pPr>
            <w:r>
              <w:rPr>
                <w:rFonts w:ascii="Arial" w:cs="Arial" w:eastAsia="Arial" w:hAnsi="Arial"/>
                <w:sz w:val="18"/>
                <w:szCs w:val="18"/>
                <w:color w:val="auto"/>
              </w:rPr>
              <w:t>—</w:t>
            </w:r>
          </w:p>
        </w:tc>
        <w:tc>
          <w:tcPr>
            <w:tcW w:w="40" w:type="dxa"/>
            <w:vAlign w:val="bottom"/>
            <w:shd w:val="clear" w:color="auto" w:fill="DCE2EF"/>
          </w:tcPr>
          <w:p>
            <w:pPr>
              <w:spacing w:after="0"/>
              <w:rPr>
                <w:sz w:val="21"/>
                <w:szCs w:val="21"/>
                <w:color w:val="auto"/>
              </w:rPr>
            </w:pPr>
          </w:p>
        </w:tc>
        <w:tc>
          <w:tcPr>
            <w:tcW w:w="380" w:type="dxa"/>
            <w:vAlign w:val="bottom"/>
            <w:shd w:val="clear" w:color="auto" w:fill="DCE2EF"/>
          </w:tcPr>
          <w:p>
            <w:pPr>
              <w:spacing w:after="0"/>
              <w:rPr>
                <w:sz w:val="21"/>
                <w:szCs w:val="21"/>
                <w:color w:val="auto"/>
              </w:rPr>
            </w:pPr>
          </w:p>
        </w:tc>
        <w:tc>
          <w:tcPr>
            <w:tcW w:w="14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0.1</w:t>
            </w:r>
          </w:p>
        </w:tc>
      </w:tr>
      <w:tr>
        <w:trPr>
          <w:trHeight w:val="62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70</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0046AD"/>
        </w:rPr>
        <w:t>7.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As of October 31,</w:t>
            </w:r>
          </w:p>
        </w:tc>
      </w:tr>
      <w:tr>
        <w:trPr>
          <w:trHeight w:val="193"/>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6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9"/>
              </w:rPr>
              <w:t>Fair Value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Hierarchy</w:t>
            </w:r>
          </w:p>
        </w:tc>
        <w:tc>
          <w:tcPr>
            <w:tcW w:w="34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000" w:type="dxa"/>
            <w:vAlign w:val="bottom"/>
            <w:tcBorders>
              <w:bottom w:val="single" w:sz="8" w:color="DCE2E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15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62.8</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Insurance deposits</w:t>
            </w:r>
            <w:r>
              <w:rPr>
                <w:rFonts w:ascii="Arial" w:cs="Arial" w:eastAsia="Arial" w:hAnsi="Arial"/>
                <w:sz w:val="21"/>
                <w:szCs w:val="21"/>
                <w:color w:val="auto"/>
                <w:vertAlign w:val="superscript"/>
              </w:rPr>
              <w:t>(2)</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Assets held in funded deferred compensation plan</w:t>
            </w:r>
            <w:r>
              <w:rPr>
                <w:rFonts w:ascii="Arial" w:cs="Arial" w:eastAsia="Arial" w:hAnsi="Arial"/>
                <w:sz w:val="21"/>
                <w:szCs w:val="21"/>
                <w:color w:val="auto"/>
                <w:vertAlign w:val="superscript"/>
              </w:rPr>
              <w:t>(3)</w:t>
            </w:r>
          </w:p>
        </w:tc>
        <w:tc>
          <w:tcPr>
            <w:tcW w:w="15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4.6</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Credit facility</w:t>
            </w:r>
            <w:r>
              <w:rPr>
                <w:rFonts w:ascii="Arial" w:cs="Arial" w:eastAsia="Arial" w:hAnsi="Arial"/>
                <w:sz w:val="21"/>
                <w:szCs w:val="21"/>
                <w:color w:val="auto"/>
                <w:vertAlign w:val="superscript"/>
              </w:rPr>
              <w:t>(4)</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1,191.2</w:t>
            </w:r>
          </w:p>
        </w:tc>
      </w:tr>
      <w:tr>
        <w:trPr>
          <w:trHeight w:val="27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Interest rate swaps</w:t>
            </w:r>
            <w:r>
              <w:rPr>
                <w:rFonts w:ascii="Arial" w:cs="Arial" w:eastAsia="Arial" w:hAnsi="Arial"/>
                <w:sz w:val="21"/>
                <w:szCs w:val="21"/>
                <w:color w:val="auto"/>
                <w:vertAlign w:val="superscript"/>
              </w:rPr>
              <w:t>(5)</w:t>
            </w:r>
          </w:p>
        </w:tc>
        <w:tc>
          <w:tcPr>
            <w:tcW w:w="15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Investments in auction rate securities</w:t>
            </w:r>
            <w:r>
              <w:rPr>
                <w:rFonts w:ascii="Arial" w:cs="Arial" w:eastAsia="Arial" w:hAnsi="Arial"/>
                <w:sz w:val="21"/>
                <w:szCs w:val="21"/>
                <w:color w:val="auto"/>
                <w:vertAlign w:val="superscript"/>
              </w:rPr>
              <w:t>(6)</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6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Contingent consideration liability</w:t>
            </w:r>
            <w:r>
              <w:rPr>
                <w:rFonts w:ascii="Arial" w:cs="Arial" w:eastAsia="Arial" w:hAnsi="Arial"/>
                <w:sz w:val="21"/>
                <w:szCs w:val="21"/>
                <w:color w:val="auto"/>
                <w:vertAlign w:val="superscript"/>
              </w:rPr>
              <w:t>(7)</w:t>
            </w:r>
          </w:p>
        </w:tc>
        <w:tc>
          <w:tcPr>
            <w:tcW w:w="15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26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0.9</w:t>
            </w:r>
          </w:p>
        </w:tc>
      </w:tr>
    </w:tbl>
    <w:p>
      <w:pPr>
        <w:spacing w:after="0" w:line="117"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56" w:lineRule="exact"/>
        <w:rPr>
          <w:rFonts w:ascii="Arial" w:cs="Arial" w:eastAsia="Arial" w:hAnsi="Arial"/>
          <w:sz w:val="21"/>
          <w:szCs w:val="21"/>
          <w:color w:val="auto"/>
          <w:vertAlign w:val="superscript"/>
        </w:rPr>
      </w:pPr>
    </w:p>
    <w:p>
      <w:pPr>
        <w:jc w:val="both"/>
        <w:ind w:right="20" w:firstLine="8"/>
        <w:spacing w:after="0" w:line="221" w:lineRule="auto"/>
        <w:tabs>
          <w:tab w:leader="none" w:pos="202"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Represents restricted deposits that are used to collateralize our insurance obligations and are stated at nominal value, which equals fair value. These insurance deposits are included in “Other noncurrent assets” on the accompanying consolidated balance sheets. See Note 11, “Insurance,” for further information.</w:t>
      </w:r>
    </w:p>
    <w:p>
      <w:pPr>
        <w:spacing w:after="0" w:line="157" w:lineRule="exact"/>
        <w:rPr>
          <w:rFonts w:ascii="Arial" w:cs="Arial" w:eastAsia="Arial" w:hAnsi="Arial"/>
          <w:sz w:val="22"/>
          <w:szCs w:val="22"/>
          <w:color w:val="auto"/>
          <w:vertAlign w:val="superscript"/>
        </w:rPr>
      </w:pPr>
    </w:p>
    <w:p>
      <w:pPr>
        <w:jc w:val="both"/>
        <w:ind w:firstLine="8"/>
        <w:spacing w:after="0" w:line="234"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consolidated balance sheets. The fair value of the assets held in the funded deferred compensation plan is based on quoted market prices. See Note 13, “Employee Benefit Plans,” for further information.</w:t>
      </w:r>
    </w:p>
    <w:p>
      <w:pPr>
        <w:spacing w:after="0" w:line="157" w:lineRule="exact"/>
        <w:rPr>
          <w:rFonts w:ascii="Arial" w:cs="Arial" w:eastAsia="Arial" w:hAnsi="Arial"/>
          <w:sz w:val="21"/>
          <w:szCs w:val="21"/>
          <w:color w:val="auto"/>
          <w:vertAlign w:val="superscript"/>
        </w:rPr>
      </w:pPr>
    </w:p>
    <w:p>
      <w:pPr>
        <w:ind w:firstLine="8"/>
        <w:spacing w:after="0" w:line="263" w:lineRule="auto"/>
        <w:tabs>
          <w:tab w:leader="none" w:pos="16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Represents gross outstanding borrowings under our syndicated line of credit and term loan. Due to variable interest rates, the carrying value of outstanding borrowings under our line of credit and term loan approximates the fair value. See Note 12, “Credit Facility,” for further information.</w:t>
      </w:r>
    </w:p>
    <w:p>
      <w:pPr>
        <w:spacing w:after="0" w:line="136" w:lineRule="exact"/>
        <w:rPr>
          <w:rFonts w:ascii="Arial" w:cs="Arial" w:eastAsia="Arial" w:hAnsi="Arial"/>
          <w:sz w:val="18"/>
          <w:szCs w:val="18"/>
          <w:color w:val="auto"/>
          <w:vertAlign w:val="superscript"/>
        </w:rPr>
      </w:pPr>
    </w:p>
    <w:p>
      <w:pPr>
        <w:jc w:val="both"/>
        <w:ind w:firstLine="8"/>
        <w:spacing w:after="0" w:line="274" w:lineRule="auto"/>
        <w:tabs>
          <w:tab w:leader="none" w:pos="16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During April 2018, we elected to terminate our interest rate swaps and recognized a gain in AOCI. We subsequently entered into new forward starting interest rate swaps. See Note 12, “Credit Facility,” for further information. Our interest rate swaps are included in “Other noncurrent assets” on the accompanying consolidated balance sheets.</w:t>
      </w:r>
    </w:p>
    <w:p>
      <w:pPr>
        <w:spacing w:after="0" w:line="135" w:lineRule="exact"/>
        <w:rPr>
          <w:rFonts w:ascii="Arial" w:cs="Arial" w:eastAsia="Arial" w:hAnsi="Arial"/>
          <w:sz w:val="18"/>
          <w:szCs w:val="18"/>
          <w:color w:val="auto"/>
          <w:vertAlign w:val="superscript"/>
        </w:rPr>
      </w:pPr>
    </w:p>
    <w:p>
      <w:pPr>
        <w:jc w:val="both"/>
        <w:ind w:firstLine="8"/>
        <w:spacing w:after="0" w:line="272" w:lineRule="auto"/>
        <w:tabs>
          <w:tab w:leader="none" w:pos="16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 These amounts are included in “Other investments” on the accompanying consolidated balance sheets. See Note 8, “Auction Rate Securities,” for further information.</w:t>
      </w:r>
    </w:p>
    <w:p>
      <w:pPr>
        <w:spacing w:after="0" w:line="136" w:lineRule="exact"/>
        <w:rPr>
          <w:rFonts w:ascii="Arial" w:cs="Arial" w:eastAsia="Arial" w:hAnsi="Arial"/>
          <w:sz w:val="18"/>
          <w:szCs w:val="18"/>
          <w:color w:val="auto"/>
          <w:vertAlign w:val="superscript"/>
        </w:rPr>
      </w:pPr>
    </w:p>
    <w:p>
      <w:pPr>
        <w:jc w:val="both"/>
        <w:ind w:firstLine="8"/>
        <w:spacing w:after="0" w:line="251" w:lineRule="auto"/>
        <w:tabs>
          <w:tab w:leader="none" w:pos="178"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Certain of our acquisitions involve the payment of contingent consideration. The fair value of these liabilities is based on the expected achievement of certain pre-established revenue goals. In connection with the MSI acquisition during 2017, we recorded one new contingent consideration liability. Based on the metrics of the underlying pre-established revenue goals, this contingent consideration liability was reduced to a nominal value at October 31, 2018. This contingent consideration liability is included on the accompanying consolidated balance sheets in “Other noncurrent liabilities” at October 31, 2017.</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2018 and 2017,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4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During 2018, we recorded impairment charges on goodwill and customer relationships in connection with our annual assessment of goodwill. During 2016, we recorded impairment charges on both long-lived assets and goodwill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22" w:right="239" w:bottom="1440" w:gutter="0" w:footer="0" w:header="0"/>
        </w:sectPr>
      </w:pPr>
    </w:p>
    <w:bookmarkStart w:id="75" w:name="page76"/>
    <w:bookmarkEnd w:id="75"/>
    <w:p>
      <w:pPr>
        <w:jc w:val="both"/>
        <w:spacing w:after="0" w:line="262" w:lineRule="auto"/>
        <w:rPr>
          <w:sz w:val="20"/>
          <w:szCs w:val="20"/>
          <w:color w:val="auto"/>
        </w:rPr>
      </w:pPr>
      <w:r>
        <w:rPr>
          <w:rFonts w:ascii="Arial" w:cs="Arial" w:eastAsia="Arial" w:hAnsi="Arial"/>
          <w:sz w:val="18"/>
          <w:szCs w:val="18"/>
          <w:color w:val="auto"/>
        </w:rPr>
        <w:t>associated with the classification of the former Government Services business as held for sale. The impairment charges were recovered in 2017. See Note 10, “Goodwill and Other Intangible Assets,” for further information.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Fair value of these items was determined based on unobservable Level 3 inputs. The fair value of customer relationships was determined based on discounted cash flows associated with the customer relationships that include significant management assumptions, including expected proceeds. The fair value of goodwill was determined based on discounted cash flow analyses that include significant management assumptions, such as revenue growth rates, operating margins, weighted average cost of capital, and future economic and market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8. AUCTION RATE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2017, we held investments in auction rate securities from two different issuers that had an aggregate original principal amount of $10.0 million and an amortized cost and fair value of $8.0 million. During the third quarter of 2018, we sold one of our auction rate securities with an original par value of $5.0 million and an amortized cost basis of $3.0 million for proceeds of $2.9 million. The resulting loss is included in “Selling, general and administrative expenses” on the accompanying consolidated statements of comprehensive income. The total amount of other-than-temporary impairment credit loss previously recognized on this security investment and included in our retained earnings was $2.0 million.</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2018, the remaining auction rate security had an aggregate original principal amount, amortized cost, and fair value of $5.0 million. This auction rate security is a debt instrument with a stated maturity in 2050. The interest rate for this security is designed to be reset through Dutch auctions approximately every thirty days; however, auctions for this security have not occurred since August 2007.</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2018 and 2017, there were no unrealized gains or losses on our auction rate securities included in AOCI.</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DCE2EF"/>
            </w:tcBorders>
          </w:tcPr>
          <w:p>
            <w:pPr>
              <w:spacing w:after="0"/>
              <w:rPr>
                <w:sz w:val="21"/>
                <w:szCs w:val="21"/>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2018</w:t>
            </w:r>
          </w:p>
        </w:tc>
        <w:tc>
          <w:tcPr>
            <w:tcW w:w="100" w:type="dxa"/>
            <w:vAlign w:val="bottom"/>
            <w:tcBorders>
              <w:bottom w:val="single" w:sz="8" w:color="DCE2EF"/>
            </w:tcBorders>
          </w:tcPr>
          <w:p>
            <w:pPr>
              <w:spacing w:after="0"/>
              <w:rPr>
                <w:sz w:val="21"/>
                <w:szCs w:val="21"/>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2017</w:t>
            </w:r>
          </w:p>
        </w:tc>
      </w:tr>
      <w:tr>
        <w:trPr>
          <w:trHeight w:val="257"/>
        </w:trPr>
        <w:tc>
          <w:tcPr>
            <w:tcW w:w="528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Discount rates</w:t>
            </w:r>
          </w:p>
        </w:tc>
        <w:tc>
          <w:tcPr>
            <w:tcW w:w="306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rPr>
              <w:t>L + 0.37%</w:t>
            </w:r>
          </w:p>
        </w:tc>
        <w:tc>
          <w:tcPr>
            <w:tcW w:w="308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L + 0.42% and L + 0.79%</w:t>
            </w:r>
          </w:p>
        </w:tc>
      </w:tr>
      <w:tr>
        <w:trPr>
          <w:trHeight w:val="26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060" w:type="dxa"/>
            <w:vAlign w:val="bottom"/>
            <w:gridSpan w:val="2"/>
          </w:tcPr>
          <w:p>
            <w:pPr>
              <w:jc w:val="center"/>
              <w:ind w:right="120"/>
              <w:spacing w:after="0"/>
              <w:rPr>
                <w:sz w:val="20"/>
                <w:szCs w:val="20"/>
                <w:color w:val="auto"/>
              </w:rPr>
            </w:pPr>
            <w:r>
              <w:rPr>
                <w:rFonts w:ascii="Arial" w:cs="Arial" w:eastAsia="Arial" w:hAnsi="Arial"/>
                <w:sz w:val="18"/>
                <w:szCs w:val="18"/>
                <w:color w:val="auto"/>
              </w:rPr>
              <w:t>L + 2.00%</w:t>
            </w:r>
          </w:p>
        </w:tc>
        <w:tc>
          <w:tcPr>
            <w:tcW w:w="3080" w:type="dxa"/>
            <w:vAlign w:val="bottom"/>
          </w:tcPr>
          <w:p>
            <w:pPr>
              <w:jc w:val="center"/>
              <w:spacing w:after="0"/>
              <w:rPr>
                <w:sz w:val="20"/>
                <w:szCs w:val="20"/>
                <w:color w:val="auto"/>
              </w:rPr>
            </w:pPr>
            <w:r>
              <w:rPr>
                <w:rFonts w:ascii="Arial" w:cs="Arial" w:eastAsia="Arial" w:hAnsi="Arial"/>
                <w:sz w:val="18"/>
                <w:szCs w:val="18"/>
                <w:color w:val="auto"/>
              </w:rPr>
              <w:t>2.15%, L + 2.00%</w:t>
            </w:r>
          </w:p>
        </w:tc>
      </w:tr>
      <w:tr>
        <w:trPr>
          <w:trHeight w:val="277"/>
        </w:trPr>
        <w:tc>
          <w:tcPr>
            <w:tcW w:w="528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Average expected lives</w:t>
            </w:r>
          </w:p>
        </w:tc>
        <w:tc>
          <w:tcPr>
            <w:tcW w:w="306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8"/>
              </w:rPr>
              <w:t>4 years</w:t>
            </w:r>
          </w:p>
        </w:tc>
        <w:tc>
          <w:tcPr>
            <w:tcW w:w="308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4 – 10 years</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 </w:t>
      </w:r>
      <w:r>
        <w:rPr>
          <w:rFonts w:ascii="Arial" w:cs="Arial" w:eastAsia="Arial" w:hAnsi="Arial"/>
          <w:sz w:val="18"/>
          <w:szCs w:val="18"/>
          <w:color w:val="auto"/>
        </w:rPr>
        <w:t>–</w:t>
      </w:r>
      <w:r>
        <w:rPr>
          <w:rFonts w:ascii="Arial" w:cs="Arial" w:eastAsia="Arial" w:hAnsi="Arial"/>
          <w:sz w:val="16"/>
          <w:szCs w:val="16"/>
          <w:color w:val="auto"/>
        </w:rPr>
        <w:t xml:space="preserve"> One Month LIBOR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44" w:right="239" w:bottom="1440" w:gutter="0" w:footer="0" w:header="0"/>
        </w:sectPr>
      </w:pPr>
    </w:p>
    <w:bookmarkStart w:id="76" w:name="page77"/>
    <w:bookmarkEnd w:id="76"/>
    <w:p>
      <w:pPr>
        <w:ind w:right="7980" w:firstLine="8"/>
        <w:spacing w:after="0" w:line="638" w:lineRule="auto"/>
        <w:tabs>
          <w:tab w:leader="none" w:pos="200" w:val="left"/>
        </w:tabs>
        <w:numPr>
          <w:ilvl w:val="0"/>
          <w:numId w:val="28"/>
        </w:numPr>
        <w:rPr>
          <w:rFonts w:ascii="Arial" w:cs="Arial" w:eastAsia="Arial" w:hAnsi="Arial"/>
          <w:sz w:val="17"/>
          <w:szCs w:val="17"/>
          <w:b w:val="1"/>
          <w:bCs w:val="1"/>
          <w:color w:val="0046AD"/>
        </w:rPr>
      </w:pPr>
      <w:r>
        <w:rPr>
          <w:rFonts w:ascii="Arial" w:cs="Arial" w:eastAsia="Arial" w:hAnsi="Arial"/>
          <w:sz w:val="17"/>
          <w:szCs w:val="17"/>
          <w:b w:val="1"/>
          <w:bCs w:val="1"/>
          <w:color w:val="0046AD"/>
        </w:rPr>
        <w:t>PROPERTY, PLANT AND EQUIPMENT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862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1"/>
                <w:szCs w:val="21"/>
                <w:color w:val="auto"/>
              </w:rPr>
            </w:pPr>
          </w:p>
        </w:tc>
      </w:tr>
      <w:tr>
        <w:trPr>
          <w:trHeight w:val="230"/>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Machinery and other equipment</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DCE2EF"/>
          </w:tcPr>
          <w:p>
            <w:pPr>
              <w:spacing w:after="0"/>
              <w:rPr>
                <w:sz w:val="21"/>
                <w:szCs w:val="21"/>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89.5</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70.2</w:t>
            </w:r>
          </w:p>
        </w:tc>
      </w:tr>
      <w:tr>
        <w:trPr>
          <w:trHeight w:val="277"/>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Leasehold improvements</w:t>
            </w:r>
          </w:p>
        </w:tc>
        <w:tc>
          <w:tcPr>
            <w:tcW w:w="480" w:type="dxa"/>
            <w:vAlign w:val="bottom"/>
            <w:shd w:val="clear" w:color="auto" w:fill="DCE2EF"/>
          </w:tcPr>
          <w:p>
            <w:pPr>
              <w:spacing w:after="0"/>
              <w:rPr>
                <w:sz w:val="24"/>
                <w:szCs w:val="24"/>
                <w:color w:val="auto"/>
              </w:rPr>
            </w:pP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DCE2EF"/>
          </w:tcPr>
          <w:p>
            <w:pPr>
              <w:spacing w:after="0"/>
              <w:rPr>
                <w:sz w:val="24"/>
                <w:szCs w:val="24"/>
                <w:color w:val="auto"/>
              </w:rPr>
            </w:pPr>
          </w:p>
        </w:tc>
        <w:tc>
          <w:tcPr>
            <w:tcW w:w="76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47.1</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Transportation equipment</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7"/>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DCE2EF"/>
          </w:tcPr>
          <w:p>
            <w:pPr>
              <w:spacing w:after="0"/>
              <w:rPr>
                <w:sz w:val="24"/>
                <w:szCs w:val="24"/>
                <w:color w:val="auto"/>
              </w:rPr>
            </w:pP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DCE2EF"/>
          </w:tcPr>
          <w:p>
            <w:pPr>
              <w:spacing w:after="0"/>
              <w:rPr>
                <w:sz w:val="24"/>
                <w:szCs w:val="24"/>
                <w:color w:val="auto"/>
              </w:rPr>
            </w:pPr>
          </w:p>
        </w:tc>
        <w:tc>
          <w:tcPr>
            <w:tcW w:w="76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13.6</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Buildings</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DCE2EF"/>
          </w:tcPr>
          <w:p>
            <w:pPr>
              <w:spacing w:after="0"/>
              <w:rPr>
                <w:sz w:val="23"/>
                <w:szCs w:val="23"/>
                <w:color w:val="auto"/>
              </w:rPr>
            </w:pPr>
          </w:p>
        </w:tc>
        <w:tc>
          <w:tcPr>
            <w:tcW w:w="15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CE2EF"/>
          </w:tcPr>
          <w:p>
            <w:pPr>
              <w:spacing w:after="0"/>
              <w:rPr>
                <w:sz w:val="23"/>
                <w:szCs w:val="23"/>
                <w:color w:val="auto"/>
              </w:rPr>
            </w:pPr>
          </w:p>
        </w:tc>
        <w:tc>
          <w:tcPr>
            <w:tcW w:w="760" w:type="dxa"/>
            <w:vAlign w:val="bottom"/>
            <w:tcBorders>
              <w:bottom w:val="single" w:sz="8" w:color="auto"/>
            </w:tcBorders>
            <w:shd w:val="clear" w:color="auto" w:fill="DCE2EF"/>
          </w:tcPr>
          <w:p>
            <w:pPr>
              <w:spacing w:after="0"/>
              <w:rPr>
                <w:sz w:val="23"/>
                <w:szCs w:val="23"/>
                <w:color w:val="auto"/>
              </w:rPr>
            </w:pPr>
          </w:p>
        </w:tc>
        <w:tc>
          <w:tcPr>
            <w:tcW w:w="13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279.5</w:t>
            </w:r>
          </w:p>
        </w:tc>
      </w:tr>
      <w:tr>
        <w:trPr>
          <w:trHeight w:val="277"/>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Less: Accumulated depreciation</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DCE2EF"/>
          </w:tcPr>
          <w:p>
            <w:pPr>
              <w:spacing w:after="0"/>
              <w:rPr>
                <w:sz w:val="24"/>
                <w:szCs w:val="24"/>
                <w:color w:val="auto"/>
              </w:rPr>
            </w:pPr>
          </w:p>
        </w:tc>
        <w:tc>
          <w:tcPr>
            <w:tcW w:w="15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DCE2EF"/>
          </w:tcPr>
          <w:p>
            <w:pPr>
              <w:spacing w:after="0"/>
              <w:rPr>
                <w:sz w:val="24"/>
                <w:szCs w:val="24"/>
                <w:color w:val="auto"/>
              </w:rPr>
            </w:pPr>
          </w:p>
        </w:tc>
        <w:tc>
          <w:tcPr>
            <w:tcW w:w="760" w:type="dxa"/>
            <w:vAlign w:val="bottom"/>
            <w:tcBorders>
              <w:bottom w:val="single" w:sz="8" w:color="auto"/>
            </w:tcBorders>
            <w:shd w:val="clear" w:color="auto" w:fill="DCE2EF"/>
          </w:tcPr>
          <w:p>
            <w:pPr>
              <w:spacing w:after="0"/>
              <w:rPr>
                <w:sz w:val="24"/>
                <w:szCs w:val="24"/>
                <w:color w:val="auto"/>
              </w:rPr>
            </w:pPr>
          </w:p>
        </w:tc>
        <w:tc>
          <w:tcPr>
            <w:tcW w:w="13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136.4</w:t>
            </w:r>
          </w:p>
        </w:tc>
      </w:tr>
      <w:tr>
        <w:trPr>
          <w:trHeight w:val="244"/>
        </w:trPr>
        <w:tc>
          <w:tcPr>
            <w:tcW w:w="71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For 2018, 2017, and 2016, depreciation expense was $46.5 million, $38.5 million, and $32.6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Capital Leases Included in Property, Plant and Equipment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1"/>
                <w:szCs w:val="21"/>
                <w:color w:val="auto"/>
              </w:rPr>
            </w:pPr>
          </w:p>
        </w:tc>
      </w:tr>
      <w:tr>
        <w:trPr>
          <w:trHeight w:val="230"/>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Transportation equipment</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DCE2EF"/>
          </w:tcPr>
          <w:p>
            <w:pPr>
              <w:spacing w:after="0"/>
              <w:rPr>
                <w:sz w:val="21"/>
                <w:szCs w:val="21"/>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19.4</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7"/>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Machinery and other equipment</w:t>
            </w:r>
          </w:p>
        </w:tc>
        <w:tc>
          <w:tcPr>
            <w:tcW w:w="480" w:type="dxa"/>
            <w:vAlign w:val="bottom"/>
            <w:shd w:val="clear" w:color="auto" w:fill="DCE2EF"/>
          </w:tcPr>
          <w:p>
            <w:pPr>
              <w:spacing w:after="0"/>
              <w:rPr>
                <w:sz w:val="24"/>
                <w:szCs w:val="24"/>
                <w:color w:val="auto"/>
              </w:rPr>
            </w:pP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DCE2EF"/>
          </w:tcPr>
          <w:p>
            <w:pPr>
              <w:spacing w:after="0"/>
              <w:rPr>
                <w:sz w:val="24"/>
                <w:szCs w:val="24"/>
                <w:color w:val="auto"/>
              </w:rPr>
            </w:pPr>
          </w:p>
        </w:tc>
        <w:tc>
          <w:tcPr>
            <w:tcW w:w="76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0.3</w:t>
            </w:r>
          </w:p>
        </w:tc>
      </w:tr>
      <w:tr>
        <w:trPr>
          <w:trHeight w:val="264"/>
        </w:trPr>
        <w:tc>
          <w:tcPr>
            <w:tcW w:w="71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DCE2E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57"/>
        </w:trPr>
        <w:tc>
          <w:tcPr>
            <w:tcW w:w="40" w:type="dxa"/>
            <w:vAlign w:val="bottom"/>
            <w:shd w:val="clear" w:color="auto" w:fill="DCE2EF"/>
          </w:tcPr>
          <w:p>
            <w:pPr>
              <w:spacing w:after="0"/>
              <w:rPr>
                <w:sz w:val="22"/>
                <w:szCs w:val="22"/>
                <w:color w:val="auto"/>
              </w:rPr>
            </w:pPr>
          </w:p>
        </w:tc>
        <w:tc>
          <w:tcPr>
            <w:tcW w:w="700" w:type="dxa"/>
            <w:vAlign w:val="bottom"/>
            <w:shd w:val="clear" w:color="auto" w:fill="DCE2EF"/>
          </w:tcPr>
          <w:p>
            <w:pPr>
              <w:spacing w:after="0"/>
              <w:rPr>
                <w:sz w:val="22"/>
                <w:szCs w:val="22"/>
                <w:color w:val="auto"/>
              </w:rPr>
            </w:pPr>
          </w:p>
        </w:tc>
        <w:tc>
          <w:tcPr>
            <w:tcW w:w="6440" w:type="dxa"/>
            <w:vAlign w:val="bottom"/>
            <w:shd w:val="clear" w:color="auto" w:fill="DCE2EF"/>
          </w:tcPr>
          <w:p>
            <w:pPr>
              <w:spacing w:after="0"/>
              <w:rPr>
                <w:sz w:val="22"/>
                <w:szCs w:val="22"/>
                <w:color w:val="auto"/>
              </w:rPr>
            </w:pPr>
          </w:p>
        </w:tc>
        <w:tc>
          <w:tcPr>
            <w:tcW w:w="480" w:type="dxa"/>
            <w:vAlign w:val="bottom"/>
            <w:shd w:val="clear" w:color="auto" w:fill="DCE2EF"/>
          </w:tcPr>
          <w:p>
            <w:pPr>
              <w:spacing w:after="0"/>
              <w:rPr>
                <w:sz w:val="22"/>
                <w:szCs w:val="22"/>
                <w:color w:val="auto"/>
              </w:rPr>
            </w:pPr>
          </w:p>
        </w:tc>
        <w:tc>
          <w:tcPr>
            <w:tcW w:w="1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DCE2EF"/>
          </w:tcPr>
          <w:p>
            <w:pPr>
              <w:spacing w:after="0"/>
              <w:rPr>
                <w:sz w:val="22"/>
                <w:szCs w:val="22"/>
                <w:color w:val="auto"/>
              </w:rPr>
            </w:pPr>
          </w:p>
        </w:tc>
        <w:tc>
          <w:tcPr>
            <w:tcW w:w="76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20.0</w:t>
            </w:r>
          </w:p>
        </w:tc>
      </w:tr>
      <w:tr>
        <w:trPr>
          <w:trHeight w:val="264"/>
        </w:trPr>
        <w:tc>
          <w:tcPr>
            <w:tcW w:w="71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Less: Accumulated depreciation</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DCE2E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50"/>
        </w:trPr>
        <w:tc>
          <w:tcPr>
            <w:tcW w:w="718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auto"/>
            </w:tcBorders>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10.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Goodwill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Business &amp;</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Technology &amp;</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Technical</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5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Aviation</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Healthcare</w:t>
            </w:r>
          </w:p>
        </w:tc>
        <w:tc>
          <w:tcPr>
            <w:tcW w:w="260" w:type="dxa"/>
            <w:vAlign w:val="bottom"/>
          </w:tcPr>
          <w:p>
            <w:pPr>
              <w:spacing w:after="0"/>
              <w:rPr>
                <w:sz w:val="14"/>
                <w:szCs w:val="14"/>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7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2520" w:type="dxa"/>
            <w:vAlign w:val="bottom"/>
            <w:gridSpan w:val="3"/>
            <w:shd w:val="clear" w:color="auto" w:fill="DCE2EF"/>
          </w:tcPr>
          <w:p>
            <w:pPr>
              <w:ind w:left="40"/>
              <w:spacing w:after="0"/>
              <w:rPr>
                <w:sz w:val="20"/>
                <w:szCs w:val="20"/>
                <w:color w:val="auto"/>
              </w:rPr>
            </w:pPr>
            <w:r>
              <w:rPr>
                <w:rFonts w:ascii="Arial" w:cs="Arial" w:eastAsia="Arial" w:hAnsi="Arial"/>
                <w:sz w:val="15"/>
                <w:szCs w:val="15"/>
                <w:b w:val="1"/>
                <w:bCs w:val="1"/>
                <w:color w:val="auto"/>
              </w:rPr>
              <w:t>Balance at October 31, 2016</w:t>
            </w: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404.8</w:t>
            </w:r>
          </w:p>
        </w:tc>
        <w:tc>
          <w:tcPr>
            <w:tcW w:w="10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DCE2EF"/>
          </w:tcPr>
          <w:p>
            <w:pPr>
              <w:spacing w:after="0"/>
              <w:rPr>
                <w:sz w:val="21"/>
                <w:szCs w:val="21"/>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130.7</w:t>
            </w:r>
          </w:p>
        </w:tc>
        <w:tc>
          <w:tcPr>
            <w:tcW w:w="10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169.8</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912.8</w:t>
            </w:r>
          </w:p>
        </w:tc>
      </w:tr>
      <w:tr>
        <w:trPr>
          <w:trHeight w:val="266"/>
        </w:trPr>
        <w:tc>
          <w:tcPr>
            <w:tcW w:w="2520" w:type="dxa"/>
            <w:vAlign w:val="bottom"/>
            <w:gridSpan w:val="3"/>
          </w:tcPr>
          <w:p>
            <w:pPr>
              <w:ind w:left="40"/>
              <w:spacing w:after="0"/>
              <w:rPr>
                <w:sz w:val="20"/>
                <w:szCs w:val="20"/>
                <w:color w:val="auto"/>
              </w:rPr>
            </w:pPr>
            <w:r>
              <w:rPr>
                <w:rFonts w:ascii="Arial" w:cs="Arial" w:eastAsia="Arial" w:hAnsi="Arial"/>
                <w:sz w:val="15"/>
                <w:szCs w:val="15"/>
                <w:color w:val="auto"/>
              </w:rPr>
              <w:t>Acquisitions</w:t>
            </w:r>
            <w:r>
              <w:rPr>
                <w:rFonts w:ascii="Arial" w:cs="Arial" w:eastAsia="Arial" w:hAnsi="Arial"/>
                <w:sz w:val="12"/>
                <w:szCs w:val="12"/>
                <w:color w:val="auto"/>
              </w:rPr>
              <w:t>(1)</w:t>
            </w:r>
          </w:p>
        </w:tc>
        <w:tc>
          <w:tcPr>
            <w:tcW w:w="16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278.6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945.0</w:t>
            </w:r>
          </w:p>
        </w:tc>
      </w:tr>
      <w:tr>
        <w:trPr>
          <w:trHeight w:val="270"/>
        </w:trPr>
        <w:tc>
          <w:tcPr>
            <w:tcW w:w="2520" w:type="dxa"/>
            <w:vAlign w:val="bottom"/>
            <w:gridSpan w:val="3"/>
            <w:shd w:val="clear" w:color="auto" w:fill="DCE2EF"/>
          </w:tcPr>
          <w:p>
            <w:pPr>
              <w:ind w:left="40"/>
              <w:spacing w:after="0"/>
              <w:rPr>
                <w:sz w:val="20"/>
                <w:szCs w:val="20"/>
                <w:color w:val="auto"/>
              </w:rPr>
            </w:pPr>
            <w:r>
              <w:rPr>
                <w:rFonts w:ascii="Arial" w:cs="Arial" w:eastAsia="Arial" w:hAnsi="Arial"/>
                <w:sz w:val="15"/>
                <w:szCs w:val="15"/>
                <w:color w:val="auto"/>
              </w:rPr>
              <w:t>Foreign currency translation</w:t>
            </w:r>
          </w:p>
        </w:tc>
        <w:tc>
          <w:tcPr>
            <w:tcW w:w="16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92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3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spacing w:after="0"/>
              <w:rPr>
                <w:sz w:val="23"/>
                <w:szCs w:val="23"/>
                <w:color w:val="auto"/>
              </w:rPr>
            </w:pPr>
          </w:p>
        </w:tc>
        <w:tc>
          <w:tcPr>
            <w:tcW w:w="106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spacing w:after="0"/>
              <w:rPr>
                <w:sz w:val="23"/>
                <w:szCs w:val="23"/>
                <w:color w:val="auto"/>
              </w:rPr>
            </w:pPr>
          </w:p>
        </w:tc>
        <w:tc>
          <w:tcPr>
            <w:tcW w:w="96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3.8</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1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6.4</w:t>
            </w:r>
          </w:p>
        </w:tc>
      </w:tr>
      <w:tr>
        <w:trPr>
          <w:trHeight w:val="281"/>
        </w:trPr>
        <w:tc>
          <w:tcPr>
            <w:tcW w:w="2520" w:type="dxa"/>
            <w:vAlign w:val="bottom"/>
            <w:tcBorders>
              <w:bottom w:val="single" w:sz="8" w:color="DCE2EF"/>
            </w:tcBorders>
            <w:gridSpan w:val="3"/>
          </w:tcPr>
          <w:p>
            <w:pPr>
              <w:ind w:left="40"/>
              <w:spacing w:after="0"/>
              <w:rPr>
                <w:sz w:val="20"/>
                <w:szCs w:val="20"/>
                <w:color w:val="auto"/>
              </w:rPr>
            </w:pPr>
            <w:r>
              <w:rPr>
                <w:rFonts w:ascii="Arial" w:cs="Arial" w:eastAsia="Arial" w:hAnsi="Arial"/>
                <w:sz w:val="15"/>
                <w:szCs w:val="15"/>
                <w:b w:val="1"/>
                <w:bCs w:val="1"/>
                <w:color w:val="auto"/>
              </w:rPr>
              <w:t>Balance at October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529.9</w:t>
            </w:r>
          </w:p>
        </w:tc>
        <w:tc>
          <w:tcPr>
            <w:tcW w:w="100" w:type="dxa"/>
            <w:vAlign w:val="bottom"/>
            <w:tcBorders>
              <w:bottom w:val="single" w:sz="8" w:color="DCE2E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124.8</w:t>
            </w:r>
          </w:p>
        </w:tc>
        <w:tc>
          <w:tcPr>
            <w:tcW w:w="120" w:type="dxa"/>
            <w:vAlign w:val="bottom"/>
            <w:tcBorders>
              <w:bottom w:val="single" w:sz="8" w:color="DCE2E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409.3</w:t>
            </w:r>
          </w:p>
        </w:tc>
        <w:tc>
          <w:tcPr>
            <w:tcW w:w="100" w:type="dxa"/>
            <w:vAlign w:val="bottom"/>
            <w:tcBorders>
              <w:bottom w:val="single" w:sz="8" w:color="DCE2E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561.3</w:t>
            </w:r>
          </w:p>
        </w:tc>
        <w:tc>
          <w:tcPr>
            <w:tcW w:w="100" w:type="dxa"/>
            <w:vAlign w:val="bottom"/>
            <w:tcBorders>
              <w:bottom w:val="single" w:sz="8" w:color="DCE2E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180.0</w:t>
            </w:r>
          </w:p>
        </w:tc>
        <w:tc>
          <w:tcPr>
            <w:tcW w:w="100" w:type="dxa"/>
            <w:vAlign w:val="bottom"/>
            <w:tcBorders>
              <w:bottom w:val="single" w:sz="8" w:color="DCE2E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DCE2E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1,864.2</w:t>
            </w:r>
          </w:p>
        </w:tc>
      </w:tr>
      <w:tr>
        <w:trPr>
          <w:trHeight w:val="224"/>
        </w:trPr>
        <w:tc>
          <w:tcPr>
            <w:tcW w:w="2520" w:type="dxa"/>
            <w:vAlign w:val="bottom"/>
            <w:gridSpan w:val="3"/>
            <w:shd w:val="clear" w:color="auto" w:fill="DCE2EF"/>
          </w:tcPr>
          <w:p>
            <w:pPr>
              <w:ind w:left="40"/>
              <w:spacing w:after="0"/>
              <w:rPr>
                <w:sz w:val="20"/>
                <w:szCs w:val="20"/>
                <w:color w:val="auto"/>
              </w:rPr>
            </w:pPr>
            <w:r>
              <w:rPr>
                <w:rFonts w:ascii="Arial" w:cs="Arial" w:eastAsia="Arial" w:hAnsi="Arial"/>
                <w:sz w:val="15"/>
                <w:szCs w:val="15"/>
                <w:color w:val="auto"/>
              </w:rPr>
              <w:t>Purchase price adjustments</w:t>
            </w:r>
          </w:p>
        </w:tc>
        <w:tc>
          <w:tcPr>
            <w:tcW w:w="160" w:type="dxa"/>
            <w:vAlign w:val="bottom"/>
            <w:shd w:val="clear" w:color="auto" w:fill="DCE2EF"/>
          </w:tcPr>
          <w:p>
            <w:pPr>
              <w:spacing w:after="0"/>
              <w:rPr>
                <w:sz w:val="19"/>
                <w:szCs w:val="19"/>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92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6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w:t>
            </w:r>
          </w:p>
        </w:tc>
      </w:tr>
      <w:tr>
        <w:trPr>
          <w:trHeight w:val="266"/>
        </w:trPr>
        <w:tc>
          <w:tcPr>
            <w:tcW w:w="2520" w:type="dxa"/>
            <w:vAlign w:val="bottom"/>
            <w:gridSpan w:val="3"/>
          </w:tcPr>
          <w:p>
            <w:pPr>
              <w:ind w:left="40"/>
              <w:spacing w:after="0"/>
              <w:rPr>
                <w:sz w:val="20"/>
                <w:szCs w:val="20"/>
                <w:color w:val="auto"/>
              </w:rPr>
            </w:pPr>
            <w:r>
              <w:rPr>
                <w:rFonts w:ascii="Arial" w:cs="Arial" w:eastAsia="Arial" w:hAnsi="Arial"/>
                <w:sz w:val="15"/>
                <w:szCs w:val="15"/>
                <w:color w:val="auto"/>
              </w:rPr>
              <w:t>Foreign currency translation</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2520" w:type="dxa"/>
            <w:vAlign w:val="bottom"/>
            <w:gridSpan w:val="3"/>
            <w:shd w:val="clear" w:color="auto" w:fill="DCE2EF"/>
          </w:tcPr>
          <w:p>
            <w:pPr>
              <w:ind w:left="40"/>
              <w:spacing w:after="0"/>
              <w:rPr>
                <w:sz w:val="20"/>
                <w:szCs w:val="20"/>
                <w:color w:val="auto"/>
              </w:rPr>
            </w:pPr>
            <w:r>
              <w:rPr>
                <w:rFonts w:ascii="Arial" w:cs="Arial" w:eastAsia="Arial" w:hAnsi="Arial"/>
                <w:sz w:val="15"/>
                <w:szCs w:val="15"/>
                <w:color w:val="auto"/>
              </w:rPr>
              <w:t>Impairment loss</w:t>
            </w:r>
            <w:r>
              <w:rPr>
                <w:rFonts w:ascii="Arial" w:cs="Arial" w:eastAsia="Arial" w:hAnsi="Arial"/>
                <w:sz w:val="12"/>
                <w:szCs w:val="12"/>
                <w:color w:val="auto"/>
              </w:rPr>
              <w:t>(2)</w:t>
            </w:r>
          </w:p>
        </w:tc>
        <w:tc>
          <w:tcPr>
            <w:tcW w:w="160" w:type="dxa"/>
            <w:vAlign w:val="bottom"/>
            <w:shd w:val="clear" w:color="auto" w:fill="DCE2EF"/>
          </w:tcPr>
          <w:p>
            <w:pPr>
              <w:spacing w:after="0"/>
              <w:rPr>
                <w:sz w:val="23"/>
                <w:szCs w:val="23"/>
                <w:color w:val="auto"/>
              </w:rPr>
            </w:pPr>
          </w:p>
        </w:tc>
        <w:tc>
          <w:tcPr>
            <w:tcW w:w="110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CE2EF"/>
          </w:tcPr>
          <w:p>
            <w:pPr>
              <w:spacing w:after="0"/>
              <w:rPr>
                <w:sz w:val="23"/>
                <w:szCs w:val="23"/>
                <w:color w:val="auto"/>
              </w:rPr>
            </w:pPr>
          </w:p>
        </w:tc>
        <w:tc>
          <w:tcPr>
            <w:tcW w:w="104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23"/>
                <w:szCs w:val="23"/>
                <w:color w:val="auto"/>
              </w:rPr>
            </w:pPr>
          </w:p>
        </w:tc>
        <w:tc>
          <w:tcPr>
            <w:tcW w:w="13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spacing w:after="0"/>
              <w:rPr>
                <w:sz w:val="23"/>
                <w:szCs w:val="23"/>
                <w:color w:val="auto"/>
              </w:rPr>
            </w:pPr>
          </w:p>
        </w:tc>
        <w:tc>
          <w:tcPr>
            <w:tcW w:w="106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spacing w:after="0"/>
              <w:rPr>
                <w:sz w:val="23"/>
                <w:szCs w:val="23"/>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1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(20.3)</w:t>
            </w:r>
          </w:p>
        </w:tc>
      </w:tr>
      <w:tr>
        <w:trPr>
          <w:trHeight w:val="241"/>
        </w:trPr>
        <w:tc>
          <w:tcPr>
            <w:tcW w:w="2520" w:type="dxa"/>
            <w:vAlign w:val="bottom"/>
            <w:gridSpan w:val="3"/>
          </w:tcPr>
          <w:p>
            <w:pPr>
              <w:ind w:left="40"/>
              <w:spacing w:after="0"/>
              <w:rPr>
                <w:sz w:val="20"/>
                <w:szCs w:val="20"/>
                <w:color w:val="auto"/>
              </w:rPr>
            </w:pPr>
            <w:r>
              <w:rPr>
                <w:rFonts w:ascii="Arial" w:cs="Arial" w:eastAsia="Arial" w:hAnsi="Arial"/>
                <w:sz w:val="15"/>
                <w:szCs w:val="15"/>
                <w:b w:val="1"/>
                <w:bCs w:val="1"/>
                <w:color w:val="auto"/>
              </w:rPr>
              <w:t>Balance at October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527.9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407.2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557.4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1,834.8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During 2017, goodwill primarily increased as a result of the GCA acquisition. See Note 3, “Acquisitions,” for additional information.</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Represents accumulated impairment charges at October 31, 2018.</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522" w:right="239" w:bottom="1440" w:gutter="0" w:footer="0" w:header="0"/>
          <w:type w:val="continuous"/>
        </w:sectPr>
      </w:pPr>
    </w:p>
    <w:bookmarkStart w:id="77" w:name="page78"/>
    <w:bookmarkEnd w:id="77"/>
    <w:p>
      <w:pPr>
        <w:jc w:val="both"/>
        <w:ind w:firstLine="648"/>
        <w:spacing w:after="0" w:line="253" w:lineRule="auto"/>
        <w:rPr>
          <w:sz w:val="20"/>
          <w:szCs w:val="20"/>
          <w:color w:val="auto"/>
        </w:rPr>
      </w:pPr>
      <w:r>
        <w:rPr>
          <w:rFonts w:ascii="Arial" w:cs="Arial" w:eastAsia="Arial" w:hAnsi="Arial"/>
          <w:sz w:val="18"/>
          <w:szCs w:val="18"/>
          <w:color w:val="auto"/>
        </w:rPr>
        <w:t>During the fourth quarter of 2018, as part of our annual assessment of goodwill, we recorded a goodwill impairment charge of $20.3 million for one of our reporting units within the Technical Solutions segment. In 2018, this reporting unit’s performance primarily reflected the adverse impact of Brexit and the resulting impact on microeconomic conditions in the U.K. retail sector and the anticipated loss of a significant customer contract. The impairment was also attributable to a decline in profitability in the second half of 2018 and a revised future outlook for the business, including reduced expectations of future sales, operating margins, and cash flows.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on November 1, 2017, we reorganized our reportable segments and goodwill reporting units. In connection with this reorganization, we performed a qualitative goodwill impairment test immediately before and after the segment realignment. In analyzing the results of operations and business conditions of the goodwill reporting units, we determined the likelihood of a goodwill impairment did not reach the more-likely-than-not threshold specified in U.S. GAAP for any of the reporting units that were evaluated. Accordingly, we concluded that goodwill related to those reporting units was not impaired and further quantitative testing was not required.</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2016, we recorded a goodwill impairment charge of $6.0 million when we classified our Government Services business as held for sale, based upon the estimated fair value of the business at that time. During the second quarter of 2017 we received an offer from a strategic buyer to purchase this business for an amount in excess of our original estimate less costs to sell. As a result, we recorded a full impairment recovery of the aforementioned $6.0 million goodwill impairment in 2017.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Intangible Assets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October 31, 2018</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October 31, 2017</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5"/>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6"/>
                <w:szCs w:val="16"/>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96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DCE2EF"/>
            </w:tcBorders>
          </w:tcPr>
          <w:p>
            <w:pPr>
              <w:spacing w:after="0" w:line="20" w:lineRule="exact"/>
              <w:rPr>
                <w:sz w:val="1"/>
                <w:szCs w:val="1"/>
                <w:color w:val="auto"/>
              </w:rPr>
            </w:pPr>
          </w:p>
        </w:tc>
        <w:tc>
          <w:tcPr>
            <w:tcW w:w="94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shd w:val="clear" w:color="auto" w:fill="DCE2EF"/>
          </w:tcPr>
          <w:p>
            <w:pPr>
              <w:spacing w:after="0"/>
              <w:rPr>
                <w:sz w:val="13"/>
                <w:szCs w:val="13"/>
                <w:color w:val="auto"/>
              </w:rPr>
            </w:pPr>
          </w:p>
        </w:tc>
        <w:tc>
          <w:tcPr>
            <w:tcW w:w="2660" w:type="dxa"/>
            <w:vAlign w:val="bottom"/>
            <w:gridSpan w:val="2"/>
            <w:vMerge w:val="restart"/>
            <w:shd w:val="clear" w:color="auto" w:fill="DCE2EF"/>
          </w:tcPr>
          <w:p>
            <w:pPr>
              <w:spacing w:after="0"/>
              <w:rPr>
                <w:sz w:val="20"/>
                <w:szCs w:val="20"/>
                <w:color w:val="auto"/>
              </w:rPr>
            </w:pPr>
            <w:r>
              <w:rPr>
                <w:rFonts w:ascii="Arial" w:cs="Arial" w:eastAsia="Arial" w:hAnsi="Arial"/>
                <w:sz w:val="16"/>
                <w:szCs w:val="16"/>
                <w:color w:val="auto"/>
                <w:w w:val="99"/>
                <w:shd w:val="clear" w:color="auto" w:fill="DCE2EF"/>
              </w:rPr>
              <w:t>Customer contracts and relationships</w:t>
            </w:r>
          </w:p>
        </w:tc>
        <w:tc>
          <w:tcPr>
            <w:tcW w:w="140" w:type="dxa"/>
            <w:vAlign w:val="bottom"/>
            <w:shd w:val="clear" w:color="auto" w:fill="DCE2EF"/>
          </w:tcPr>
          <w:p>
            <w:pPr>
              <w:jc w:val="right"/>
              <w:spacing w:after="0"/>
              <w:rPr>
                <w:sz w:val="20"/>
                <w:szCs w:val="20"/>
                <w:color w:val="auto"/>
              </w:rPr>
            </w:pPr>
            <w:r>
              <w:rPr>
                <w:rFonts w:ascii="Arial" w:cs="Arial" w:eastAsia="Arial" w:hAnsi="Arial"/>
                <w:sz w:val="11"/>
                <w:szCs w:val="11"/>
                <w:color w:val="auto"/>
                <w:w w:val="88"/>
                <w:shd w:val="clear" w:color="auto" w:fill="DCE2EF"/>
              </w:rPr>
              <w:t>(1)</w:t>
            </w:r>
          </w:p>
        </w:tc>
        <w:tc>
          <w:tcPr>
            <w:tcW w:w="940" w:type="dxa"/>
            <w:vAlign w:val="bottom"/>
            <w:shd w:val="clear" w:color="auto" w:fill="DCE2EF"/>
          </w:tcPr>
          <w:p>
            <w:pPr>
              <w:spacing w:after="0"/>
              <w:rPr>
                <w:sz w:val="13"/>
                <w:szCs w:val="13"/>
                <w:color w:val="auto"/>
              </w:rPr>
            </w:pPr>
          </w:p>
        </w:tc>
        <w:tc>
          <w:tcPr>
            <w:tcW w:w="18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DCE2EF"/>
          </w:tcPr>
          <w:p>
            <w:pPr>
              <w:jc w:val="right"/>
              <w:ind w:right="59"/>
              <w:spacing w:after="0"/>
              <w:rPr>
                <w:sz w:val="20"/>
                <w:szCs w:val="20"/>
                <w:color w:val="auto"/>
              </w:rPr>
            </w:pPr>
            <w:r>
              <w:rPr>
                <w:rFonts w:ascii="Arial" w:cs="Arial" w:eastAsia="Arial" w:hAnsi="Arial"/>
                <w:sz w:val="16"/>
                <w:szCs w:val="16"/>
                <w:color w:val="auto"/>
              </w:rPr>
              <w:t>595.7</w:t>
            </w:r>
          </w:p>
        </w:tc>
        <w:tc>
          <w:tcPr>
            <w:tcW w:w="260" w:type="dxa"/>
            <w:vAlign w:val="bottom"/>
            <w:gridSpan w:val="2"/>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(243.6)</w:t>
            </w:r>
          </w:p>
        </w:tc>
        <w:tc>
          <w:tcPr>
            <w:tcW w:w="100" w:type="dxa"/>
            <w:vAlign w:val="bottom"/>
            <w:shd w:val="clear" w:color="auto" w:fill="DCE2EF"/>
          </w:tcPr>
          <w:p>
            <w:pPr>
              <w:spacing w:after="0"/>
              <w:rPr>
                <w:sz w:val="13"/>
                <w:szCs w:val="13"/>
                <w:color w:val="auto"/>
              </w:rPr>
            </w:pPr>
          </w:p>
        </w:tc>
        <w:tc>
          <w:tcPr>
            <w:tcW w:w="220" w:type="dxa"/>
            <w:vAlign w:val="bottom"/>
            <w:vMerge w:val="restart"/>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DCE2EF"/>
          </w:tcPr>
          <w:p>
            <w:pPr>
              <w:jc w:val="right"/>
              <w:ind w:right="39"/>
              <w:spacing w:after="0"/>
              <w:rPr>
                <w:sz w:val="20"/>
                <w:szCs w:val="20"/>
                <w:color w:val="auto"/>
              </w:rPr>
            </w:pPr>
            <w:r>
              <w:rPr>
                <w:rFonts w:ascii="Arial" w:cs="Arial" w:eastAsia="Arial" w:hAnsi="Arial"/>
                <w:sz w:val="16"/>
                <w:szCs w:val="16"/>
                <w:color w:val="auto"/>
              </w:rPr>
              <w:t>352.2</w:t>
            </w:r>
          </w:p>
        </w:tc>
        <w:tc>
          <w:tcPr>
            <w:tcW w:w="100" w:type="dxa"/>
            <w:vAlign w:val="bottom"/>
            <w:shd w:val="clear" w:color="auto" w:fill="DCE2EF"/>
          </w:tcPr>
          <w:p>
            <w:pPr>
              <w:spacing w:after="0"/>
              <w:rPr>
                <w:sz w:val="13"/>
                <w:szCs w:val="13"/>
                <w:color w:val="auto"/>
              </w:rPr>
            </w:pPr>
          </w:p>
        </w:tc>
        <w:tc>
          <w:tcPr>
            <w:tcW w:w="18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DCE2EF"/>
          </w:tcPr>
          <w:p>
            <w:pPr>
              <w:jc w:val="right"/>
              <w:ind w:right="39"/>
              <w:spacing w:after="0"/>
              <w:rPr>
                <w:sz w:val="20"/>
                <w:szCs w:val="20"/>
                <w:color w:val="auto"/>
              </w:rPr>
            </w:pPr>
            <w:r>
              <w:rPr>
                <w:rFonts w:ascii="Arial" w:cs="Arial" w:eastAsia="Arial" w:hAnsi="Arial"/>
                <w:sz w:val="16"/>
                <w:szCs w:val="16"/>
                <w:color w:val="auto"/>
              </w:rPr>
              <w:t>607.9</w:t>
            </w:r>
          </w:p>
        </w:tc>
        <w:tc>
          <w:tcPr>
            <w:tcW w:w="240" w:type="dxa"/>
            <w:vAlign w:val="bottom"/>
            <w:gridSpan w:val="2"/>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(186.3)</w:t>
            </w:r>
          </w:p>
        </w:tc>
        <w:tc>
          <w:tcPr>
            <w:tcW w:w="120" w:type="dxa"/>
            <w:vAlign w:val="bottom"/>
            <w:shd w:val="clear" w:color="auto" w:fill="DCE2EF"/>
          </w:tcPr>
          <w:p>
            <w:pPr>
              <w:spacing w:after="0"/>
              <w:rPr>
                <w:sz w:val="13"/>
                <w:szCs w:val="13"/>
                <w:color w:val="auto"/>
              </w:rPr>
            </w:pPr>
          </w:p>
        </w:tc>
        <w:tc>
          <w:tcPr>
            <w:tcW w:w="220" w:type="dxa"/>
            <w:vAlign w:val="bottom"/>
            <w:vMerge w:val="restart"/>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DCE2EF"/>
          </w:tcPr>
          <w:p>
            <w:pPr>
              <w:jc w:val="right"/>
              <w:ind w:right="19"/>
              <w:spacing w:after="0"/>
              <w:rPr>
                <w:sz w:val="20"/>
                <w:szCs w:val="20"/>
                <w:color w:val="auto"/>
              </w:rPr>
            </w:pPr>
            <w:r>
              <w:rPr>
                <w:rFonts w:ascii="Arial" w:cs="Arial" w:eastAsia="Arial" w:hAnsi="Arial"/>
                <w:sz w:val="16"/>
                <w:szCs w:val="16"/>
                <w:color w:val="auto"/>
              </w:rPr>
              <w:t>421.6</w:t>
            </w:r>
          </w:p>
        </w:tc>
        <w:tc>
          <w:tcPr>
            <w:tcW w:w="0" w:type="dxa"/>
            <w:vAlign w:val="bottom"/>
          </w:tcPr>
          <w:p>
            <w:pPr>
              <w:spacing w:after="0"/>
              <w:rPr>
                <w:sz w:val="1"/>
                <w:szCs w:val="1"/>
                <w:color w:val="auto"/>
              </w:rPr>
            </w:pPr>
          </w:p>
        </w:tc>
      </w:tr>
      <w:tr>
        <w:trPr>
          <w:trHeight w:val="70"/>
        </w:trPr>
        <w:tc>
          <w:tcPr>
            <w:tcW w:w="40" w:type="dxa"/>
            <w:vAlign w:val="bottom"/>
            <w:tcBorders>
              <w:bottom w:val="single" w:sz="8" w:color="DCE2EF"/>
            </w:tcBorders>
            <w:shd w:val="clear" w:color="auto" w:fill="DCE2EF"/>
          </w:tcPr>
          <w:p>
            <w:pPr>
              <w:spacing w:after="0"/>
              <w:rPr>
                <w:sz w:val="6"/>
                <w:szCs w:val="6"/>
                <w:color w:val="auto"/>
              </w:rPr>
            </w:pPr>
          </w:p>
        </w:tc>
        <w:tc>
          <w:tcPr>
            <w:tcW w:w="2660" w:type="dxa"/>
            <w:vAlign w:val="bottom"/>
            <w:tcBorders>
              <w:bottom w:val="single" w:sz="8" w:color="DCE2EF"/>
            </w:tcBorders>
            <w:gridSpan w:val="2"/>
            <w:vMerge w:val="continue"/>
            <w:shd w:val="clear" w:color="auto" w:fill="DCE2EF"/>
          </w:tcPr>
          <w:p>
            <w:pPr>
              <w:spacing w:after="0"/>
              <w:rPr>
                <w:sz w:val="6"/>
                <w:szCs w:val="6"/>
                <w:color w:val="auto"/>
              </w:rPr>
            </w:pPr>
          </w:p>
        </w:tc>
        <w:tc>
          <w:tcPr>
            <w:tcW w:w="140" w:type="dxa"/>
            <w:vAlign w:val="bottom"/>
            <w:tcBorders>
              <w:bottom w:val="single" w:sz="8" w:color="DCE2EF"/>
            </w:tcBorders>
            <w:shd w:val="clear" w:color="auto" w:fill="DCE2EF"/>
          </w:tcPr>
          <w:p>
            <w:pPr>
              <w:spacing w:after="0"/>
              <w:rPr>
                <w:sz w:val="6"/>
                <w:szCs w:val="6"/>
                <w:color w:val="auto"/>
              </w:rPr>
            </w:pPr>
          </w:p>
        </w:tc>
        <w:tc>
          <w:tcPr>
            <w:tcW w:w="940" w:type="dxa"/>
            <w:vAlign w:val="bottom"/>
            <w:tcBorders>
              <w:bottom w:val="single" w:sz="8" w:color="DCE2EF"/>
            </w:tcBorders>
            <w:shd w:val="clear" w:color="auto" w:fill="DCE2EF"/>
          </w:tcPr>
          <w:p>
            <w:pPr>
              <w:spacing w:after="0"/>
              <w:rPr>
                <w:sz w:val="6"/>
                <w:szCs w:val="6"/>
                <w:color w:val="auto"/>
              </w:rPr>
            </w:pPr>
          </w:p>
        </w:tc>
        <w:tc>
          <w:tcPr>
            <w:tcW w:w="180" w:type="dxa"/>
            <w:vAlign w:val="bottom"/>
            <w:tcBorders>
              <w:bottom w:val="single" w:sz="8" w:color="DCE2EF"/>
            </w:tcBorders>
            <w:vMerge w:val="continue"/>
            <w:shd w:val="clear" w:color="auto" w:fill="DCE2EF"/>
          </w:tcPr>
          <w:p>
            <w:pPr>
              <w:spacing w:after="0"/>
              <w:rPr>
                <w:sz w:val="6"/>
                <w:szCs w:val="6"/>
                <w:color w:val="auto"/>
              </w:rPr>
            </w:pPr>
          </w:p>
        </w:tc>
        <w:tc>
          <w:tcPr>
            <w:tcW w:w="1000" w:type="dxa"/>
            <w:vAlign w:val="bottom"/>
            <w:tcBorders>
              <w:bottom w:val="single" w:sz="8" w:color="DCE2EF"/>
            </w:tcBorders>
            <w:vMerge w:val="continue"/>
            <w:shd w:val="clear" w:color="auto" w:fill="DCE2EF"/>
          </w:tcPr>
          <w:p>
            <w:pPr>
              <w:spacing w:after="0"/>
              <w:rPr>
                <w:sz w:val="6"/>
                <w:szCs w:val="6"/>
                <w:color w:val="auto"/>
              </w:rPr>
            </w:pPr>
          </w:p>
        </w:tc>
        <w:tc>
          <w:tcPr>
            <w:tcW w:w="260" w:type="dxa"/>
            <w:vAlign w:val="bottom"/>
            <w:tcBorders>
              <w:bottom w:val="single" w:sz="8" w:color="DCE2EF"/>
            </w:tcBorders>
            <w:gridSpan w:val="2"/>
            <w:vMerge w:val="continue"/>
            <w:shd w:val="clear" w:color="auto" w:fill="DCE2EF"/>
          </w:tcPr>
          <w:p>
            <w:pPr>
              <w:spacing w:after="0"/>
              <w:rPr>
                <w:sz w:val="6"/>
                <w:szCs w:val="6"/>
                <w:color w:val="auto"/>
              </w:rPr>
            </w:pPr>
          </w:p>
        </w:tc>
        <w:tc>
          <w:tcPr>
            <w:tcW w:w="1220" w:type="dxa"/>
            <w:vAlign w:val="bottom"/>
            <w:tcBorders>
              <w:bottom w:val="single" w:sz="8" w:color="DCE2EF"/>
            </w:tcBorders>
            <w:vMerge w:val="continue"/>
            <w:shd w:val="clear" w:color="auto" w:fill="DCE2EF"/>
          </w:tcPr>
          <w:p>
            <w:pPr>
              <w:spacing w:after="0"/>
              <w:rPr>
                <w:sz w:val="6"/>
                <w:szCs w:val="6"/>
                <w:color w:val="auto"/>
              </w:rPr>
            </w:pPr>
          </w:p>
        </w:tc>
        <w:tc>
          <w:tcPr>
            <w:tcW w:w="100" w:type="dxa"/>
            <w:vAlign w:val="bottom"/>
            <w:tcBorders>
              <w:bottom w:val="single" w:sz="8" w:color="DCE2EF"/>
            </w:tcBorders>
            <w:shd w:val="clear" w:color="auto" w:fill="DCE2EF"/>
          </w:tcPr>
          <w:p>
            <w:pPr>
              <w:spacing w:after="0"/>
              <w:rPr>
                <w:sz w:val="6"/>
                <w:szCs w:val="6"/>
                <w:color w:val="auto"/>
              </w:rPr>
            </w:pPr>
          </w:p>
        </w:tc>
        <w:tc>
          <w:tcPr>
            <w:tcW w:w="220" w:type="dxa"/>
            <w:vAlign w:val="bottom"/>
            <w:tcBorders>
              <w:bottom w:val="single" w:sz="8" w:color="DCE2EF"/>
            </w:tcBorders>
            <w:vMerge w:val="continue"/>
            <w:shd w:val="clear" w:color="auto" w:fill="DCE2EF"/>
          </w:tcPr>
          <w:p>
            <w:pPr>
              <w:spacing w:after="0"/>
              <w:rPr>
                <w:sz w:val="6"/>
                <w:szCs w:val="6"/>
                <w:color w:val="auto"/>
              </w:rPr>
            </w:pPr>
          </w:p>
        </w:tc>
        <w:tc>
          <w:tcPr>
            <w:tcW w:w="820" w:type="dxa"/>
            <w:vAlign w:val="bottom"/>
            <w:tcBorders>
              <w:bottom w:val="single" w:sz="8" w:color="DCE2EF"/>
            </w:tcBorders>
            <w:vMerge w:val="continue"/>
            <w:shd w:val="clear" w:color="auto" w:fill="DCE2EF"/>
          </w:tcPr>
          <w:p>
            <w:pPr>
              <w:spacing w:after="0"/>
              <w:rPr>
                <w:sz w:val="6"/>
                <w:szCs w:val="6"/>
                <w:color w:val="auto"/>
              </w:rPr>
            </w:pPr>
          </w:p>
        </w:tc>
        <w:tc>
          <w:tcPr>
            <w:tcW w:w="100" w:type="dxa"/>
            <w:vAlign w:val="bottom"/>
            <w:tcBorders>
              <w:bottom w:val="single" w:sz="8" w:color="DCE2EF"/>
            </w:tcBorders>
            <w:shd w:val="clear" w:color="auto" w:fill="DCE2EF"/>
          </w:tcPr>
          <w:p>
            <w:pPr>
              <w:spacing w:after="0"/>
              <w:rPr>
                <w:sz w:val="6"/>
                <w:szCs w:val="6"/>
                <w:color w:val="auto"/>
              </w:rPr>
            </w:pPr>
          </w:p>
        </w:tc>
        <w:tc>
          <w:tcPr>
            <w:tcW w:w="180" w:type="dxa"/>
            <w:vAlign w:val="bottom"/>
            <w:tcBorders>
              <w:bottom w:val="single" w:sz="8" w:color="DCE2EF"/>
            </w:tcBorders>
            <w:vMerge w:val="continue"/>
            <w:shd w:val="clear" w:color="auto" w:fill="DCE2EF"/>
          </w:tcPr>
          <w:p>
            <w:pPr>
              <w:spacing w:after="0"/>
              <w:rPr>
                <w:sz w:val="6"/>
                <w:szCs w:val="6"/>
                <w:color w:val="auto"/>
              </w:rPr>
            </w:pPr>
          </w:p>
        </w:tc>
        <w:tc>
          <w:tcPr>
            <w:tcW w:w="960" w:type="dxa"/>
            <w:vAlign w:val="bottom"/>
            <w:tcBorders>
              <w:bottom w:val="single" w:sz="8" w:color="DCE2EF"/>
            </w:tcBorders>
            <w:vMerge w:val="continue"/>
            <w:shd w:val="clear" w:color="auto" w:fill="DCE2EF"/>
          </w:tcPr>
          <w:p>
            <w:pPr>
              <w:spacing w:after="0"/>
              <w:rPr>
                <w:sz w:val="6"/>
                <w:szCs w:val="6"/>
                <w:color w:val="auto"/>
              </w:rPr>
            </w:pPr>
          </w:p>
        </w:tc>
        <w:tc>
          <w:tcPr>
            <w:tcW w:w="240" w:type="dxa"/>
            <w:vAlign w:val="bottom"/>
            <w:tcBorders>
              <w:bottom w:val="single" w:sz="8" w:color="DCE2EF"/>
            </w:tcBorders>
            <w:gridSpan w:val="2"/>
            <w:vMerge w:val="continue"/>
            <w:shd w:val="clear" w:color="auto" w:fill="DCE2EF"/>
          </w:tcPr>
          <w:p>
            <w:pPr>
              <w:spacing w:after="0"/>
              <w:rPr>
                <w:sz w:val="6"/>
                <w:szCs w:val="6"/>
                <w:color w:val="auto"/>
              </w:rPr>
            </w:pPr>
          </w:p>
        </w:tc>
        <w:tc>
          <w:tcPr>
            <w:tcW w:w="1220" w:type="dxa"/>
            <w:vAlign w:val="bottom"/>
            <w:tcBorders>
              <w:bottom w:val="single" w:sz="8" w:color="DCE2EF"/>
            </w:tcBorders>
            <w:vMerge w:val="continue"/>
            <w:shd w:val="clear" w:color="auto" w:fill="DCE2EF"/>
          </w:tcPr>
          <w:p>
            <w:pPr>
              <w:spacing w:after="0"/>
              <w:rPr>
                <w:sz w:val="6"/>
                <w:szCs w:val="6"/>
                <w:color w:val="auto"/>
              </w:rPr>
            </w:pPr>
          </w:p>
        </w:tc>
        <w:tc>
          <w:tcPr>
            <w:tcW w:w="120" w:type="dxa"/>
            <w:vAlign w:val="bottom"/>
            <w:tcBorders>
              <w:bottom w:val="single" w:sz="8" w:color="DCE2EF"/>
            </w:tcBorders>
            <w:shd w:val="clear" w:color="auto" w:fill="DCE2EF"/>
          </w:tcPr>
          <w:p>
            <w:pPr>
              <w:spacing w:after="0"/>
              <w:rPr>
                <w:sz w:val="6"/>
                <w:szCs w:val="6"/>
                <w:color w:val="auto"/>
              </w:rPr>
            </w:pPr>
          </w:p>
        </w:tc>
        <w:tc>
          <w:tcPr>
            <w:tcW w:w="220" w:type="dxa"/>
            <w:vAlign w:val="bottom"/>
            <w:tcBorders>
              <w:bottom w:val="single" w:sz="8" w:color="DCE2EF"/>
            </w:tcBorders>
            <w:vMerge w:val="continue"/>
            <w:shd w:val="clear" w:color="auto" w:fill="DCE2EF"/>
          </w:tcPr>
          <w:p>
            <w:pPr>
              <w:spacing w:after="0"/>
              <w:rPr>
                <w:sz w:val="6"/>
                <w:szCs w:val="6"/>
                <w:color w:val="auto"/>
              </w:rPr>
            </w:pPr>
          </w:p>
        </w:tc>
        <w:tc>
          <w:tcPr>
            <w:tcW w:w="800" w:type="dxa"/>
            <w:vAlign w:val="bottom"/>
            <w:tcBorders>
              <w:bottom w:val="single" w:sz="8" w:color="DCE2EF"/>
            </w:tcBorders>
            <w:vMerge w:val="continue"/>
            <w:shd w:val="clear" w:color="auto" w:fill="DCE2E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3780" w:type="dxa"/>
            <w:vAlign w:val="bottom"/>
            <w:gridSpan w:val="5"/>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80"/>
        </w:trPr>
        <w:tc>
          <w:tcPr>
            <w:tcW w:w="40" w:type="dxa"/>
            <w:vAlign w:val="bottom"/>
            <w:tcBorders>
              <w:bottom w:val="single" w:sz="8" w:color="DCE2EF"/>
            </w:tcBorders>
            <w:shd w:val="clear" w:color="auto" w:fill="DCE2EF"/>
          </w:tcPr>
          <w:p>
            <w:pPr>
              <w:spacing w:after="0"/>
              <w:rPr>
                <w:sz w:val="24"/>
                <w:szCs w:val="24"/>
                <w:color w:val="auto"/>
              </w:rPr>
            </w:pPr>
          </w:p>
        </w:tc>
        <w:tc>
          <w:tcPr>
            <w:tcW w:w="26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Contract rights and other</w:t>
            </w:r>
          </w:p>
        </w:tc>
        <w:tc>
          <w:tcPr>
            <w:tcW w:w="1080" w:type="dxa"/>
            <w:vAlign w:val="bottom"/>
            <w:tcBorders>
              <w:bottom w:val="single" w:sz="8" w:color="DCE2EF"/>
            </w:tcBorders>
            <w:gridSpan w:val="2"/>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1000" w:type="dxa"/>
            <w:vAlign w:val="bottom"/>
            <w:tcBorders>
              <w:bottom w:val="single" w:sz="8" w:color="DCE2EF"/>
            </w:tcBorders>
            <w:shd w:val="clear" w:color="auto" w:fill="DCE2EF"/>
          </w:tcPr>
          <w:p>
            <w:pPr>
              <w:jc w:val="right"/>
              <w:ind w:right="5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DCE2EF"/>
            </w:tcBorders>
            <w:shd w:val="clear" w:color="auto" w:fill="DCE2EF"/>
          </w:tcPr>
          <w:p>
            <w:pPr>
              <w:spacing w:after="0"/>
              <w:rPr>
                <w:sz w:val="24"/>
                <w:szCs w:val="24"/>
                <w:color w:val="auto"/>
              </w:rPr>
            </w:pPr>
          </w:p>
        </w:tc>
        <w:tc>
          <w:tcPr>
            <w:tcW w:w="140" w:type="dxa"/>
            <w:vAlign w:val="bottom"/>
            <w:tcBorders>
              <w:bottom w:val="single" w:sz="8" w:color="DCE2EF"/>
            </w:tcBorders>
            <w:shd w:val="clear" w:color="auto" w:fill="DCE2EF"/>
          </w:tcPr>
          <w:p>
            <w:pPr>
              <w:spacing w:after="0"/>
              <w:rPr>
                <w:sz w:val="24"/>
                <w:szCs w:val="24"/>
                <w:color w:val="auto"/>
              </w:rPr>
            </w:pPr>
          </w:p>
        </w:tc>
        <w:tc>
          <w:tcPr>
            <w:tcW w:w="12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DCE2EF"/>
            </w:tcBorders>
            <w:shd w:val="clear" w:color="auto" w:fill="DCE2EF"/>
          </w:tcPr>
          <w:p>
            <w:pPr>
              <w:spacing w:after="0"/>
              <w:rPr>
                <w:sz w:val="24"/>
                <w:szCs w:val="24"/>
                <w:color w:val="auto"/>
              </w:rPr>
            </w:pPr>
          </w:p>
        </w:tc>
        <w:tc>
          <w:tcPr>
            <w:tcW w:w="82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96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DCE2EF"/>
            </w:tcBorders>
            <w:shd w:val="clear" w:color="auto" w:fill="DCE2EF"/>
          </w:tcPr>
          <w:p>
            <w:pPr>
              <w:spacing w:after="0"/>
              <w:rPr>
                <w:sz w:val="24"/>
                <w:szCs w:val="24"/>
                <w:color w:val="auto"/>
              </w:rPr>
            </w:pPr>
          </w:p>
        </w:tc>
        <w:tc>
          <w:tcPr>
            <w:tcW w:w="140" w:type="dxa"/>
            <w:vAlign w:val="bottom"/>
            <w:tcBorders>
              <w:bottom w:val="single" w:sz="8" w:color="DCE2EF"/>
            </w:tcBorders>
            <w:shd w:val="clear" w:color="auto" w:fill="DCE2EF"/>
          </w:tcPr>
          <w:p>
            <w:pPr>
              <w:spacing w:after="0"/>
              <w:rPr>
                <w:sz w:val="24"/>
                <w:szCs w:val="24"/>
                <w:color w:val="auto"/>
              </w:rPr>
            </w:pPr>
          </w:p>
        </w:tc>
        <w:tc>
          <w:tcPr>
            <w:tcW w:w="12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DCE2EF"/>
            </w:tcBorders>
            <w:shd w:val="clear" w:color="auto" w:fill="DCE2EF"/>
          </w:tcPr>
          <w:p>
            <w:pPr>
              <w:spacing w:after="0"/>
              <w:rPr>
                <w:sz w:val="24"/>
                <w:szCs w:val="24"/>
                <w:color w:val="auto"/>
              </w:rPr>
            </w:pPr>
          </w:p>
        </w:tc>
        <w:tc>
          <w:tcPr>
            <w:tcW w:w="80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3780" w:type="dxa"/>
            <w:vAlign w:val="bottom"/>
            <w:gridSpan w:val="5"/>
          </w:tcPr>
          <w:p>
            <w:pPr>
              <w:ind w:left="40"/>
              <w:spacing w:after="0" w:line="237" w:lineRule="exact"/>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color w:val="auto"/>
                <w:vertAlign w:val="superscript"/>
              </w:rPr>
              <w:t>(2)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606.0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355.7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619.2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firstLine="8"/>
        <w:spacing w:after="0" w:line="210" w:lineRule="auto"/>
        <w:tabs>
          <w:tab w:leader="none" w:pos="192"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Reflects a net impairment charge of $6.2 million recorded in 2018, consisting of a $10.5 million reduction in the gross carrying amount of the underlying customer relationships less $4.3 million of accumulated amortization.</w:t>
      </w:r>
    </w:p>
    <w:p>
      <w:pPr>
        <w:spacing w:after="0" w:line="111"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5"/>
          <w:szCs w:val="15"/>
          <w:color w:val="auto"/>
        </w:rPr>
        <w:t>These intangible assets are being amortized over the expected period of benefit, with a weighted average life of approximately 13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Estimated Annual Amortization Expense For Each of the Next Five Years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360" w:type="dxa"/>
            <w:vAlign w:val="bottom"/>
            <w:tcBorders>
              <w:bottom w:val="single" w:sz="8" w:color="DCE2E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41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Estimated amortization expense</w:t>
            </w:r>
            <w:r>
              <w:rPr>
                <w:rFonts w:ascii="Arial" w:cs="Arial" w:eastAsia="Arial" w:hAnsi="Arial"/>
                <w:sz w:val="21"/>
                <w:szCs w:val="21"/>
                <w:color w:val="auto"/>
                <w:vertAlign w:val="superscript"/>
              </w:rPr>
              <w:t>(1)</w:t>
            </w:r>
          </w:p>
        </w:tc>
        <w:tc>
          <w:tcPr>
            <w:tcW w:w="900" w:type="dxa"/>
            <w:vAlign w:val="bottom"/>
            <w:shd w:val="clear" w:color="auto" w:fill="DCE2EF"/>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6"/>
              </w:rPr>
              <w:t>58.5</w:t>
            </w:r>
          </w:p>
        </w:tc>
        <w:tc>
          <w:tcPr>
            <w:tcW w:w="100" w:type="dxa"/>
            <w:vAlign w:val="bottom"/>
            <w:shd w:val="clear" w:color="auto" w:fill="DCE2EF"/>
          </w:tcPr>
          <w:p>
            <w:pPr>
              <w:spacing w:after="0"/>
              <w:rPr>
                <w:sz w:val="21"/>
                <w:szCs w:val="21"/>
                <w:color w:val="auto"/>
              </w:rPr>
            </w:pPr>
          </w:p>
        </w:tc>
        <w:tc>
          <w:tcPr>
            <w:tcW w:w="900" w:type="dxa"/>
            <w:vAlign w:val="bottom"/>
            <w:shd w:val="clear" w:color="auto" w:fill="DCE2E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DCE2EF"/>
          </w:tcPr>
          <w:p>
            <w:pPr>
              <w:spacing w:after="0"/>
              <w:rPr>
                <w:sz w:val="21"/>
                <w:szCs w:val="21"/>
                <w:color w:val="auto"/>
              </w:rPr>
            </w:pPr>
          </w:p>
        </w:tc>
        <w:tc>
          <w:tcPr>
            <w:tcW w:w="900" w:type="dxa"/>
            <w:vAlign w:val="bottom"/>
            <w:shd w:val="clear" w:color="auto" w:fill="DCE2EF"/>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6"/>
              </w:rPr>
              <w:t>43.8</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33.6</w:t>
            </w:r>
          </w:p>
        </w:tc>
      </w:tr>
    </w:tbl>
    <w:p>
      <w:pPr>
        <w:spacing w:after="0" w:line="117"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These amounts could vary as acquisitions of additional intangible assets occur in the future.</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2018, we also recorded an impairment charge of $6.2 million on customer relationships in the same reporting unit within the Technical Solutions segment due to the same factors discussed above.</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2016, we recorded an impairment charge of $4.4 million on certain intangible assets when we classified our Government Services business as held for sale, which was subsequently recovered in 2017 when we received an offer from a strategic buyer to purchase this business that was higher than our estimate of fair value less costs to sell.</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estimates of future cash flows used in determining the fair value of goodwill and other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4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46AD"/>
        </w:rPr>
        <w:t>11.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$0.4 million of exposure on a per-participant, per-year basis with respect to claims. Since September 1, 2017, GCA’s workers’ compensation, general liability, automobile liability, and other insurable risks have been covered under the ABM insurance policies.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 During each of 2018 and 2017, we performed both an actuarial review and an actuarial update, as described below. As a result of these studies, we increased our reserves for claims related to prior periods by $10.2 million and $22.0 million during 2018 and 2017,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Reserve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Actuarial Studies Performed During 2018</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2018, we performed actuarial studies of our casualty insurance programs that considered changes in claim developments and claim payment activity for the period commencing May 1, 2017 and ending April 30, 2018 for all policy years in which open claims existed.</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actuarial studies indicated the changes we have made to our risk management program have reduced the frequency of claims; however, we are experiencing adverse developments that impact claim costs relating to prior periods. Claim management initiatives include programs to identify claims that have the potential to develop adversely earlier in the claims cycle and ensure the establishment of reserves consistent with known fact patterns. However, with respect to claims related to certain prior fiscal years, the actuarial studies showed unfavorable developments in our estimates of ultimate losses related to general liability, property damage, workers’ compensation, and automobile liability claims, as described below.</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actuarial studies related to our general liability program indicated the total number of claims continues to show a pattern of decreasing losses, particularly with bodily injury claims. However, we experienced adverse developments with respect to claims related to certain prior fiscal years that are largely attributable to adjustments for certain alleged bodily injury claims and to losses for property damage.</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increases in projected costs and severity of claims in certain prior fiscal years, in 2018 we increased our estimate of ultimate losses for workers’ compensation claims. Statutory, regulatory, and legal developments have also contributed to the increase in our estimated losses. Our workers’ compensation estimate of ultimate losses was primarily impacted by increases in projected costs for a significant number of prior year claims in California.</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automobile liability program covers our fleet of passenger vehicles, service vans, and shuttle buses, which are associated with our various transportation service contracts. Claim frequency and severity associated with our fleet operations developed unfavorably versus actuarial expectations, consistent with insurance trends exhibited in the broader insurance book of claims.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the results of the actuarial studies performed during 2018, which included analyzing recent loss development patterns, comparing the loss development against benchmarks, and applying actuarial projection methods to estimate ultimate losses, we increased our total reserves for known claims as well as our estimate of the loss amounts associated with IBNR Claims for prior periods by $10.2 million during 2018. This adjustment was $11.8 million lower than the total adjustment related to prior year claims of $22.0 million in 2017.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22"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9"/>
        </w:trPr>
        <w:tc>
          <w:tcPr>
            <w:tcW w:w="7360" w:type="dxa"/>
            <w:vAlign w:val="bottom"/>
            <w:gridSpan w:val="3"/>
          </w:tcPr>
          <w:p>
            <w:pPr>
              <w:spacing w:after="0"/>
              <w:rPr>
                <w:sz w:val="20"/>
                <w:szCs w:val="20"/>
                <w:color w:val="auto"/>
              </w:rPr>
            </w:pPr>
            <w:r>
              <w:rPr>
                <w:rFonts w:ascii="Arial" w:cs="Arial" w:eastAsia="Arial" w:hAnsi="Arial"/>
                <w:sz w:val="18"/>
                <w:szCs w:val="18"/>
                <w:b w:val="1"/>
                <w:bCs w:val="1"/>
                <w:color w:val="0046AD"/>
              </w:rPr>
              <w:t>Insurance Related Balances and Activity</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527"/>
        </w:trPr>
        <w:tc>
          <w:tcPr>
            <w:tcW w:w="7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 2018</w:t>
            </w:r>
          </w:p>
        </w:tc>
        <w:tc>
          <w:tcPr>
            <w:tcW w:w="180" w:type="dxa"/>
            <w:vAlign w:val="bottom"/>
          </w:tcPr>
          <w:p>
            <w:pPr>
              <w:spacing w:after="0"/>
              <w:rPr>
                <w:sz w:val="24"/>
                <w:szCs w:val="24"/>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6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0"/>
        </w:trPr>
        <w:tc>
          <w:tcPr>
            <w:tcW w:w="7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501.4</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485.6</w:t>
            </w:r>
          </w:p>
        </w:tc>
      </w:tr>
      <w:tr>
        <w:trPr>
          <w:trHeight w:val="263"/>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18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7"/>
        </w:trPr>
        <w:tc>
          <w:tcPr>
            <w:tcW w:w="7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recoverables</w:t>
            </w:r>
          </w:p>
        </w:tc>
        <w:tc>
          <w:tcPr>
            <w:tcW w:w="18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73.1</w:t>
            </w:r>
          </w:p>
        </w:tc>
      </w:tr>
    </w:tbl>
    <w:p>
      <w:pPr>
        <w:spacing w:after="0" w:line="16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At October 31, 2018 and 2017, insurance recoverables are included in both “Other current assets” and “Other noncurrent assets” on the accompanying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Casualty Program Insurance Reserves Rollforward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Net balance at beginning of year</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312.7</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current year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104.5</w:t>
            </w: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prior years</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35.8</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Claims paid</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GCA acquisition</w:t>
            </w:r>
          </w:p>
        </w:tc>
        <w:tc>
          <w:tcPr>
            <w:tcW w:w="360" w:type="dxa"/>
            <w:vAlign w:val="bottom"/>
            <w:tcBorders>
              <w:bottom w:val="single" w:sz="8" w:color="auto"/>
            </w:tcBorders>
            <w:shd w:val="clear" w:color="auto" w:fill="DCE2EF"/>
          </w:tcPr>
          <w:p>
            <w:pPr>
              <w:spacing w:after="0"/>
              <w:rPr>
                <w:sz w:val="24"/>
                <w:szCs w:val="24"/>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DCE2EF"/>
          </w:tcPr>
          <w:p>
            <w:pPr>
              <w:spacing w:after="0"/>
              <w:rPr>
                <w:sz w:val="24"/>
                <w:szCs w:val="24"/>
                <w:color w:val="auto"/>
              </w:rPr>
            </w:pPr>
          </w:p>
        </w:tc>
        <w:tc>
          <w:tcPr>
            <w:tcW w:w="360" w:type="dxa"/>
            <w:vAlign w:val="bottom"/>
            <w:tcBorders>
              <w:bottom w:val="single" w:sz="8" w:color="auto"/>
            </w:tcBorders>
            <w:shd w:val="clear" w:color="auto" w:fill="DCE2EF"/>
          </w:tcPr>
          <w:p>
            <w:pPr>
              <w:spacing w:after="0"/>
              <w:rPr>
                <w:sz w:val="24"/>
                <w:szCs w:val="24"/>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balance, October 31</w:t>
            </w:r>
            <w:r>
              <w:rPr>
                <w:rFonts w:ascii="Arial" w:cs="Arial" w:eastAsia="Arial" w:hAnsi="Arial"/>
                <w:sz w:val="21"/>
                <w:szCs w:val="21"/>
                <w:b w:val="1"/>
                <w:bCs w:val="1"/>
                <w:color w:val="auto"/>
                <w:vertAlign w:val="superscript"/>
              </w:rPr>
              <w:t>(1)</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348.2</w:t>
            </w:r>
          </w:p>
        </w:tc>
      </w:tr>
      <w:tr>
        <w:trPr>
          <w:trHeight w:val="27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Recoverables</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69.7</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balance, October 31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Includes reserves related to discontinued operations of approximately $3 million for 2018, $10 million for 2017, and $12 million for 2016.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5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660" w:type="dxa"/>
            <w:vAlign w:val="bottom"/>
            <w:tcBorders>
              <w:bottom w:val="single" w:sz="8" w:color="DCE2EF"/>
            </w:tcBorders>
          </w:tcPr>
          <w:p>
            <w:pPr>
              <w:spacing w:after="0" w:line="20" w:lineRule="exact"/>
              <w:rPr>
                <w:sz w:val="1"/>
                <w:szCs w:val="1"/>
                <w:color w:val="auto"/>
              </w:rPr>
            </w:pPr>
          </w:p>
        </w:tc>
        <w:tc>
          <w:tcPr>
            <w:tcW w:w="502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23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Standby letters of credit</w:t>
            </w:r>
          </w:p>
        </w:tc>
        <w:tc>
          <w:tcPr>
            <w:tcW w:w="5480" w:type="dxa"/>
            <w:vAlign w:val="bottom"/>
            <w:tcBorders>
              <w:bottom w:val="single" w:sz="8" w:color="DCE2EF"/>
            </w:tcBorders>
            <w:gridSpan w:val="2"/>
            <w:shd w:val="clear" w:color="auto" w:fill="DCE2E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144.1</w:t>
            </w:r>
          </w:p>
        </w:tc>
        <w:tc>
          <w:tcPr>
            <w:tcW w:w="120" w:type="dxa"/>
            <w:vAlign w:val="bottom"/>
            <w:tcBorders>
              <w:bottom w:val="single" w:sz="8" w:color="DCE2EF"/>
            </w:tcBorders>
            <w:shd w:val="clear" w:color="auto" w:fill="DCE2EF"/>
          </w:tcPr>
          <w:p>
            <w:pPr>
              <w:spacing w:after="0"/>
              <w:rPr>
                <w:sz w:val="20"/>
                <w:szCs w:val="20"/>
                <w:color w:val="auto"/>
              </w:rPr>
            </w:pPr>
          </w:p>
        </w:tc>
        <w:tc>
          <w:tcPr>
            <w:tcW w:w="740" w:type="dxa"/>
            <w:vAlign w:val="bottom"/>
            <w:tcBorders>
              <w:bottom w:val="single" w:sz="8" w:color="DCE2EF"/>
            </w:tcBorders>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63"/>
        </w:trPr>
        <w:tc>
          <w:tcPr>
            <w:tcW w:w="240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5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7"/>
        </w:trPr>
        <w:tc>
          <w:tcPr>
            <w:tcW w:w="40" w:type="dxa"/>
            <w:vAlign w:val="bottom"/>
            <w:tcBorders>
              <w:bottom w:val="single" w:sz="8" w:color="DCE2EF"/>
            </w:tcBorders>
            <w:shd w:val="clear" w:color="auto" w:fill="DCE2EF"/>
          </w:tcPr>
          <w:p>
            <w:pPr>
              <w:spacing w:after="0"/>
              <w:rPr>
                <w:sz w:val="24"/>
                <w:szCs w:val="24"/>
                <w:color w:val="auto"/>
              </w:rPr>
            </w:pPr>
          </w:p>
        </w:tc>
        <w:tc>
          <w:tcPr>
            <w:tcW w:w="23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w w:val="99"/>
                <w:shd w:val="clear" w:color="auto" w:fill="DCE2EF"/>
              </w:rPr>
              <w:t>Restricted insurance deposits</w:t>
            </w:r>
          </w:p>
        </w:tc>
        <w:tc>
          <w:tcPr>
            <w:tcW w:w="50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14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DCE2EF"/>
            </w:tcBorders>
            <w:shd w:val="clear" w:color="auto" w:fill="DCE2EF"/>
          </w:tcPr>
          <w:p>
            <w:pPr>
              <w:spacing w:after="0"/>
              <w:rPr>
                <w:sz w:val="24"/>
                <w:szCs w:val="24"/>
                <w:color w:val="auto"/>
              </w:rPr>
            </w:pPr>
          </w:p>
        </w:tc>
        <w:tc>
          <w:tcPr>
            <w:tcW w:w="740" w:type="dxa"/>
            <w:vAlign w:val="bottom"/>
            <w:tcBorders>
              <w:bottom w:val="single" w:sz="8" w:color="DCE2EF"/>
            </w:tcBorders>
            <w:shd w:val="clear" w:color="auto" w:fill="DCE2EF"/>
          </w:tcPr>
          <w:p>
            <w:pPr>
              <w:spacing w:after="0"/>
              <w:rPr>
                <w:sz w:val="24"/>
                <w:szCs w:val="24"/>
                <w:color w:val="auto"/>
              </w:rPr>
            </w:pPr>
          </w:p>
        </w:tc>
        <w:tc>
          <w:tcPr>
            <w:tcW w:w="12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0"/>
        </w:trPr>
        <w:tc>
          <w:tcPr>
            <w:tcW w:w="24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0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233.9</w:t>
            </w:r>
          </w:p>
        </w:tc>
        <w:tc>
          <w:tcPr>
            <w:tcW w:w="12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20" w:type="dxa"/>
            <w:vAlign w:val="bottom"/>
            <w:vMerge w:val="restart"/>
          </w:tcPr>
          <w:p>
            <w:pPr>
              <w:jc w:val="right"/>
              <w:ind w:right="1510"/>
              <w:spacing w:after="0"/>
              <w:rPr>
                <w:sz w:val="20"/>
                <w:szCs w:val="20"/>
                <w:color w:val="auto"/>
              </w:rPr>
            </w:pPr>
            <w:r>
              <w:rPr>
                <w:rFonts w:ascii="Arial" w:cs="Arial" w:eastAsia="Arial" w:hAnsi="Arial"/>
                <w:sz w:val="18"/>
                <w:szCs w:val="18"/>
                <w:color w:val="auto"/>
              </w:rPr>
              <w:t>76</w:t>
            </w: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0046AD"/>
        </w:rPr>
        <w:t>12.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1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The Credit Facility also provides for the issuance of up to $ 300.0 million for standby letters of credit and the issuance of up to $75.0 million in swingline advances. The obligations under the Credit Facility are secured on a first-priority basis by a lien on substantially all of our assets and properties, subject to certain exceptions.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Credit Facility bear interest at a rate equal to 1-month LIBOR plus a spread that is based upon our leverage ratio. The spread ranges from 1.00% to 2.25% for Eurocurrency loans and 0.00% to 1.25% for base rate loans. At October 31, 2018, the weighted average interest rate on our outstanding borrowings was 4.34%. We also pay a commitment fee, based on our leverage ratio and payable quarterly in arrears, ranging from 0.200% to 0.350% on the average daily unused portion of the line of credit. For purposes of this calculation, irrevocable standby letters of credit, which are issued primarily in conjunction with our insurance programs, and cash borrowings are included as outstanding under the line of credit.</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Credit Facility contains certain covenants, including a minimum fixed charge coverage ratio of 1.50 to 1.0, a maximum leverage ratio, as well as other financial and non-financial covenants. The maximum leverage ratio was 4.75 to 1.0 through April 2018 and steps down to 3.50 to 1.0 by July 2020. On September 5, 2018, we amended our Credit Facility to increase the maximum leverage ratio for fiscal quarters commencing July 31, 2018 through April 30, 2021 by 25 basis points for such quarters. In the event of a material acquisition, as defined in the Credit Facility, we may elect to increase the leverage ratio to 3.75 to 1.0 for a total of four fiscal quarters, provided the leverage ratio had already been reduced to 3.50 to 1.0. Our borrowing capacity is subject to, and limited by, compliance with the covenants described above. At October 31, 2018, we were in compliance with these covenants.</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also includes customary events of default, including failure to pay principal, interest, or fees when due, failure to comply with covenants, the occurrence of certain material judgments, or a change in control of the Company. If certain events of default occur, including certain cross-defaults, insolvency, change in control, or violation of specific covenants, the lenders can terminate or suspend our access to the Credit Facility and declare all amounts outstanding (including all accrued interest and unpaid fees) to be immediately due and payable, and require that we cash collateralize the outstanding standby letters of credit.</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Total deferred financing costs related to the Credit Facility were $18.7 million, consisting of $ 13.4 million related to the term loan and $5.2 million related to the line of credit, which are being amortized to interest expense over the term of the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Credit Facility Information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 2018</w:t>
            </w:r>
          </w:p>
        </w:tc>
        <w:tc>
          <w:tcPr>
            <w:tcW w:w="22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Gross term loan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Unamortized deferred financing costs</w:t>
            </w: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40" w:type="dxa"/>
            <w:vAlign w:val="bottom"/>
            <w:tcBorders>
              <w:bottom w:val="single" w:sz="8" w:color="DCE2EF"/>
            </w:tcBorders>
          </w:tcPr>
          <w:p>
            <w:pPr>
              <w:spacing w:after="0"/>
              <w:rPr>
                <w:sz w:val="21"/>
                <w:szCs w:val="21"/>
                <w:color w:val="auto"/>
              </w:rPr>
            </w:pPr>
          </w:p>
        </w:tc>
        <w:tc>
          <w:tcPr>
            <w:tcW w:w="7140" w:type="dxa"/>
            <w:vAlign w:val="bottom"/>
            <w:tcBorders>
              <w:bottom w:val="single" w:sz="8" w:color="DCE2E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DCE2E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r>
      <w:tr>
        <w:trPr>
          <w:trHeight w:val="324"/>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644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Gross term loan</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740.0</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780.0</w:t>
            </w:r>
          </w:p>
        </w:tc>
      </w:tr>
      <w:tr>
        <w:trPr>
          <w:trHeight w:val="264"/>
        </w:trPr>
        <w:tc>
          <w:tcPr>
            <w:tcW w:w="40" w:type="dxa"/>
            <w:vAlign w:val="bottom"/>
            <w:tcBorders>
              <w:bottom w:val="single" w:sz="8" w:color="DCE2EF"/>
            </w:tcBorders>
          </w:tcPr>
          <w:p>
            <w:pPr>
              <w:spacing w:after="0"/>
              <w:rPr>
                <w:sz w:val="22"/>
                <w:szCs w:val="22"/>
                <w:color w:val="auto"/>
              </w:rPr>
            </w:pPr>
          </w:p>
        </w:tc>
        <w:tc>
          <w:tcPr>
            <w:tcW w:w="714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Unamortized deferred financing costs</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40" w:type="dxa"/>
            <w:vAlign w:val="bottom"/>
            <w:shd w:val="clear" w:color="auto" w:fill="DCE2EF"/>
          </w:tcPr>
          <w:p>
            <w:pPr>
              <w:spacing w:after="0"/>
              <w:rPr>
                <w:sz w:val="22"/>
                <w:szCs w:val="22"/>
                <w:color w:val="auto"/>
              </w:rPr>
            </w:pPr>
          </w:p>
        </w:tc>
        <w:tc>
          <w:tcPr>
            <w:tcW w:w="7140" w:type="dxa"/>
            <w:vAlign w:val="bottom"/>
            <w:gridSpan w:val="2"/>
            <w:shd w:val="clear" w:color="auto" w:fill="DCE2E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733.1</w:t>
            </w:r>
          </w:p>
        </w:tc>
        <w:tc>
          <w:tcPr>
            <w:tcW w:w="1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770.1</w:t>
            </w:r>
          </w:p>
        </w:tc>
      </w:tr>
      <w:tr>
        <w:trPr>
          <w:trHeight w:val="270"/>
        </w:trPr>
        <w:tc>
          <w:tcPr>
            <w:tcW w:w="40" w:type="dxa"/>
            <w:vAlign w:val="bottom"/>
            <w:tcBorders>
              <w:bottom w:val="single" w:sz="8" w:color="DCE2EF"/>
            </w:tcBorders>
          </w:tcPr>
          <w:p>
            <w:pPr>
              <w:spacing w:after="0"/>
              <w:rPr>
                <w:sz w:val="23"/>
                <w:szCs w:val="23"/>
                <w:color w:val="auto"/>
              </w:rPr>
            </w:pPr>
          </w:p>
        </w:tc>
        <w:tc>
          <w:tcPr>
            <w:tcW w:w="714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Line of credit</w:t>
            </w:r>
            <w:r>
              <w:rPr>
                <w:rFonts w:ascii="Arial" w:cs="Arial" w:eastAsia="Arial" w:hAnsi="Arial"/>
                <w:sz w:val="21"/>
                <w:szCs w:val="21"/>
                <w:color w:val="auto"/>
                <w:vertAlign w:val="superscript"/>
              </w:rPr>
              <w:t>(1)(2)</w:t>
            </w: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391.2</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14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902.0</w:t>
            </w:r>
          </w:p>
        </w:tc>
        <w:tc>
          <w:tcPr>
            <w:tcW w:w="12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1,161.3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Standby letters of credit amounted to $152.9 million at October 31, 2018.</w:t>
      </w:r>
    </w:p>
    <w:p>
      <w:pPr>
        <w:spacing w:after="0" w:line="76" w:lineRule="exact"/>
        <w:rPr>
          <w:rFonts w:ascii="Arial" w:cs="Arial" w:eastAsia="Arial" w:hAnsi="Arial"/>
          <w:sz w:val="21"/>
          <w:szCs w:val="21"/>
          <w:color w:val="auto"/>
          <w:vertAlign w:val="superscript"/>
        </w:rPr>
      </w:pPr>
    </w:p>
    <w:p>
      <w:pPr>
        <w:ind w:left="180" w:hanging="172"/>
        <w:spacing w:after="0" w:line="219" w:lineRule="auto"/>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At October 31, 2018, we had borrowing capacity of $467.3 million; however, covenant restrictions limited our borrowing capacity to $441.3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22"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0046AD"/>
        </w:rPr>
        <w:t>Term Loan Maturities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first quarter of 2018, we made $20.0 million of principal payments. At October 31, 2018, the following principal payments are required under the term loan.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920" w:type="dxa"/>
            <w:vAlign w:val="bottom"/>
            <w:tcBorders>
              <w:bottom w:val="single" w:sz="8" w:color="DCE2E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Debt maturities</w:t>
            </w:r>
          </w:p>
        </w:tc>
        <w:tc>
          <w:tcPr>
            <w:tcW w:w="1080" w:type="dxa"/>
            <w:vAlign w:val="bottom"/>
            <w:shd w:val="clear" w:color="auto" w:fill="DCE2E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DCE2EF"/>
          </w:tcPr>
          <w:p>
            <w:pPr>
              <w:spacing w:after="0"/>
              <w:rPr>
                <w:sz w:val="21"/>
                <w:szCs w:val="21"/>
                <w:color w:val="auto"/>
              </w:rPr>
            </w:pPr>
          </w:p>
        </w:tc>
        <w:tc>
          <w:tcPr>
            <w:tcW w:w="1080" w:type="dxa"/>
            <w:vAlign w:val="bottom"/>
            <w:shd w:val="clear" w:color="auto" w:fill="DCE2E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CE2EF"/>
          </w:tcPr>
          <w:p>
            <w:pPr>
              <w:spacing w:after="0"/>
              <w:rPr>
                <w:sz w:val="21"/>
                <w:szCs w:val="21"/>
                <w:color w:val="auto"/>
              </w:rPr>
            </w:pPr>
          </w:p>
        </w:tc>
        <w:tc>
          <w:tcPr>
            <w:tcW w:w="1020" w:type="dxa"/>
            <w:vAlign w:val="bottom"/>
            <w:shd w:val="clear" w:color="auto" w:fill="DCE2E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the Credit Facility. Under these arrangements, we typically pay a fixed interest rate in exchange for LIBOR-based variable interest throughout the life of the agreement. We initially report the mark-to-market gain or loss on a derivative as a component of AOCI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7, “Fair Value of Financial Instruments,” regarding the valuation of our interest rate swaps.</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April 2018, we elected to terminate all of our interest rate swaps and received cash proceeds of $25.9 million from the swap counterparties upon termination. We classified the cash proceeds as an operating activity on our consolidated statements of cash flows. We subsequently entered into new forward-starting interest rate swaps, as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Notional Amount</w:t>
            </w:r>
          </w:p>
        </w:tc>
        <w:tc>
          <w:tcPr>
            <w:tcW w:w="120" w:type="dxa"/>
            <w:vAlign w:val="bottom"/>
            <w:tcBorders>
              <w:bottom w:val="single" w:sz="8" w:color="DCE2EF"/>
            </w:tcBorders>
          </w:tcPr>
          <w:p>
            <w:pPr>
              <w:spacing w:after="0"/>
              <w:rPr>
                <w:sz w:val="21"/>
                <w:szCs w:val="21"/>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Fixed Interest Rate</w:t>
            </w:r>
          </w:p>
        </w:tc>
        <w:tc>
          <w:tcPr>
            <w:tcW w:w="100" w:type="dxa"/>
            <w:vAlign w:val="bottom"/>
            <w:tcBorders>
              <w:bottom w:val="single" w:sz="8" w:color="DCE2EF"/>
            </w:tcBorders>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w:t>
            </w:r>
          </w:p>
        </w:tc>
        <w:tc>
          <w:tcPr>
            <w:tcW w:w="120" w:type="dxa"/>
            <w:vAlign w:val="bottom"/>
            <w:tcBorders>
              <w:bottom w:val="single" w:sz="8" w:color="DCE2EF"/>
            </w:tcBorders>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 Date</w:t>
            </w:r>
          </w:p>
        </w:tc>
      </w:tr>
      <w:tr>
        <w:trPr>
          <w:trHeight w:val="257"/>
        </w:trPr>
        <w:tc>
          <w:tcPr>
            <w:tcW w:w="296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9"/>
              </w:rPr>
              <w:t>$ 90.0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DCE2EF"/>
          </w:tcPr>
          <w:p>
            <w:pPr>
              <w:spacing w:after="0"/>
              <w:rPr>
                <w:sz w:val="22"/>
                <w:szCs w:val="22"/>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9"/>
              </w:rPr>
              <w:t>November 1, 2018</w:t>
            </w:r>
          </w:p>
        </w:tc>
        <w:tc>
          <w:tcPr>
            <w:tcW w:w="27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April 30, 2021</w:t>
            </w:r>
          </w:p>
        </w:tc>
      </w:tr>
      <w:tr>
        <w:trPr>
          <w:trHeight w:val="263"/>
        </w:trPr>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$ 90.0 million</w:t>
            </w:r>
          </w:p>
        </w:tc>
        <w:tc>
          <w:tcPr>
            <w:tcW w:w="272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1, 2018</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October 31, 2021</w:t>
            </w:r>
          </w:p>
        </w:tc>
      </w:tr>
      <w:tr>
        <w:trPr>
          <w:trHeight w:val="277"/>
        </w:trPr>
        <w:tc>
          <w:tcPr>
            <w:tcW w:w="296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CE2EF"/>
          </w:tcPr>
          <w:p>
            <w:pPr>
              <w:spacing w:after="0"/>
              <w:rPr>
                <w:sz w:val="24"/>
                <w:szCs w:val="24"/>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9"/>
              </w:rPr>
              <w:t>November 1, 2018</w:t>
            </w:r>
          </w:p>
        </w:tc>
        <w:tc>
          <w:tcPr>
            <w:tcW w:w="27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April 30, 2022</w:t>
            </w:r>
          </w:p>
        </w:tc>
      </w:tr>
      <w:tr>
        <w:trPr>
          <w:trHeight w:val="257"/>
        </w:trPr>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2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1, 2018</w:t>
            </w:r>
          </w:p>
        </w:tc>
        <w:tc>
          <w:tcPr>
            <w:tcW w:w="2700" w:type="dxa"/>
            <w:vAlign w:val="bottom"/>
          </w:tcPr>
          <w:p>
            <w:pPr>
              <w:jc w:val="center"/>
              <w:spacing w:after="0"/>
              <w:rPr>
                <w:sz w:val="20"/>
                <w:szCs w:val="20"/>
                <w:color w:val="auto"/>
              </w:rPr>
            </w:pPr>
            <w:r>
              <w:rPr>
                <w:rFonts w:ascii="Arial" w:cs="Arial" w:eastAsia="Arial" w:hAnsi="Arial"/>
                <w:sz w:val="18"/>
                <w:szCs w:val="18"/>
                <w:color w:val="auto"/>
              </w:rPr>
              <w:t>September 1, 2022</w:t>
            </w:r>
          </w:p>
        </w:tc>
      </w:tr>
    </w:tbl>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2018, the amount recorded in AOCI for interest rate swaps was $ 17.8 million, net of taxes of $7.1 million. This amount included the gain realized upon termination, which will be amortized to interest expense as interest payments are made over the term of our Credit Facility. During 2018, we amortized $1.8 million of this gain, net of taxes of $0.7 million, to interest expense. Additionally, at October 31, 2018, the amount expected to be reclassified from AOCI to earnings during the next twelve months, including amounts from our new interest rate swaps, was $4.4 million, net of taxes of $1.7 million. At October 31, 2017, amounts recorded in AOCI were $1.7 million, net of taxes of $1.2 million.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22"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0046AD"/>
        </w:rPr>
        <w:t>13.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Defined Benefit Plans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provide benefits to certain employees under various defined benefit and postretirement benefit plans (collectively, the “Plans”). The Plans were previously amended to preclude new participants. All but one of the Plans are unfunded.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Information for the Plans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1"/>
                <w:szCs w:val="21"/>
                <w:color w:val="auto"/>
              </w:rPr>
            </w:pP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4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Net obligations</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CE2EF"/>
          </w:tcPr>
          <w:p>
            <w:pPr>
              <w:spacing w:after="0"/>
              <w:rPr>
                <w:sz w:val="21"/>
                <w:szCs w:val="21"/>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7.5</w:t>
            </w:r>
          </w:p>
        </w:tc>
      </w:tr>
      <w:tr>
        <w:trPr>
          <w:trHeight w:val="263"/>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Projected benefit obligations</w:t>
            </w:r>
          </w:p>
        </w:tc>
        <w:tc>
          <w:tcPr>
            <w:tcW w:w="48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77"/>
        </w:trPr>
        <w:tc>
          <w:tcPr>
            <w:tcW w:w="714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Fair value of assets</w:t>
            </w:r>
          </w:p>
        </w:tc>
        <w:tc>
          <w:tcPr>
            <w:tcW w:w="480" w:type="dxa"/>
            <w:vAlign w:val="bottom"/>
            <w:shd w:val="clear" w:color="auto" w:fill="DCE2EF"/>
          </w:tcPr>
          <w:p>
            <w:pPr>
              <w:spacing w:after="0"/>
              <w:rPr>
                <w:sz w:val="24"/>
                <w:szCs w:val="24"/>
                <w:color w:val="auto"/>
              </w:rPr>
            </w:pPr>
          </w:p>
        </w:tc>
        <w:tc>
          <w:tcPr>
            <w:tcW w:w="15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DCE2EF"/>
          </w:tcPr>
          <w:p>
            <w:pPr>
              <w:spacing w:after="0"/>
              <w:rPr>
                <w:sz w:val="24"/>
                <w:szCs w:val="24"/>
                <w:color w:val="auto"/>
              </w:rPr>
            </w:pPr>
          </w:p>
        </w:tc>
        <w:tc>
          <w:tcPr>
            <w:tcW w:w="76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8.2</w:t>
            </w: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2018, assets of the Plans were invested 48% in equities, 47% in fixed income, and 5% in cash. The expected return on assets was $0.4 million during each of 2018 and 2017 and $ 0.5 million during 2016. The aggregate net periodic benefit cost for all Plans was $0.2 million for each of 2018, 2017, and 2016. Future benefit payments in the aggregate are expected to be $13.8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Deferred Compensation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deferred compensation plans that permit eligible employees and directors to defer a portion of their compensation. At October 31, 2018 and 2017, the total liability of all deferred compensation was $13.9 million and $17.6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2018 and 2017, the fair value of these assets was $2.7 million and $4.6 million, respectively, and these amounts are included in “Other noncurrent assets” on the accompanying consolidated balance sheets. Aggregate expense recognized under these deferred compensation plans was $0.4 million for each of 2018, 2017, and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Defined Contribution Plans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sponsor four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2018, 2017, and 2016, we made matching contributions required by the plans of $21.6 million, $13.7 million, and $11.7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Multiemployer Pension and Postretirement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participate in various multiemployer pension plans under union and industry-wide agreements that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2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0046AD"/>
        </w:rPr>
        <w:t>Key Information for Individually Significant Multiemployer Defined Benefit Pension Plans</w:t>
      </w:r>
      <w:r>
        <w:rPr>
          <w:rFonts w:ascii="Arial" w:cs="Arial" w:eastAsia="Arial" w:hAnsi="Arial"/>
          <w:sz w:val="21"/>
          <w:szCs w:val="21"/>
          <w:b w:val="1"/>
          <w:bCs w:val="1"/>
          <w:i w:val="1"/>
          <w:iCs w:val="1"/>
          <w:color w:val="0046AD"/>
          <w:vertAlign w:val="superscript"/>
        </w:rPr>
        <w:t>(1)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Pension Protection Act</w:t>
            </w:r>
          </w:p>
        </w:tc>
        <w:tc>
          <w:tcPr>
            <w:tcW w:w="12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FIP/RP</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gridSpan w:val="4"/>
          </w:tcPr>
          <w:p>
            <w:pPr>
              <w:ind w:left="40"/>
              <w:spacing w:after="0"/>
              <w:rPr>
                <w:sz w:val="20"/>
                <w:szCs w:val="20"/>
                <w:color w:val="auto"/>
              </w:rPr>
            </w:pPr>
            <w:r>
              <w:rPr>
                <w:rFonts w:ascii="Arial" w:cs="Arial" w:eastAsia="Arial" w:hAnsi="Arial"/>
                <w:sz w:val="13"/>
                <w:szCs w:val="13"/>
                <w:i w:val="1"/>
                <w:iCs w:val="1"/>
                <w:color w:val="auto"/>
              </w:rPr>
              <w:t>(in millions)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4"/>
          </w:tcPr>
          <w:p>
            <w:pPr>
              <w:jc w:val="center"/>
              <w:ind w:right="120"/>
              <w:spacing w:after="0" w:line="217" w:lineRule="exact"/>
              <w:rPr>
                <w:sz w:val="20"/>
                <w:szCs w:val="20"/>
                <w:color w:val="auto"/>
              </w:rPr>
            </w:pPr>
            <w:r>
              <w:rPr>
                <w:rFonts w:ascii="Arial" w:cs="Arial" w:eastAsia="Arial" w:hAnsi="Arial"/>
                <w:sz w:val="13"/>
                <w:szCs w:val="13"/>
                <w:b w:val="1"/>
                <w:bCs w:val="1"/>
                <w:color w:val="auto"/>
                <w:w w:val="95"/>
              </w:rPr>
              <w:t>Zone Status</w:t>
            </w:r>
            <w:r>
              <w:rPr>
                <w:rFonts w:ascii="Arial" w:cs="Arial" w:eastAsia="Arial" w:hAnsi="Arial"/>
                <w:sz w:val="22"/>
                <w:szCs w:val="22"/>
                <w:b w:val="1"/>
                <w:bCs w:val="1"/>
                <w:color w:val="auto"/>
                <w:w w:val="95"/>
                <w:vertAlign w:val="superscript"/>
              </w:rPr>
              <w:t>(3)</w:t>
            </w:r>
          </w:p>
        </w:tc>
        <w:tc>
          <w:tcPr>
            <w:tcW w:w="1280" w:type="dxa"/>
            <w:vAlign w:val="bottom"/>
            <w:gridSpan w:val="2"/>
          </w:tcPr>
          <w:p>
            <w:pPr>
              <w:jc w:val="center"/>
              <w:ind w:right="140"/>
              <w:spacing w:after="0" w:line="217" w:lineRule="exact"/>
              <w:rPr>
                <w:sz w:val="20"/>
                <w:szCs w:val="20"/>
                <w:color w:val="auto"/>
              </w:rPr>
            </w:pPr>
            <w:r>
              <w:rPr>
                <w:rFonts w:ascii="Arial" w:cs="Arial" w:eastAsia="Arial" w:hAnsi="Arial"/>
                <w:sz w:val="13"/>
                <w:szCs w:val="13"/>
                <w:b w:val="1"/>
                <w:bCs w:val="1"/>
                <w:color w:val="auto"/>
                <w:w w:val="93"/>
              </w:rPr>
              <w:t>Status</w:t>
            </w:r>
            <w:r>
              <w:rPr>
                <w:rFonts w:ascii="Arial" w:cs="Arial" w:eastAsia="Arial" w:hAnsi="Arial"/>
                <w:sz w:val="22"/>
                <w:szCs w:val="22"/>
                <w:b w:val="1"/>
                <w:bCs w:val="1"/>
                <w:color w:val="auto"/>
                <w:w w:val="93"/>
                <w:vertAlign w:val="superscript"/>
              </w:rPr>
              <w:t>(4)</w:t>
            </w:r>
          </w:p>
        </w:tc>
        <w:tc>
          <w:tcPr>
            <w:tcW w:w="140" w:type="dxa"/>
            <w:vAlign w:val="bottom"/>
          </w:tcPr>
          <w:p>
            <w:pPr>
              <w:spacing w:after="0"/>
              <w:rPr>
                <w:sz w:val="20"/>
                <w:szCs w:val="20"/>
                <w:color w:val="auto"/>
              </w:rPr>
            </w:pPr>
          </w:p>
        </w:tc>
        <w:tc>
          <w:tcPr>
            <w:tcW w:w="2100" w:type="dxa"/>
            <w:vAlign w:val="bottom"/>
            <w:gridSpan w:val="7"/>
          </w:tcPr>
          <w:p>
            <w:pPr>
              <w:jc w:val="right"/>
              <w:ind w:right="357"/>
              <w:spacing w:after="0"/>
              <w:rPr>
                <w:sz w:val="20"/>
                <w:szCs w:val="20"/>
                <w:color w:val="auto"/>
              </w:rPr>
            </w:pPr>
            <w:r>
              <w:rPr>
                <w:rFonts w:ascii="Arial" w:cs="Arial" w:eastAsia="Arial" w:hAnsi="Arial"/>
                <w:sz w:val="13"/>
                <w:szCs w:val="13"/>
                <w:b w:val="1"/>
                <w:bCs w:val="1"/>
                <w:color w:val="auto"/>
              </w:rPr>
              <w:t>Contributions by ABM</w:t>
            </w:r>
          </w:p>
        </w:tc>
        <w:tc>
          <w:tcPr>
            <w:tcW w:w="1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Surcharge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Pending/</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EIN/PN</w:t>
            </w:r>
            <w:r>
              <w:rPr>
                <w:rFonts w:ascii="Arial" w:cs="Arial" w:eastAsia="Arial" w:hAnsi="Arial"/>
                <w:sz w:val="22"/>
                <w:szCs w:val="22"/>
                <w:b w:val="1"/>
                <w:bCs w:val="1"/>
                <w:color w:val="auto"/>
                <w:w w:val="94"/>
                <w:vertAlign w:val="superscript"/>
              </w:rPr>
              <w:t>(2)</w:t>
            </w:r>
          </w:p>
        </w:tc>
        <w:tc>
          <w:tcPr>
            <w:tcW w:w="120" w:type="dxa"/>
            <w:vAlign w:val="bottom"/>
            <w:vMerge w:val="restart"/>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Imposed</w:t>
            </w:r>
            <w:r>
              <w:rPr>
                <w:rFonts w:ascii="Arial" w:cs="Arial" w:eastAsia="Arial" w:hAnsi="Arial"/>
                <w:sz w:val="22"/>
                <w:szCs w:val="22"/>
                <w:b w:val="1"/>
                <w:bCs w:val="1"/>
                <w:color w:val="auto"/>
                <w:w w:val="95"/>
                <w:vertAlign w:val="superscript"/>
              </w:rPr>
              <w:t>(5)</w:t>
            </w:r>
          </w:p>
        </w:tc>
        <w:tc>
          <w:tcPr>
            <w:tcW w:w="0" w:type="dxa"/>
            <w:vAlign w:val="bottom"/>
          </w:tcPr>
          <w:p>
            <w:pPr>
              <w:spacing w:after="0"/>
              <w:rPr>
                <w:sz w:val="1"/>
                <w:szCs w:val="1"/>
                <w:color w:val="auto"/>
              </w:rPr>
            </w:pPr>
          </w:p>
        </w:tc>
      </w:tr>
      <w:tr>
        <w:trPr>
          <w:trHeight w:val="191"/>
        </w:trPr>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Pension Fund</w:t>
            </w: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Implemented</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Building Service 32BJ Pension Fund</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13-1879376 /</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rPr>
              <w:t>Red</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rPr>
              <w:t>Red</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85"/>
        </w:trPr>
        <w:tc>
          <w:tcPr>
            <w:tcW w:w="2540" w:type="dxa"/>
            <w:vAlign w:val="bottom"/>
            <w:gridSpan w:val="4"/>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6/30/2017</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6/30/2016</w:t>
            </w: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40" w:type="dxa"/>
            <w:vAlign w:val="bottom"/>
            <w:gridSpan w:val="4"/>
          </w:tcPr>
          <w:p>
            <w:pPr>
              <w:ind w:left="40"/>
              <w:spacing w:after="0"/>
              <w:rPr>
                <w:sz w:val="20"/>
                <w:szCs w:val="20"/>
                <w:color w:val="auto"/>
              </w:rPr>
            </w:pPr>
            <w:r>
              <w:rPr>
                <w:rFonts w:ascii="Arial" w:cs="Arial" w:eastAsia="Arial" w:hAnsi="Arial"/>
                <w:sz w:val="13"/>
                <w:szCs w:val="13"/>
                <w:color w:val="auto"/>
              </w:rPr>
              <w:t>Central Pension Fund of the IUOE &amp;</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36-6052390 /</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7"/>
              </w:rPr>
              <w:t>N/A*</w:t>
            </w:r>
          </w:p>
        </w:tc>
        <w:tc>
          <w:tcPr>
            <w:tcW w:w="140" w:type="dxa"/>
            <w:vAlign w:val="bottom"/>
          </w:tcPr>
          <w:p>
            <w:pPr>
              <w:spacing w:after="0"/>
              <w:rPr>
                <w:sz w:val="14"/>
                <w:szCs w:val="14"/>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85"/>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Participating Employers</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1/31/2018</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1/31/2017</w:t>
            </w: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gridSpan w:val="4"/>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S.E.I.U. National Industry Pension Fund</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52-6148540 /</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rPr>
              <w:t>Red</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rPr>
              <w:t>Red</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40" w:type="dxa"/>
            <w:vAlign w:val="bottom"/>
          </w:tcPr>
          <w:p>
            <w:pPr>
              <w:spacing w:after="0"/>
              <w:rPr>
                <w:sz w:val="14"/>
                <w:szCs w:val="14"/>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85"/>
        </w:trPr>
        <w:tc>
          <w:tcPr>
            <w:tcW w:w="2540" w:type="dxa"/>
            <w:vAlign w:val="bottom"/>
            <w:gridSpan w:val="4"/>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12/31/2017</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12/31/2016</w:t>
            </w: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40" w:type="dxa"/>
            <w:vAlign w:val="bottom"/>
            <w:gridSpan w:val="4"/>
          </w:tcPr>
          <w:p>
            <w:pPr>
              <w:ind w:left="40"/>
              <w:spacing w:after="0"/>
              <w:rPr>
                <w:sz w:val="20"/>
                <w:szCs w:val="20"/>
                <w:color w:val="auto"/>
              </w:rPr>
            </w:pPr>
            <w:r>
              <w:rPr>
                <w:rFonts w:ascii="Arial" w:cs="Arial" w:eastAsia="Arial" w:hAnsi="Arial"/>
                <w:sz w:val="13"/>
                <w:szCs w:val="13"/>
                <w:color w:val="auto"/>
              </w:rPr>
              <w:t>Local 25 SEIU &amp; Participating Employers</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36-6486542 /</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7"/>
              </w:rPr>
              <w:t>N/A*</w:t>
            </w:r>
          </w:p>
        </w:tc>
        <w:tc>
          <w:tcPr>
            <w:tcW w:w="140" w:type="dxa"/>
            <w:vAlign w:val="bottom"/>
          </w:tcPr>
          <w:p>
            <w:pPr>
              <w:spacing w:after="0"/>
              <w:rPr>
                <w:sz w:val="14"/>
                <w:szCs w:val="14"/>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85"/>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Pension Trust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9/30/2017</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9/30/2016</w:t>
            </w: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gridSpan w:val="4"/>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40" w:type="dxa"/>
            <w:vAlign w:val="bottom"/>
            <w:gridSpan w:val="4"/>
          </w:tcPr>
          <w:p>
            <w:pPr>
              <w:ind w:left="40"/>
              <w:spacing w:after="0"/>
              <w:rPr>
                <w:sz w:val="20"/>
                <w:szCs w:val="20"/>
                <w:color w:val="auto"/>
              </w:rPr>
            </w:pPr>
            <w:r>
              <w:rPr>
                <w:rFonts w:ascii="Arial" w:cs="Arial" w:eastAsia="Arial" w:hAnsi="Arial"/>
                <w:sz w:val="13"/>
                <w:szCs w:val="13"/>
                <w:color w:val="auto"/>
              </w:rPr>
              <w:t>IUOE Stationary Engineers Local 39</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94-6118939 /</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7"/>
              </w:rPr>
              <w:t>N/A*</w:t>
            </w:r>
          </w:p>
        </w:tc>
        <w:tc>
          <w:tcPr>
            <w:tcW w:w="140" w:type="dxa"/>
            <w:vAlign w:val="bottom"/>
          </w:tcPr>
          <w:p>
            <w:pPr>
              <w:spacing w:after="0"/>
              <w:rPr>
                <w:sz w:val="14"/>
                <w:szCs w:val="14"/>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85"/>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Pension Plan</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12/31/2017</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12/31/2016</w:t>
            </w: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gridSpan w:val="4"/>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40" w:type="dxa"/>
            <w:vAlign w:val="bottom"/>
            <w:gridSpan w:val="4"/>
          </w:tcPr>
          <w:p>
            <w:pPr>
              <w:ind w:left="40"/>
              <w:spacing w:after="0"/>
              <w:rPr>
                <w:sz w:val="20"/>
                <w:szCs w:val="20"/>
                <w:color w:val="auto"/>
              </w:rPr>
            </w:pPr>
            <w:r>
              <w:rPr>
                <w:rFonts w:ascii="Arial" w:cs="Arial" w:eastAsia="Arial" w:hAnsi="Arial"/>
                <w:sz w:val="13"/>
                <w:szCs w:val="13"/>
                <w:color w:val="auto"/>
              </w:rPr>
              <w:t>Western Conference of Teamsters</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91-6145047 /</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7"/>
              </w:rPr>
              <w:t>N/A*</w:t>
            </w:r>
          </w:p>
        </w:tc>
        <w:tc>
          <w:tcPr>
            <w:tcW w:w="140" w:type="dxa"/>
            <w:vAlign w:val="bottom"/>
          </w:tcPr>
          <w:p>
            <w:pPr>
              <w:spacing w:after="0"/>
              <w:rPr>
                <w:sz w:val="14"/>
                <w:szCs w:val="14"/>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85"/>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Pension Plan</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12/31/2017</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12/31/2016</w:t>
            </w: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gridSpan w:val="4"/>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40" w:type="dxa"/>
            <w:vAlign w:val="bottom"/>
            <w:gridSpan w:val="4"/>
            <w:vMerge w:val="restart"/>
          </w:tcPr>
          <w:p>
            <w:pPr>
              <w:ind w:left="40"/>
              <w:spacing w:after="0"/>
              <w:rPr>
                <w:sz w:val="20"/>
                <w:szCs w:val="20"/>
                <w:color w:val="auto"/>
              </w:rPr>
            </w:pPr>
            <w:r>
              <w:rPr>
                <w:rFonts w:ascii="Arial" w:cs="Arial" w:eastAsia="Arial" w:hAnsi="Arial"/>
                <w:sz w:val="13"/>
                <w:szCs w:val="13"/>
                <w:color w:val="auto"/>
              </w:rPr>
              <w:t>Local 68 Engineers Union Pension Plan</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51-0176618 /</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rPr>
              <w:t>Red</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40" w:type="dxa"/>
            <w:vAlign w:val="bottom"/>
          </w:tcPr>
          <w:p>
            <w:pPr>
              <w:spacing w:after="0"/>
              <w:rPr>
                <w:sz w:val="14"/>
                <w:szCs w:val="14"/>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85"/>
        </w:trPr>
        <w:tc>
          <w:tcPr>
            <w:tcW w:w="2540" w:type="dxa"/>
            <w:vAlign w:val="bottom"/>
            <w:gridSpan w:val="4"/>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6/30/2017</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6/30/2016</w:t>
            </w: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540" w:type="dxa"/>
            <w:vAlign w:val="bottom"/>
            <w:gridSpan w:val="4"/>
          </w:tcPr>
          <w:p>
            <w:pPr>
              <w:ind w:left="40"/>
              <w:spacing w:after="0"/>
              <w:rPr>
                <w:sz w:val="20"/>
                <w:szCs w:val="20"/>
                <w:color w:val="auto"/>
              </w:rPr>
            </w:pPr>
            <w:r>
              <w:rPr>
                <w:rFonts w:ascii="Arial" w:cs="Arial" w:eastAsia="Arial" w:hAnsi="Arial"/>
                <w:sz w:val="13"/>
                <w:szCs w:val="13"/>
                <w:i w:val="1"/>
                <w:iCs w:val="1"/>
                <w:color w:val="auto"/>
              </w:rPr>
              <w:t>All Other Plans: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540" w:type="dxa"/>
            <w:vAlign w:val="bottom"/>
            <w:gridSpan w:val="4"/>
          </w:tcPr>
          <w:p>
            <w:pPr>
              <w:ind w:left="40"/>
              <w:spacing w:after="0"/>
              <w:rPr>
                <w:sz w:val="20"/>
                <w:szCs w:val="20"/>
                <w:color w:val="auto"/>
              </w:rPr>
            </w:pPr>
            <w:r>
              <w:rPr>
                <w:rFonts w:ascii="Arial" w:cs="Arial" w:eastAsia="Arial" w:hAnsi="Arial"/>
                <w:sz w:val="13"/>
                <w:szCs w:val="13"/>
                <w:b w:val="1"/>
                <w:bCs w:val="1"/>
                <w:color w:val="auto"/>
              </w:rPr>
              <w:t>Total Contributions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65.3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63.1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59.3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723773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23773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3773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3773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-1809115</wp:posOffset>
            </wp:positionV>
            <wp:extent cx="723773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37730" cy="214630"/>
                    </a:xfrm>
                    <a:prstGeom prst="rect">
                      <a:avLst/>
                    </a:prstGeom>
                    <a:noFill/>
                  </pic:spPr>
                </pic:pic>
              </a:graphicData>
            </a:graphic>
          </wp:anchor>
        </w:drawing>
      </w:r>
    </w:p>
    <w:p>
      <w:pPr>
        <w:spacing w:after="0" w:line="136"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3"/>
          <w:szCs w:val="13"/>
          <w:color w:val="auto"/>
        </w:rPr>
        <w:t>*</w:t>
        <w:tab/>
        <w:t>Not applicable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center"/>
        <w:ind w:right="140"/>
        <w:spacing w:after="0" w:line="249" w:lineRule="auto"/>
        <w:rPr>
          <w:sz w:val="20"/>
          <w:szCs w:val="20"/>
          <w:color w:val="auto"/>
        </w:rPr>
      </w:pPr>
      <w:r>
        <w:rPr>
          <w:rFonts w:ascii="Arial" w:cs="Arial" w:eastAsia="Arial" w:hAnsi="Arial"/>
          <w:sz w:val="13"/>
          <w:szCs w:val="13"/>
          <w:b w:val="1"/>
          <w:bCs w:val="1"/>
          <w:color w:val="auto"/>
        </w:rPr>
        <w:t>Expiration Dates of Collective Bargaining Agreements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12/31/2019</w:t>
      </w:r>
    </w:p>
    <w:p>
      <w:pPr>
        <w:spacing w:after="0" w:line="107" w:lineRule="exact"/>
        <w:rPr>
          <w:sz w:val="20"/>
          <w:szCs w:val="20"/>
          <w:color w:val="auto"/>
        </w:rPr>
      </w:pPr>
    </w:p>
    <w:p>
      <w:pPr>
        <w:jc w:val="right"/>
        <w:ind w:right="180"/>
        <w:spacing w:after="0" w:line="259" w:lineRule="auto"/>
        <w:rPr>
          <w:sz w:val="20"/>
          <w:szCs w:val="20"/>
          <w:color w:val="auto"/>
        </w:rPr>
      </w:pPr>
      <w:r>
        <w:rPr>
          <w:rFonts w:ascii="Arial" w:cs="Arial" w:eastAsia="Arial" w:hAnsi="Arial"/>
          <w:sz w:val="12"/>
          <w:szCs w:val="12"/>
          <w:color w:val="auto"/>
        </w:rPr>
        <w:t>12/31/2018 - 12/31/2021</w:t>
      </w:r>
    </w:p>
    <w:p>
      <w:pPr>
        <w:spacing w:after="0" w:line="26" w:lineRule="exact"/>
        <w:rPr>
          <w:sz w:val="20"/>
          <w:szCs w:val="20"/>
          <w:color w:val="auto"/>
        </w:rPr>
      </w:pPr>
    </w:p>
    <w:p>
      <w:pPr>
        <w:jc w:val="right"/>
        <w:ind w:left="40" w:right="220"/>
        <w:spacing w:after="0" w:line="259" w:lineRule="auto"/>
        <w:rPr>
          <w:sz w:val="20"/>
          <w:szCs w:val="20"/>
          <w:color w:val="auto"/>
        </w:rPr>
      </w:pPr>
      <w:r>
        <w:rPr>
          <w:rFonts w:ascii="Arial" w:cs="Arial" w:eastAsia="Arial" w:hAnsi="Arial"/>
          <w:sz w:val="12"/>
          <w:szCs w:val="12"/>
          <w:color w:val="auto"/>
        </w:rPr>
        <w:t>2/14/2019 - 1/31/2023</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4/4/2021</w:t>
      </w:r>
    </w:p>
    <w:p>
      <w:pPr>
        <w:spacing w:after="0" w:line="107" w:lineRule="exact"/>
        <w:rPr>
          <w:sz w:val="20"/>
          <w:szCs w:val="20"/>
          <w:color w:val="auto"/>
        </w:rPr>
      </w:pPr>
    </w:p>
    <w:p>
      <w:pPr>
        <w:jc w:val="right"/>
        <w:ind w:left="40" w:right="220"/>
        <w:spacing w:after="0" w:line="259" w:lineRule="auto"/>
        <w:rPr>
          <w:sz w:val="20"/>
          <w:szCs w:val="20"/>
          <w:color w:val="auto"/>
        </w:rPr>
      </w:pPr>
      <w:r>
        <w:rPr>
          <w:rFonts w:ascii="Arial" w:cs="Arial" w:eastAsia="Arial" w:hAnsi="Arial"/>
          <w:sz w:val="12"/>
          <w:szCs w:val="12"/>
          <w:color w:val="auto"/>
        </w:rPr>
        <w:t>2/28/2019 - 8/31/2023</w:t>
      </w:r>
    </w:p>
    <w:p>
      <w:pPr>
        <w:spacing w:after="0" w:line="26" w:lineRule="exact"/>
        <w:rPr>
          <w:sz w:val="20"/>
          <w:szCs w:val="20"/>
          <w:color w:val="auto"/>
        </w:rPr>
      </w:pPr>
    </w:p>
    <w:p>
      <w:pPr>
        <w:jc w:val="right"/>
        <w:ind w:right="180"/>
        <w:spacing w:after="0" w:line="259" w:lineRule="auto"/>
        <w:rPr>
          <w:sz w:val="20"/>
          <w:szCs w:val="20"/>
          <w:color w:val="auto"/>
        </w:rPr>
      </w:pPr>
      <w:r>
        <w:rPr>
          <w:rFonts w:ascii="Arial" w:cs="Arial" w:eastAsia="Arial" w:hAnsi="Arial"/>
          <w:sz w:val="12"/>
          <w:szCs w:val="12"/>
          <w:color w:val="auto"/>
        </w:rPr>
        <w:t>11/30/2018 - 12/31/2021</w:t>
      </w:r>
    </w:p>
    <w:p>
      <w:pPr>
        <w:spacing w:after="0" w:line="26" w:lineRule="exact"/>
        <w:rPr>
          <w:sz w:val="20"/>
          <w:szCs w:val="20"/>
          <w:color w:val="auto"/>
        </w:rPr>
      </w:pPr>
    </w:p>
    <w:p>
      <w:pPr>
        <w:jc w:val="right"/>
        <w:ind w:left="40" w:right="220"/>
        <w:spacing w:after="0" w:line="259" w:lineRule="auto"/>
        <w:rPr>
          <w:sz w:val="20"/>
          <w:szCs w:val="20"/>
          <w:color w:val="auto"/>
        </w:rPr>
      </w:pPr>
      <w:r>
        <w:rPr>
          <w:rFonts w:ascii="Arial" w:cs="Arial" w:eastAsia="Arial" w:hAnsi="Arial"/>
          <w:sz w:val="12"/>
          <w:szCs w:val="12"/>
          <w:color w:val="auto"/>
        </w:rPr>
        <w:t>4/30/2019 - 9/30/2021</w:t>
      </w:r>
    </w:p>
    <w:p>
      <w:pPr>
        <w:spacing w:after="0" w:line="1078" w:lineRule="exact"/>
        <w:rPr>
          <w:sz w:val="20"/>
          <w:szCs w:val="20"/>
          <w:color w:val="auto"/>
        </w:rPr>
      </w:pPr>
    </w:p>
    <w:p>
      <w:pPr>
        <w:sectPr>
          <w:pgSz w:w="11900" w:h="16838" w:orient="portrait"/>
          <w:cols w:equalWidth="0" w:num="2">
            <w:col w:w="10280" w:space="240"/>
            <w:col w:w="900"/>
          </w:cols>
          <w:pgMar w:left="240" w:top="360" w:right="239" w:bottom="1440" w:gutter="0" w:footer="0" w:header="0"/>
        </w:sectPr>
      </w:pPr>
    </w:p>
    <w:p>
      <w:pPr>
        <w:spacing w:after="0" w:line="37" w:lineRule="exact"/>
        <w:rPr>
          <w:sz w:val="20"/>
          <w:szCs w:val="20"/>
          <w:color w:val="auto"/>
        </w:rPr>
      </w:pPr>
    </w:p>
    <w:p>
      <w:pPr>
        <w:ind w:right="20" w:firstLine="8"/>
        <w:spacing w:after="0" w:line="263" w:lineRule="auto"/>
        <w:tabs>
          <w:tab w:leader="none" w:pos="162"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136" w:lineRule="exact"/>
        <w:rPr>
          <w:rFonts w:ascii="Arial" w:cs="Arial" w:eastAsia="Arial" w:hAnsi="Arial"/>
          <w:sz w:val="18"/>
          <w:szCs w:val="18"/>
          <w:color w:val="auto"/>
          <w:vertAlign w:val="superscript"/>
        </w:rPr>
      </w:pPr>
    </w:p>
    <w:p>
      <w:pPr>
        <w:ind w:firstLine="8"/>
        <w:spacing w:after="0" w:line="210" w:lineRule="auto"/>
        <w:tabs>
          <w:tab w:leader="none" w:pos="191"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The “EIN/PN” column provides the Employer Identification Number and the three-digit plan number assigned to the plan by the Internal Revenue Service (“IRS”).</w:t>
      </w:r>
    </w:p>
    <w:p>
      <w:pPr>
        <w:spacing w:after="0" w:line="157" w:lineRule="exact"/>
        <w:rPr>
          <w:rFonts w:ascii="Arial" w:cs="Arial" w:eastAsia="Arial" w:hAnsi="Arial"/>
          <w:sz w:val="22"/>
          <w:szCs w:val="22"/>
          <w:color w:val="auto"/>
          <w:vertAlign w:val="superscript"/>
        </w:rPr>
      </w:pPr>
    </w:p>
    <w:p>
      <w:pPr>
        <w:jc w:val="both"/>
        <w:ind w:firstLine="8"/>
        <w:spacing w:after="0" w:line="221" w:lineRule="auto"/>
        <w:tabs>
          <w:tab w:leader="none" w:pos="188"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The Pension Protection Act Zone Status columns provide the two most recently available Pension Protection Act zone statuses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110"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Indicates whether a Financial Improvement Plan (“FIP”) for yellow zone plans or a Rehabilitation Plan (“RP”) for red zone plans is pending or implemented.</w:t>
      </w:r>
    </w:p>
    <w:p>
      <w:pPr>
        <w:spacing w:after="0" w:line="156" w:lineRule="exact"/>
        <w:rPr>
          <w:rFonts w:ascii="Arial" w:cs="Arial" w:eastAsia="Arial" w:hAnsi="Arial"/>
          <w:sz w:val="21"/>
          <w:szCs w:val="21"/>
          <w:color w:val="auto"/>
          <w:vertAlign w:val="superscript"/>
        </w:rPr>
      </w:pPr>
    </w:p>
    <w:p>
      <w:pPr>
        <w:ind w:firstLine="8"/>
        <w:spacing w:after="0" w:line="222" w:lineRule="auto"/>
        <w:tabs>
          <w:tab w:leader="none" w:pos="179"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Indicates whether our contribution in 2018 included an amount in addition to the contribution rate specified in the applicable collective bargaining agreement as imposed by a plan in the red zone.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0"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i w:val="1"/>
          <w:iCs w:val="1"/>
          <w:color w:val="0046AD"/>
        </w:rPr>
        <w:t>Multiemployer Pension Plans for which ABM is a Significant Contributor</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Contributions to the plan exceeded more than 5% of total contributions</w:t>
            </w: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per most currently available Forms 5500</w:t>
            </w:r>
          </w:p>
        </w:tc>
        <w:tc>
          <w:tcPr>
            <w:tcW w:w="0" w:type="dxa"/>
            <w:vAlign w:val="bottom"/>
          </w:tcPr>
          <w:p>
            <w:pPr>
              <w:spacing w:after="0"/>
              <w:rPr>
                <w:sz w:val="1"/>
                <w:szCs w:val="1"/>
                <w:color w:val="auto"/>
              </w:rPr>
            </w:pPr>
          </w:p>
        </w:tc>
      </w:tr>
      <w:tr>
        <w:trPr>
          <w:trHeight w:val="216"/>
        </w:trPr>
        <w:tc>
          <w:tcPr>
            <w:tcW w:w="616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vMerge w:val="restart"/>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(as of the plan’s year end)</w:t>
            </w:r>
          </w:p>
        </w:tc>
        <w:tc>
          <w:tcPr>
            <w:tcW w:w="0" w:type="dxa"/>
            <w:vAlign w:val="bottom"/>
          </w:tcPr>
          <w:p>
            <w:pPr>
              <w:spacing w:after="0"/>
              <w:rPr>
                <w:sz w:val="1"/>
                <w:szCs w:val="1"/>
                <w:color w:val="auto"/>
              </w:rPr>
            </w:pPr>
          </w:p>
        </w:tc>
      </w:tr>
      <w:tr>
        <w:trPr>
          <w:trHeight w:val="60"/>
        </w:trPr>
        <w:tc>
          <w:tcPr>
            <w:tcW w:w="61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DCE2EF"/>
            </w:tcBorders>
            <w:vMerge w:val="continue"/>
          </w:tcPr>
          <w:p>
            <w:pPr>
              <w:spacing w:after="0"/>
              <w:rPr>
                <w:sz w:val="5"/>
                <w:szCs w:val="5"/>
                <w:color w:val="auto"/>
              </w:rPr>
            </w:pPr>
          </w:p>
        </w:tc>
        <w:tc>
          <w:tcPr>
            <w:tcW w:w="5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Building Service 32BJ Pension Fund</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6/30/2017, 6/30/2016, and 6/30/2015</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Building Service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4/30/2017, 4/30/2016, and 4/30/2015</w:t>
            </w: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Contract Cleaners Service Employees’ Pension Plan*</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12/31/2017, 12/31/2016, and 12/31/2015</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Firemen &amp; Oilers Pension Plan of SEIU Local 1*</w:t>
            </w:r>
          </w:p>
        </w:tc>
        <w:tc>
          <w:tcPr>
            <w:tcW w:w="5120" w:type="dxa"/>
            <w:vAlign w:val="bottom"/>
          </w:tcPr>
          <w:p>
            <w:pPr>
              <w:jc w:val="center"/>
              <w:spacing w:after="0"/>
              <w:rPr>
                <w:sz w:val="20"/>
                <w:szCs w:val="20"/>
                <w:color w:val="auto"/>
              </w:rPr>
            </w:pPr>
            <w:r>
              <w:rPr>
                <w:rFonts w:ascii="Arial" w:cs="Arial" w:eastAsia="Arial" w:hAnsi="Arial"/>
                <w:sz w:val="14"/>
                <w:szCs w:val="14"/>
                <w:color w:val="auto"/>
              </w:rPr>
              <w:t>7/31/2017</w:t>
            </w: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IUOE Stationary Engineers Local 39 Pension Plan</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12/31/2017 and 12/31/2016</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Local 25 SEIU &amp; Participating Employers Pension Trust</w:t>
            </w:r>
          </w:p>
        </w:tc>
        <w:tc>
          <w:tcPr>
            <w:tcW w:w="5120" w:type="dxa"/>
            <w:vAlign w:val="bottom"/>
          </w:tcPr>
          <w:p>
            <w:pPr>
              <w:jc w:val="center"/>
              <w:spacing w:after="0"/>
              <w:rPr>
                <w:sz w:val="20"/>
                <w:szCs w:val="20"/>
                <w:color w:val="auto"/>
              </w:rPr>
            </w:pPr>
            <w:r>
              <w:rPr>
                <w:rFonts w:ascii="Arial" w:cs="Arial" w:eastAsia="Arial" w:hAnsi="Arial"/>
                <w:sz w:val="14"/>
                <w:szCs w:val="14"/>
                <w:color w:val="auto"/>
              </w:rPr>
              <w:t>9/30/2017, 9/30/2016, and 9/30/2015</w:t>
            </w: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Massachusetts Service Employees Pension Plan*</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12/31/2017, 12/31/2016, and 12/31/2015</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S.E.I.U. National Industry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12/31/2017, 12/31/2016, and 12/31/2015</w:t>
            </w: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Service Employees International Union Local 1 Cleveland Pension Plan*</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12/31/2017, 12/31/2016, and 12/31/2015</w:t>
            </w:r>
          </w:p>
        </w:tc>
        <w:tc>
          <w:tcPr>
            <w:tcW w:w="0" w:type="dxa"/>
            <w:vAlign w:val="bottom"/>
          </w:tcPr>
          <w:p>
            <w:pPr>
              <w:spacing w:after="0"/>
              <w:rPr>
                <w:sz w:val="1"/>
                <w:szCs w:val="1"/>
                <w:color w:val="auto"/>
              </w:rPr>
            </w:pPr>
          </w:p>
        </w:tc>
      </w:tr>
      <w:tr>
        <w:trPr>
          <w:trHeight w:val="19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Service Employees International Union Local 32BJ, District 36 Building Operators Pension</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rPr>
              <w:t>12/31/2017, 12/31/2016, and 12/31/2015</w:t>
            </w:r>
          </w:p>
        </w:tc>
        <w:tc>
          <w:tcPr>
            <w:tcW w:w="0" w:type="dxa"/>
            <w:vAlign w:val="bottom"/>
          </w:tcPr>
          <w:p>
            <w:pPr>
              <w:spacing w:after="0"/>
              <w:rPr>
                <w:sz w:val="1"/>
                <w:szCs w:val="1"/>
                <w:color w:val="auto"/>
              </w:rPr>
            </w:pPr>
          </w:p>
        </w:tc>
      </w:tr>
      <w:tr>
        <w:trPr>
          <w:trHeight w:val="91"/>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color w:val="auto"/>
              </w:rPr>
              <w:t>Trust Fund*</w:t>
            </w: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280" w:type="dxa"/>
            <w:vAlign w:val="bottom"/>
            <w:gridSpan w:val="2"/>
            <w:vMerge w:val="continue"/>
          </w:tcPr>
          <w:p>
            <w:pPr>
              <w:spacing w:after="0"/>
              <w:rPr>
                <w:sz w:val="7"/>
                <w:szCs w:val="7"/>
                <w:color w:val="auto"/>
              </w:rPr>
            </w:pPr>
          </w:p>
        </w:tc>
        <w:tc>
          <w:tcPr>
            <w:tcW w:w="5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Teamsters Local 617 Pension Fund*</w:t>
            </w:r>
          </w:p>
        </w:tc>
        <w:tc>
          <w:tcPr>
            <w:tcW w:w="512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2/28/2018, 2/28/2017, and 2/29/2016</w:t>
            </w:r>
          </w:p>
        </w:tc>
        <w:tc>
          <w:tcPr>
            <w:tcW w:w="0" w:type="dxa"/>
            <w:vAlign w:val="bottom"/>
          </w:tcPr>
          <w:p>
            <w:pPr>
              <w:spacing w:after="0"/>
              <w:rPr>
                <w:sz w:val="1"/>
                <w:szCs w:val="1"/>
                <w:color w:val="auto"/>
              </w:rPr>
            </w:pP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Teamsters Local Union No. 727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2/28/2018, 2/28/2017, and 2/29/2016</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 w:firstLine="8"/>
        <w:spacing w:after="0" w:line="250" w:lineRule="auto"/>
        <w:tabs>
          <w:tab w:leader="none" w:pos="1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plans are not separately listed in our multiemployer table as they represent an insignificant portion of our total multiemployer pension plan contributions.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that affect the comparability of total contributions for any of the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Multiemployer Defined Contribution Plans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addition to contributions noted above, we also make contributions to multiemployer defined contribution plans. During 2018, 2017, and 2016, our contributions to the defined contribution plans were $10.6 million, $5.4 million, and $6.6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Other Multiemployer Postretirement Benefit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contribute to several multiemployer postretirement health and welfare plans based on obligations arising under collective bargaining agreements covering union-represented employees. These plans may provide medical, pharmacy, dental, vision, mental health, and other benefits to employees as determined by the trustees of each plan. The majority of our contributions benefit active employees and, as such, may not constitute contributions to a postretirement benefit plan. However, since we are unable to separate contribution amounts to postretirement benefit plans from contribution amounts paid to benefit active employees, we categorize all such amounts as contributions to postretirement benefit plans. During 2018, 2017, and 2016, our contributions to such plans were $263.4 million, $247.9 million, and $224.5 million, respectively. There have been no significant changes that affect the comparability of total contributions for any of the periods presented.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2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0046AD"/>
        </w:rPr>
        <w:t>14.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Lease and Other Similar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Future Minimum Payments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Operating and</w:t>
            </w:r>
          </w:p>
        </w:tc>
      </w:tr>
      <w:tr>
        <w:trPr>
          <w:trHeight w:val="284"/>
        </w:trPr>
        <w:tc>
          <w:tcPr>
            <w:tcW w:w="78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4"/>
                <w:szCs w:val="24"/>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4"/>
                <w:szCs w:val="24"/>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21"/>
                <w:szCs w:val="21"/>
                <w:b w:val="1"/>
                <w:bCs w:val="1"/>
                <w:color w:val="auto"/>
                <w:vertAlign w:val="superscript"/>
              </w:rPr>
              <w:t>(1)</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71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0"/>
        </w:trPr>
        <w:tc>
          <w:tcPr>
            <w:tcW w:w="78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October 31, 2019</w:t>
            </w: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80.7</w:t>
            </w: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2020</w:t>
            </w: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7"/>
        </w:trPr>
        <w:tc>
          <w:tcPr>
            <w:tcW w:w="78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October 31, 2021</w:t>
            </w:r>
          </w:p>
        </w:tc>
        <w:tc>
          <w:tcPr>
            <w:tcW w:w="340" w:type="dxa"/>
            <w:vAlign w:val="bottom"/>
            <w:shd w:val="clear" w:color="auto" w:fill="DCE2EF"/>
          </w:tcPr>
          <w:p>
            <w:pPr>
              <w:spacing w:after="0"/>
              <w:rPr>
                <w:sz w:val="24"/>
                <w:szCs w:val="24"/>
                <w:color w:val="auto"/>
              </w:rPr>
            </w:pPr>
          </w:p>
        </w:tc>
        <w:tc>
          <w:tcPr>
            <w:tcW w:w="13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5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54.2</w:t>
            </w: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2022</w:t>
            </w: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7"/>
        </w:trPr>
        <w:tc>
          <w:tcPr>
            <w:tcW w:w="78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October 31, 2023</w:t>
            </w:r>
          </w:p>
        </w:tc>
        <w:tc>
          <w:tcPr>
            <w:tcW w:w="340" w:type="dxa"/>
            <w:vAlign w:val="bottom"/>
            <w:shd w:val="clear" w:color="auto" w:fill="DCE2EF"/>
          </w:tcPr>
          <w:p>
            <w:pPr>
              <w:spacing w:after="0"/>
              <w:rPr>
                <w:sz w:val="24"/>
                <w:szCs w:val="24"/>
                <w:color w:val="auto"/>
              </w:rPr>
            </w:pPr>
          </w:p>
        </w:tc>
        <w:tc>
          <w:tcPr>
            <w:tcW w:w="13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5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38.5</w:t>
            </w:r>
          </w:p>
        </w:tc>
      </w:tr>
      <w:tr>
        <w:trPr>
          <w:trHeight w:val="264"/>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85.5</w:t>
            </w:r>
          </w:p>
        </w:tc>
      </w:tr>
      <w:tr>
        <w:trPr>
          <w:trHeight w:val="257"/>
        </w:trPr>
        <w:tc>
          <w:tcPr>
            <w:tcW w:w="7880" w:type="dxa"/>
            <w:vAlign w:val="bottom"/>
            <w:tcBorders>
              <w:top w:val="single" w:sz="8" w:color="DCE2EF"/>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DCE2EF"/>
              <w:bottom w:val="single" w:sz="8" w:color="DCE2EF"/>
            </w:tcBorders>
            <w:shd w:val="clear" w:color="auto" w:fill="DCE2EF"/>
          </w:tcPr>
          <w:p>
            <w:pPr>
              <w:spacing w:after="0"/>
              <w:rPr>
                <w:sz w:val="22"/>
                <w:szCs w:val="22"/>
                <w:color w:val="auto"/>
              </w:rPr>
            </w:pPr>
          </w:p>
        </w:tc>
        <w:tc>
          <w:tcPr>
            <w:tcW w:w="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367.6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Includes total estimated sublease rental income of $19.5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Rental and Other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Minimum rental and other</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118.0</w:t>
            </w:r>
          </w:p>
        </w:tc>
      </w:tr>
      <w:tr>
        <w:trPr>
          <w:trHeight w:val="264"/>
        </w:trPr>
        <w:tc>
          <w:tcPr>
            <w:tcW w:w="63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Contingent rental and 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0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shd w:val="clear" w:color="auto" w:fill="DCE2EF"/>
              </w:rPr>
              <w:t>Total</w:t>
            </w:r>
          </w:p>
        </w:tc>
        <w:tc>
          <w:tcPr>
            <w:tcW w:w="564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149.3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October 31, 2018, these letters of credit and surety bonds totaled $ 152.9 million and $475.3 million, respectively. Included in the total amount of surety bonds is $1.8 million of bonds with an effective date starting after October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October 31, 2018 and 2017, total guarantees were $171.7 million and $157.9 million, respectively, and these guarantees extend through 2038 for both periods.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2019.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Indemnifications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Although we attempt to place limits on such indemnification arrangements related to the size of the contract, the maximum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22" w:right="239" w:bottom="1440" w:gutter="0" w:footer="0" w:header="0"/>
        </w:sectPr>
      </w:pPr>
    </w:p>
    <w:bookmarkStart w:id="86" w:name="page87"/>
    <w:bookmarkEnd w:id="86"/>
    <w:p>
      <w:pPr>
        <w:jc w:val="both"/>
        <w:spacing w:after="0" w:line="262" w:lineRule="auto"/>
        <w:rPr>
          <w:sz w:val="20"/>
          <w:szCs w:val="20"/>
          <w:color w:val="auto"/>
        </w:rPr>
      </w:pPr>
      <w:r>
        <w:rPr>
          <w:rFonts w:ascii="Arial" w:cs="Arial" w:eastAsia="Arial" w:hAnsi="Arial"/>
          <w:sz w:val="18"/>
          <w:szCs w:val="18"/>
          <w:color w:val="auto"/>
        </w:rPr>
        <w:t>obligation may not be explicitly stated and, as a result, the maximum potential amount of future payments we could be required to make under these arrangements is not determinable.</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certificate of incorporation and bylaws may require us to indemnify our directors and officers for certain liabilities that were incurred as a result of their status or service to ABM as a director or officer. The amount of these obligations cannot be reasonably estimated.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 Audits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 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At October 31, 2018, the total amount accrued for all probable litigation losses where a reasonable estimate of the loss could be made was $12.6 million. This $12.6 million includes accruals of $3.8 million in connection with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and $5.4 million in connection with the </w:t>
      </w:r>
      <w:r>
        <w:rPr>
          <w:rFonts w:ascii="Arial" w:cs="Arial" w:eastAsia="Arial" w:hAnsi="Arial"/>
          <w:sz w:val="18"/>
          <w:szCs w:val="18"/>
          <w:i w:val="1"/>
          <w:iCs w:val="1"/>
          <w:color w:val="auto"/>
        </w:rPr>
        <w:t>Castro</w:t>
      </w:r>
      <w:r>
        <w:rPr>
          <w:rFonts w:ascii="Arial" w:cs="Arial" w:eastAsia="Arial" w:hAnsi="Arial"/>
          <w:sz w:val="18"/>
          <w:szCs w:val="18"/>
          <w:color w:val="auto"/>
        </w:rPr>
        <w:t xml:space="preserve"> case, which are discussed below.</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$4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Certain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44" w:right="239" w:bottom="1440" w:gutter="0" w:footer="0" w:header="0"/>
        </w:sectPr>
      </w:pPr>
    </w:p>
    <w:bookmarkStart w:id="87" w:name="page88"/>
    <w:bookmarkEnd w:id="87"/>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20, 2018, the trial court entered an order defining four certified subclasses of janitors who were employed by the legacy ABM janitorial companies in California at any time between April 7, 2002 and April 30, 2013, on claims based on previous auto deduction practices for meal breaks, unpaid meal premiums, unpaid split shift premiums, and unreimbursed business expenses, such as mileage reimbursement for use of personal vehicles to travel between worksites. The period of time covered by the PAGA claim will also be considered by the court shortly. This matter has not been set for trial. Prior to trial, we will have the opportunity to move for summary judgment, seek decertification of the classes, or mediate, if we deem such actions appropriate.</w:t>
      </w:r>
    </w:p>
    <w:p>
      <w:pPr>
        <w:spacing w:after="0" w:line="13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 xml:space="preserve">Hussein and Hirsi v. Air Serv Corporation filed on January 20, 2016, pending in the United States District Court for the Western District of Washington at Seattle (the “Hussein case”) </w:t>
      </w:r>
      <w:r>
        <w:rPr>
          <w:rFonts w:ascii="Arial" w:cs="Arial" w:eastAsia="Arial" w:hAnsi="Arial"/>
          <w:sz w:val="18"/>
          <w:szCs w:val="18"/>
          <w:color w:val="auto"/>
        </w:rPr>
        <w:t>and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Isse et al. v. Air Serv Corporation filed on February 7, 2017, in the Superior Court of Washington for King County (the “Isse case”)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was a certified class action involving a class of certain hourly Air Serv employees at Seattle-Tacoma International Airport in SeaTac, Washington. The plaintiffs alleged that Air Serv violated a minimum wage requirement in an ordinance applicable to certain employers in the local city of SeaTac (the “Ordinance”). Plaintiffs sought retroactive wages, double damages, interest, and attorneys’ fees. This matter was removed to federal court. In a separate lawsuit brought by Filo Foods, LLC, Alaska Airlines, and several other employers at SeaTac Airport, the King County Superior Court (the “Superior Court”) issued a decision that invalidated the Ordinance as it applied to workers at SeaTac Airport. Subsequently, the Washington Supreme Court reversed the Superior Court’s decision. On February 7, 2017,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was filed against Air Serv on behalf of 60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alleged failure to comply with both the minimum wage provision and the sick and safe time provision of the Ordinance.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sought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later expanded to approximately 220 individual plaintiffs.</w:t>
      </w:r>
    </w:p>
    <w:p>
      <w:pPr>
        <w:spacing w:after="0" w:line="1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mediations on November 2 and 3, 2017, and without admitting liability in either matter, we agreed to settle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and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cases for a combined total of $ 8.3 million, inclusive of damages, interest, attorneys’ fees, and employer payroll taxes. Eligible employees will be able to participate in either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or </w:t>
      </w:r>
      <w:r>
        <w:rPr>
          <w:rFonts w:ascii="Arial" w:cs="Arial" w:eastAsia="Arial" w:hAnsi="Arial"/>
          <w:sz w:val="18"/>
          <w:szCs w:val="18"/>
          <w:i w:val="1"/>
          <w:iCs w:val="1"/>
          <w:color w:val="auto"/>
        </w:rPr>
        <w:t>Isse</w:t>
      </w:r>
      <w:r>
        <w:rPr>
          <w:rFonts w:ascii="Arial" w:cs="Arial" w:eastAsia="Arial" w:hAnsi="Arial"/>
          <w:sz w:val="18"/>
          <w:szCs w:val="18"/>
          <w:color w:val="auto"/>
        </w:rPr>
        <w:t xml:space="preserve"> settlements, but cannot recover in both settlements. The settlements in both cases require court approval because of the nature of the claims being released. On December 8, 2017, the Superior Court approved the settlement agreement for the 220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and we subsequently made a settlement payment of $4.5 million to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in January 2018. $3.8 million remains accrued for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w:t>
      </w:r>
    </w:p>
    <w:p>
      <w:pPr>
        <w:spacing w:after="0" w:line="1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On July 30, 2018, the United States District Court for the Western District of Washington at Seattle preliminarily approved the settlement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At the final approval hearing on December 4, 2018, the court (i) accepted opt-out notices from 78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members (the “opt-out members”) indicating their intent to participate in separate lawsuits (leaving 386 class members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(ii) directed the parties to recalculate the settlement amount by deducting the settlement funds attributable to the 78 opt-out members, and (iii) requested other minor changes, but indicated that the court intended to grant final approval of the settlement with these changes. On December 20, 2018, the court issued its order granting final approval of the class action settlement.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settlement funds will be paid in February 2019, provided there are no appeals or requests for review of the final approval order. The amount of the settlement funds attributable to the 78 opt-out members is approximately $0.9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26" w:right="239" w:bottom="1440" w:gutter="0" w:footer="0" w:header="0"/>
        </w:sectPr>
      </w:pPr>
    </w:p>
    <w:bookmarkStart w:id="88" w:name="page89"/>
    <w:bookmarkEnd w:id="88"/>
    <w:p>
      <w:pPr>
        <w:ind w:left="660"/>
        <w:spacing w:after="0" w:line="282" w:lineRule="auto"/>
        <w:rPr>
          <w:sz w:val="20"/>
          <w:szCs w:val="20"/>
          <w:color w:val="auto"/>
        </w:rPr>
      </w:pPr>
      <w:r>
        <w:rPr>
          <w:rFonts w:ascii="Arial" w:cs="Arial" w:eastAsia="Arial" w:hAnsi="Arial"/>
          <w:sz w:val="18"/>
          <w:szCs w:val="18"/>
          <w:i w:val="1"/>
          <w:iCs w:val="1"/>
          <w:color w:val="auto"/>
        </w:rPr>
        <w:t>Castro and Marmolejo v. ABM Industries, Inc., et al., filed on October 24, 2014, pending in the United States District Court for the Northern District of California (the “Castro case”)</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October 24, 2014, Plaintiff Marley Castro filed a class action lawsuit alleging that ABM did not reimburse janitorial employees in California for using their personal cell phones for work-related purposes, in violation of California Labor Code section 2802. On January 23, 2015, Plaintiff Lucia Marmolejo was added to the case as a named plaintiff. On October 27, 2017, plaintiffs moved for class certification seeking to represent a class of all employees who were, are, or will be employed by ABM in the State of California with the Employee Master Job Description Code “Cleaner” (hereafter referred to as “Cleaner Employees”) beginning from October 24, 2010. ABM filed its opposition to class certification on November 27, 2017. On January 26, 2018, the district court granted plaintiffs’ motion for class certification. The court rejected plaintiffs’ proposed class, instead certifying three classes that the court formulated on its own: (1) all employees who were, are, or will be employed by ABM in the State of California as Cleaner Employees who used a personal cell phone to punch in and out of the EPAY system and who (a) worked at an ABM facility that did not provide a biometric clock and (b) were not offered an ABM-provided cell phone during the period beginning on January 1, 2012, through the date of notice to the Class Members that a class has been certified in this action; (2) all employees who were, are, or will be employed by ABM in the State of California as Cleaner Employees who used a personal cell phone to report unusual or suspicious circumstances to supervisors and were not offered (a) an ABM-provided cell phone or (b) a two-way radio during the period beginning four years prior to the filing of the original complaint, October 24, 2014, through the date of notice to the Class Members that a class has been certified in this action; and (3) all employees who were, are, or will be employed by ABM in the State of California as Cleaner Employees who used a personal cell phone to respond to communications from supervisors and were not offered (a) an ABM-provided cell phone or (b) a two-way radio during the period beginning four years prior to the filing of the original complaint, October 24, 2014, through the date of notice to the Class Members that a class has been certified in this action.</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February 9, 2018, ABM filed a petition for permission to appeal the district court’s order granting class certification with the United States Court of Appeals for the Ninth Circuit, which was denied on April 30, 2018. On March 20, 2018, ABM moved to compel arbitration of the claims of certain class members pursuant to the terms of three collective bargaining agreements. In response to that motion, on May 14, 2018, the district court modified the class definition to exclude all claims arising after the operative date(s) of the applicable collective bargaining agreements (which is June 1, 2016 for one agreement and May 1, 2016 for the other two agreements). However, the district court denied the motion to compel arbitration as to claims that arose prior to the operative date(s) of the applicable collective bargaining agreements. ABM has appealed to the Ninth Circuit the district court’s order denying the motion to compel arbitration with respect to the periods preceding the operative dates of the collective bargaining agreements.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After a court-ordered mediation held on October 15, 2018, the parties agreed to a class action settlement of $5.4 million, subject to court approval. We anticipate the plaintiffs’ motion for preliminary approval will be filed with the court in the first quarter of fiscal year 2019, and a hearing on the motion is expected in the first or second quarter of fiscal year 2019.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26"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0046AD"/>
        </w:rPr>
        <w:t>15. PREFERRED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Preferred Stock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authorized to issue 500,000 shares of preferred stock. None of these preferred shares are issued.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At October 31, 2018, authorization for $134.1 million of repurchases remained under our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Repurchase Activity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9"/>
              </w:rPr>
              <w:t>Years Ended October 31,</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30"/>
        </w:trPr>
        <w:tc>
          <w:tcPr>
            <w:tcW w:w="5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460" w:type="dxa"/>
            <w:vAlign w:val="bottom"/>
          </w:tcPr>
          <w:p>
            <w:pPr>
              <w:spacing w:after="0"/>
              <w:rPr>
                <w:sz w:val="19"/>
                <w:szCs w:val="19"/>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Total number of shares purchased</w:t>
            </w:r>
          </w:p>
        </w:tc>
        <w:tc>
          <w:tcPr>
            <w:tcW w:w="460" w:type="dxa"/>
            <w:vAlign w:val="bottom"/>
            <w:shd w:val="clear" w:color="auto" w:fill="DCE2EF"/>
          </w:tcPr>
          <w:p>
            <w:pPr>
              <w:spacing w:after="0"/>
              <w:rPr>
                <w:sz w:val="21"/>
                <w:szCs w:val="21"/>
                <w:color w:val="auto"/>
              </w:rPr>
            </w:pPr>
          </w:p>
        </w:tc>
        <w:tc>
          <w:tcPr>
            <w:tcW w:w="1500" w:type="dxa"/>
            <w:vAlign w:val="bottom"/>
            <w:shd w:val="clear" w:color="auto" w:fill="DCE2EF"/>
          </w:tcPr>
          <w:p>
            <w:pPr>
              <w:ind w:lef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CE2EF"/>
          </w:tcPr>
          <w:p>
            <w:pPr>
              <w:spacing w:after="0"/>
              <w:rPr>
                <w:sz w:val="21"/>
                <w:szCs w:val="21"/>
                <w:color w:val="auto"/>
              </w:rPr>
            </w:pPr>
          </w:p>
        </w:tc>
        <w:tc>
          <w:tcPr>
            <w:tcW w:w="460" w:type="dxa"/>
            <w:vAlign w:val="bottom"/>
            <w:shd w:val="clear" w:color="auto" w:fill="DCE2EF"/>
          </w:tcPr>
          <w:p>
            <w:pPr>
              <w:spacing w:after="0"/>
              <w:rPr>
                <w:sz w:val="21"/>
                <w:szCs w:val="21"/>
                <w:color w:val="auto"/>
              </w:rPr>
            </w:pPr>
          </w:p>
        </w:tc>
        <w:tc>
          <w:tcPr>
            <w:tcW w:w="14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DCE2EF"/>
          </w:tcPr>
          <w:p>
            <w:pPr>
              <w:spacing w:after="0"/>
              <w:rPr>
                <w:sz w:val="21"/>
                <w:szCs w:val="21"/>
                <w:color w:val="auto"/>
              </w:rPr>
            </w:pPr>
          </w:p>
        </w:tc>
        <w:tc>
          <w:tcPr>
            <w:tcW w:w="440" w:type="dxa"/>
            <w:vAlign w:val="bottom"/>
            <w:shd w:val="clear" w:color="auto" w:fill="DCE2EF"/>
          </w:tcPr>
          <w:p>
            <w:pPr>
              <w:spacing w:after="0"/>
              <w:rPr>
                <w:sz w:val="21"/>
                <w:szCs w:val="21"/>
                <w:color w:val="auto"/>
              </w:rPr>
            </w:pPr>
          </w:p>
        </w:tc>
        <w:tc>
          <w:tcPr>
            <w:tcW w:w="15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ind w:left="1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33.48</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Total cash paid for share repurchases</w:t>
            </w:r>
          </w:p>
        </w:tc>
        <w:tc>
          <w:tcPr>
            <w:tcW w:w="46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DCE2EF"/>
          </w:tcPr>
          <w:p>
            <w:pPr>
              <w:ind w:left="1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DCE2E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DCE2EF"/>
          </w:tcPr>
          <w:p>
            <w:pPr>
              <w:spacing w:after="0"/>
              <w:rPr>
                <w:sz w:val="24"/>
                <w:szCs w:val="24"/>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46.6</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16.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use various share-based compensation plans to provide incentives for our key employees and directors. Currently, these incentives primarily consist of RSUs, performance shares, and stock options.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2, 2006, our stockholders approved the 2006 Equity Incentive Plan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2006 Equity Plan was amended in March 2018 to increase the total shares of common stock authorized for issuance from 11,679,265 to 13,475,265, and at October 31, 2018, there were 3,288,635 shares of common stock available for grant for future equity-based compensation awards. In addition, there are certain plans under which we can no longer issue awards, although awards outstanding under these plans may still vest and be exercised.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maintain an employee stock purchase plan, which our stockholders approved on March 9, 2004 (the “2004 Employee Stock Purchase Plan”). The 2004 Employee Stock Purchase Plan was amended in March 2016 to increase the total shares of common stock authorized for issuance to 4,000,000. Effective May 1, 2006, the 2004 Employee Stock Purchase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2018, there were 827,304 remaining unissued shares under the 2004 Employee Stock Purchase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2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0046AD"/>
        </w:rPr>
        <w:t>Compensation Expense by Type of Award and Related Income Tax Benefit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7.1</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Performance shares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DCE2EF"/>
          </w:tcPr>
          <w:p>
            <w:pPr>
              <w:spacing w:after="0"/>
              <w:rPr>
                <w:sz w:val="23"/>
                <w:szCs w:val="23"/>
                <w:color w:val="auto"/>
              </w:rPr>
            </w:pPr>
          </w:p>
        </w:tc>
        <w:tc>
          <w:tcPr>
            <w:tcW w:w="136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CE2EF"/>
          </w:tcPr>
          <w:p>
            <w:pPr>
              <w:spacing w:after="0"/>
              <w:rPr>
                <w:sz w:val="23"/>
                <w:szCs w:val="23"/>
                <w:color w:val="auto"/>
              </w:rPr>
            </w:pPr>
          </w:p>
        </w:tc>
        <w:tc>
          <w:tcPr>
            <w:tcW w:w="136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0.3</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 before income taxes</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77"/>
        </w:trPr>
        <w:tc>
          <w:tcPr>
            <w:tcW w:w="40" w:type="dxa"/>
            <w:vAlign w:val="bottom"/>
            <w:tcBorders>
              <w:bottom w:val="single" w:sz="8" w:color="DCE2EF"/>
            </w:tcBorders>
            <w:shd w:val="clear" w:color="auto" w:fill="DCE2EF"/>
          </w:tcPr>
          <w:p>
            <w:pPr>
              <w:spacing w:after="0"/>
              <w:rPr>
                <w:sz w:val="24"/>
                <w:szCs w:val="24"/>
                <w:color w:val="auto"/>
              </w:rPr>
            </w:pPr>
          </w:p>
        </w:tc>
        <w:tc>
          <w:tcPr>
            <w:tcW w:w="63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Income tax benefit</w:t>
            </w:r>
          </w:p>
        </w:tc>
        <w:tc>
          <w:tcPr>
            <w:tcW w:w="360" w:type="dxa"/>
            <w:vAlign w:val="bottom"/>
            <w:tcBorders>
              <w:bottom w:val="single" w:sz="8" w:color="DCE2EF"/>
            </w:tcBorders>
            <w:shd w:val="clear" w:color="auto" w:fill="DCE2EF"/>
          </w:tcPr>
          <w:p>
            <w:pPr>
              <w:spacing w:after="0"/>
              <w:rPr>
                <w:sz w:val="24"/>
                <w:szCs w:val="24"/>
                <w:color w:val="auto"/>
              </w:rPr>
            </w:pPr>
          </w:p>
        </w:tc>
        <w:tc>
          <w:tcPr>
            <w:tcW w:w="12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DCE2EF"/>
            </w:tcBorders>
            <w:shd w:val="clear" w:color="auto" w:fill="DCE2EF"/>
          </w:tcPr>
          <w:p>
            <w:pPr>
              <w:spacing w:after="0"/>
              <w:rPr>
                <w:sz w:val="24"/>
                <w:szCs w:val="24"/>
                <w:color w:val="auto"/>
              </w:rPr>
            </w:pPr>
          </w:p>
        </w:tc>
        <w:tc>
          <w:tcPr>
            <w:tcW w:w="360" w:type="dxa"/>
            <w:vAlign w:val="bottom"/>
            <w:tcBorders>
              <w:bottom w:val="single" w:sz="8" w:color="DCE2EF"/>
            </w:tcBorders>
            <w:shd w:val="clear" w:color="auto" w:fill="DCE2EF"/>
          </w:tcPr>
          <w:p>
            <w:pPr>
              <w:spacing w:after="0"/>
              <w:rPr>
                <w:sz w:val="24"/>
                <w:szCs w:val="24"/>
                <w:color w:val="auto"/>
              </w:rPr>
            </w:pPr>
          </w:p>
        </w:tc>
        <w:tc>
          <w:tcPr>
            <w:tcW w:w="12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DCE2EF"/>
            </w:tcBorders>
            <w:shd w:val="clear" w:color="auto" w:fill="DCE2EF"/>
          </w:tcPr>
          <w:p>
            <w:pPr>
              <w:spacing w:after="0"/>
              <w:rPr>
                <w:sz w:val="24"/>
                <w:szCs w:val="24"/>
                <w:color w:val="auto"/>
              </w:rPr>
            </w:pPr>
          </w:p>
        </w:tc>
        <w:tc>
          <w:tcPr>
            <w:tcW w:w="380" w:type="dxa"/>
            <w:vAlign w:val="bottom"/>
            <w:tcBorders>
              <w:bottom w:val="single" w:sz="8" w:color="DCE2EF"/>
            </w:tcBorders>
            <w:shd w:val="clear" w:color="auto" w:fill="DCE2EF"/>
          </w:tcPr>
          <w:p>
            <w:pPr>
              <w:spacing w:after="0"/>
              <w:rPr>
                <w:sz w:val="24"/>
                <w:szCs w:val="24"/>
                <w:color w:val="auto"/>
              </w:rPr>
            </w:pPr>
          </w:p>
        </w:tc>
        <w:tc>
          <w:tcPr>
            <w:tcW w:w="12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(6.0)</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 net of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RSUs and Dividend Equivalent Rights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award RSUs to eligible employees and our directors (each, a “Grantee”) that entitle the Grantee to receive shares of our common stock as the units vest. RSUs granted to eligible employees generally vest with respect to 50% of the underlying award on the second and fourth anniversary of the award. RSUs granted to directors vest over three years. In general, the receipt of RSUs is subject to the Grantee’s continuing employment or service as a director.</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0046AD"/>
              </w:rPr>
              <w:t>RSU Activity</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2"/>
        </w:trPr>
        <w:tc>
          <w:tcPr>
            <w:tcW w:w="7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Weighted-Average</w:t>
            </w:r>
          </w:p>
        </w:tc>
      </w:tr>
      <w:tr>
        <w:trPr>
          <w:trHeight w:val="203"/>
        </w:trPr>
        <w:tc>
          <w:tcPr>
            <w:tcW w:w="7200" w:type="dxa"/>
            <w:vAlign w:val="bottom"/>
          </w:tcPr>
          <w:p>
            <w:pPr>
              <w:spacing w:after="0"/>
              <w:rPr>
                <w:sz w:val="17"/>
                <w:szCs w:val="17"/>
                <w:color w:val="auto"/>
              </w:rPr>
            </w:pPr>
          </w:p>
        </w:tc>
        <w:tc>
          <w:tcPr>
            <w:tcW w:w="2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 (in</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 Value</w:t>
            </w:r>
          </w:p>
        </w:tc>
      </w:tr>
      <w:tr>
        <w:trPr>
          <w:trHeight w:val="246"/>
        </w:trPr>
        <w:tc>
          <w:tcPr>
            <w:tcW w:w="720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80" w:type="dxa"/>
            <w:vAlign w:val="bottom"/>
          </w:tcPr>
          <w:p>
            <w:pPr>
              <w:spacing w:after="0"/>
              <w:rPr>
                <w:sz w:val="21"/>
                <w:szCs w:val="21"/>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per Share</w:t>
            </w:r>
          </w:p>
        </w:tc>
      </w:tr>
      <w:tr>
        <w:trPr>
          <w:trHeight w:val="257"/>
        </w:trPr>
        <w:tc>
          <w:tcPr>
            <w:tcW w:w="7200" w:type="dxa"/>
            <w:vAlign w:val="bottom"/>
            <w:tcBorders>
              <w:top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Outstanding at October 31, 2017</w:t>
            </w:r>
          </w:p>
        </w:tc>
        <w:tc>
          <w:tcPr>
            <w:tcW w:w="204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DCE2EF"/>
            </w:tcBorders>
            <w:shd w:val="clear" w:color="auto" w:fill="DCE2EF"/>
          </w:tcPr>
          <w:p>
            <w:pPr>
              <w:spacing w:after="0"/>
              <w:rPr>
                <w:sz w:val="22"/>
                <w:szCs w:val="22"/>
                <w:color w:val="auto"/>
              </w:rPr>
            </w:pPr>
          </w:p>
        </w:tc>
        <w:tc>
          <w:tcPr>
            <w:tcW w:w="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34.18</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37.98</w:t>
            </w:r>
          </w:p>
        </w:tc>
      </w:tr>
      <w:tr>
        <w:trPr>
          <w:trHeight w:val="257"/>
        </w:trPr>
        <w:tc>
          <w:tcPr>
            <w:tcW w:w="720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shd w:val="clear" w:color="auto" w:fill="DCE2EF"/>
              </w:rPr>
              <w:t>Vested (including 0.1 shares withheld for income taxes)</w:t>
            </w:r>
          </w:p>
        </w:tc>
        <w:tc>
          <w:tcPr>
            <w:tcW w:w="20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DCE2EF"/>
            </w:tcBorders>
            <w:shd w:val="clear" w:color="auto" w:fill="DCE2EF"/>
          </w:tcPr>
          <w:p>
            <w:pPr>
              <w:spacing w:after="0"/>
              <w:rPr>
                <w:sz w:val="22"/>
                <w:szCs w:val="22"/>
                <w:color w:val="auto"/>
              </w:rPr>
            </w:pPr>
          </w:p>
        </w:tc>
        <w:tc>
          <w:tcPr>
            <w:tcW w:w="180" w:type="dxa"/>
            <w:vAlign w:val="bottom"/>
            <w:tcBorders>
              <w:bottom w:val="single" w:sz="8" w:color="DCE2EF"/>
            </w:tcBorders>
            <w:shd w:val="clear" w:color="auto" w:fill="DCE2EF"/>
          </w:tcPr>
          <w:p>
            <w:pPr>
              <w:spacing w:after="0"/>
              <w:rPr>
                <w:sz w:val="22"/>
                <w:szCs w:val="22"/>
                <w:color w:val="auto"/>
              </w:rPr>
            </w:pPr>
          </w:p>
        </w:tc>
        <w:tc>
          <w:tcPr>
            <w:tcW w:w="18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29.10</w:t>
            </w:r>
          </w:p>
        </w:tc>
      </w:tr>
      <w:tr>
        <w:trPr>
          <w:trHeight w:val="264"/>
        </w:trPr>
        <w:tc>
          <w:tcPr>
            <w:tcW w:w="7200" w:type="dxa"/>
            <w:vAlign w:val="bottom"/>
            <w:tcBorders>
              <w:bottom w:val="single" w:sz="8" w:color="DCE2EF"/>
            </w:tcBorders>
          </w:tcPr>
          <w:p>
            <w:pPr>
              <w:ind w:left="4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37.16</w:t>
            </w:r>
          </w:p>
        </w:tc>
      </w:tr>
      <w:tr>
        <w:trPr>
          <w:trHeight w:val="257"/>
        </w:trPr>
        <w:tc>
          <w:tcPr>
            <w:tcW w:w="720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Outstanding at October 31, 2018</w:t>
            </w:r>
          </w:p>
        </w:tc>
        <w:tc>
          <w:tcPr>
            <w:tcW w:w="20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DCE2EF"/>
            </w:tcBorders>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36.61</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2018, total unrecognized compensation cost, net of estimated forfeitures, related to RSUs was $17.3 million, which is expected to be recognized ratably over a weighted-average vesting period of 2.6 years. In 2018, 2017, and 2016, the weighted-average grant date fair value per share of awards granted was $37.98, $41.79, and $35.62, respectively. In 2018, 2017, and 2016, the total grant date fair value of RSUs vested and converted to shares of ABM common stock was $7.4 million, $9.4 million, and $7.2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Performance Shares, Including TSR Performance Shares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certain performance share awards, the number of performance shares that will vest is based on pre-established internal financial performance targets and typically a three-year service and performance period. The number of TSR awards that will vest is based on our total shareholder return relative to the S&amp;P 600 at the time of grant over the respective three-year performance period. Vesting of 0% to 150% of the awards originally granted may occur depending on the respective performance metrics under both award types.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22"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0046AD"/>
              </w:rPr>
              <w:t>Performance Share Activity</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04"/>
        </w:trPr>
        <w:tc>
          <w:tcPr>
            <w:tcW w:w="7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Weighted-Average</w:t>
            </w:r>
          </w:p>
        </w:tc>
      </w:tr>
      <w:tr>
        <w:trPr>
          <w:trHeight w:val="203"/>
        </w:trPr>
        <w:tc>
          <w:tcPr>
            <w:tcW w:w="7200" w:type="dxa"/>
            <w:vAlign w:val="bottom"/>
          </w:tcPr>
          <w:p>
            <w:pPr>
              <w:spacing w:after="0"/>
              <w:rPr>
                <w:sz w:val="17"/>
                <w:szCs w:val="17"/>
                <w:color w:val="auto"/>
              </w:rPr>
            </w:pPr>
          </w:p>
        </w:tc>
        <w:tc>
          <w:tcPr>
            <w:tcW w:w="2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 (in</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 Value</w:t>
            </w:r>
          </w:p>
        </w:tc>
      </w:tr>
      <w:tr>
        <w:trPr>
          <w:trHeight w:val="246"/>
        </w:trPr>
        <w:tc>
          <w:tcPr>
            <w:tcW w:w="720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80" w:type="dxa"/>
            <w:vAlign w:val="bottom"/>
          </w:tcPr>
          <w:p>
            <w:pPr>
              <w:spacing w:after="0"/>
              <w:rPr>
                <w:sz w:val="21"/>
                <w:szCs w:val="21"/>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per Share</w:t>
            </w:r>
          </w:p>
        </w:tc>
      </w:tr>
      <w:tr>
        <w:trPr>
          <w:trHeight w:val="257"/>
        </w:trPr>
        <w:tc>
          <w:tcPr>
            <w:tcW w:w="7200" w:type="dxa"/>
            <w:vAlign w:val="bottom"/>
            <w:tcBorders>
              <w:top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Outstanding at October 31, 2017</w:t>
            </w:r>
          </w:p>
        </w:tc>
        <w:tc>
          <w:tcPr>
            <w:tcW w:w="204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DCE2EF"/>
            </w:tcBorders>
            <w:shd w:val="clear" w:color="auto" w:fill="DCE2EF"/>
          </w:tcPr>
          <w:p>
            <w:pPr>
              <w:spacing w:after="0"/>
              <w:rPr>
                <w:sz w:val="22"/>
                <w:szCs w:val="22"/>
                <w:color w:val="auto"/>
              </w:rPr>
            </w:pPr>
          </w:p>
        </w:tc>
        <w:tc>
          <w:tcPr>
            <w:tcW w:w="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32.83</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38.53</w:t>
            </w:r>
          </w:p>
        </w:tc>
      </w:tr>
      <w:tr>
        <w:trPr>
          <w:trHeight w:val="257"/>
        </w:trPr>
        <w:tc>
          <w:tcPr>
            <w:tcW w:w="720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shd w:val="clear" w:color="auto" w:fill="DCE2EF"/>
              </w:rPr>
              <w:t>Vested (including 0.1 shares withheld for income taxes)</w:t>
            </w:r>
          </w:p>
        </w:tc>
        <w:tc>
          <w:tcPr>
            <w:tcW w:w="20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DCE2EF"/>
            </w:tcBorders>
            <w:shd w:val="clear" w:color="auto" w:fill="DCE2EF"/>
          </w:tcPr>
          <w:p>
            <w:pPr>
              <w:spacing w:after="0"/>
              <w:rPr>
                <w:sz w:val="22"/>
                <w:szCs w:val="22"/>
                <w:color w:val="auto"/>
              </w:rPr>
            </w:pPr>
          </w:p>
        </w:tc>
        <w:tc>
          <w:tcPr>
            <w:tcW w:w="180" w:type="dxa"/>
            <w:vAlign w:val="bottom"/>
            <w:tcBorders>
              <w:bottom w:val="single" w:sz="8" w:color="DCE2EF"/>
            </w:tcBorders>
            <w:shd w:val="clear" w:color="auto" w:fill="DCE2EF"/>
          </w:tcPr>
          <w:p>
            <w:pPr>
              <w:spacing w:after="0"/>
              <w:rPr>
                <w:sz w:val="22"/>
                <w:szCs w:val="22"/>
                <w:color w:val="auto"/>
              </w:rPr>
            </w:pPr>
          </w:p>
        </w:tc>
        <w:tc>
          <w:tcPr>
            <w:tcW w:w="18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30.38</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Performance adjustments</w:t>
            </w: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37.93</w:t>
            </w:r>
          </w:p>
        </w:tc>
      </w:tr>
      <w:tr>
        <w:trPr>
          <w:trHeight w:val="277"/>
        </w:trPr>
        <w:tc>
          <w:tcPr>
            <w:tcW w:w="720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shd w:val="clear" w:color="auto" w:fill="DCE2EF"/>
              </w:rPr>
              <w:t>Forfeited</w:t>
            </w:r>
          </w:p>
        </w:tc>
        <w:tc>
          <w:tcPr>
            <w:tcW w:w="20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18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36.74</w:t>
            </w:r>
          </w:p>
        </w:tc>
      </w:tr>
      <w:tr>
        <w:trPr>
          <w:trHeight w:val="250"/>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October 31, 2018</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35.96</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2018, total unrecognized compensation cost related to performance share awards was $13.7 million, which is expected to be recognized ratably over a weighted-average vesting period of 1.9 years. Except for TSR performance shares, these costs are based on estimated achievement of performance targets and estimated costs are periodically reevaluated. For our TSR performance shares, these costs are based on the fair value of awards at the grant date and are recognized on a straight-line basis over the service period of three years.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2018, 2017, and 2016, the weighted-average grant date fair value per share of awards granted was $ 38.53, $39.21, and $28.99, respectively. In 2018, 2017, and 2016, the total grant date fair value of performance shares vested and converted to shares of ABM common stock was $7.3 million, $7.0 million, and $6.6 million, respectively.</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2018, 2017, and 2016, we used the Monte Carlo simulation valuation technique to estimate the fair value of TSR performance share grants, which used the assumptions in the table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Monte Carlo Assumptions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40" w:type="dxa"/>
            <w:vAlign w:val="bottom"/>
            <w:tcBorders>
              <w:bottom w:val="single" w:sz="8" w:color="DCE2E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CE2E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CE2E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57"/>
        </w:trPr>
        <w:tc>
          <w:tcPr>
            <w:tcW w:w="5540" w:type="dxa"/>
            <w:vAlign w:val="bottom"/>
            <w:shd w:val="clear" w:color="auto" w:fill="DCE2EF"/>
          </w:tcPr>
          <w:p>
            <w:pPr>
              <w:ind w:left="40"/>
              <w:spacing w:after="0"/>
              <w:rPr>
                <w:sz w:val="20"/>
                <w:szCs w:val="20"/>
                <w:color w:val="auto"/>
              </w:rPr>
            </w:pPr>
            <w:r>
              <w:rPr>
                <w:rFonts w:ascii="Arial" w:cs="Arial" w:eastAsia="Arial" w:hAnsi="Arial"/>
                <w:sz w:val="18"/>
                <w:szCs w:val="18"/>
                <w:color w:val="auto"/>
              </w:rPr>
              <w:t>Expected life</w:t>
            </w:r>
            <w:r>
              <w:rPr>
                <w:rFonts w:ascii="Arial" w:cs="Arial" w:eastAsia="Arial" w:hAnsi="Arial"/>
                <w:sz w:val="21"/>
                <w:szCs w:val="21"/>
                <w:color w:val="auto"/>
                <w:vertAlign w:val="superscript"/>
              </w:rPr>
              <w:t>(1)</w:t>
            </w:r>
          </w:p>
        </w:tc>
        <w:tc>
          <w:tcPr>
            <w:tcW w:w="420" w:type="dxa"/>
            <w:vAlign w:val="bottom"/>
            <w:shd w:val="clear" w:color="auto" w:fill="DCE2EF"/>
          </w:tcPr>
          <w:p>
            <w:pPr>
              <w:spacing w:after="0"/>
              <w:rPr>
                <w:sz w:val="22"/>
                <w:szCs w:val="22"/>
                <w:color w:val="auto"/>
              </w:rPr>
            </w:pPr>
          </w:p>
        </w:tc>
        <w:tc>
          <w:tcPr>
            <w:tcW w:w="1580" w:type="dxa"/>
            <w:vAlign w:val="bottom"/>
            <w:gridSpan w:val="2"/>
            <w:shd w:val="clear" w:color="auto" w:fill="DCE2EF"/>
          </w:tcPr>
          <w:p>
            <w:pPr>
              <w:ind w:left="440"/>
              <w:spacing w:after="0"/>
              <w:rPr>
                <w:sz w:val="20"/>
                <w:szCs w:val="20"/>
                <w:color w:val="auto"/>
              </w:rPr>
            </w:pPr>
            <w:r>
              <w:rPr>
                <w:rFonts w:ascii="Arial" w:cs="Arial" w:eastAsia="Arial" w:hAnsi="Arial"/>
                <w:sz w:val="18"/>
                <w:szCs w:val="18"/>
                <w:color w:val="auto"/>
              </w:rPr>
              <w:t>2.81 years</w:t>
            </w:r>
          </w:p>
        </w:tc>
        <w:tc>
          <w:tcPr>
            <w:tcW w:w="420" w:type="dxa"/>
            <w:vAlign w:val="bottom"/>
            <w:shd w:val="clear" w:color="auto" w:fill="DCE2EF"/>
          </w:tcPr>
          <w:p>
            <w:pPr>
              <w:spacing w:after="0"/>
              <w:rPr>
                <w:sz w:val="22"/>
                <w:szCs w:val="22"/>
                <w:color w:val="auto"/>
              </w:rPr>
            </w:pPr>
          </w:p>
        </w:tc>
        <w:tc>
          <w:tcPr>
            <w:tcW w:w="1560" w:type="dxa"/>
            <w:vAlign w:val="bottom"/>
            <w:gridSpan w:val="2"/>
            <w:shd w:val="clear" w:color="auto" w:fill="DCE2EF"/>
          </w:tcPr>
          <w:p>
            <w:pPr>
              <w:ind w:left="440"/>
              <w:spacing w:after="0"/>
              <w:rPr>
                <w:sz w:val="20"/>
                <w:szCs w:val="20"/>
                <w:color w:val="auto"/>
              </w:rPr>
            </w:pPr>
            <w:r>
              <w:rPr>
                <w:rFonts w:ascii="Arial" w:cs="Arial" w:eastAsia="Arial" w:hAnsi="Arial"/>
                <w:sz w:val="18"/>
                <w:szCs w:val="18"/>
                <w:color w:val="auto"/>
              </w:rPr>
              <w:t>2.14 years</w:t>
            </w:r>
          </w:p>
        </w:tc>
        <w:tc>
          <w:tcPr>
            <w:tcW w:w="440" w:type="dxa"/>
            <w:vAlign w:val="bottom"/>
            <w:shd w:val="clear" w:color="auto" w:fill="DCE2EF"/>
          </w:tcPr>
          <w:p>
            <w:pPr>
              <w:spacing w:after="0"/>
              <w:rPr>
                <w:sz w:val="22"/>
                <w:szCs w:val="22"/>
                <w:color w:val="auto"/>
              </w:rPr>
            </w:pPr>
          </w:p>
        </w:tc>
        <w:tc>
          <w:tcPr>
            <w:tcW w:w="146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2.13 years</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21"/>
                <w:szCs w:val="21"/>
                <w:color w:val="auto"/>
                <w:vertAlign w:val="superscript"/>
              </w:rPr>
              <w:t>(2)</w:t>
            </w:r>
          </w:p>
        </w:tc>
        <w:tc>
          <w:tcPr>
            <w:tcW w:w="4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5540" w:type="dxa"/>
            <w:vAlign w:val="bottom"/>
            <w:shd w:val="clear" w:color="auto" w:fill="DCE2EF"/>
          </w:tcPr>
          <w:p>
            <w:pPr>
              <w:ind w:left="4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1"/>
                <w:szCs w:val="21"/>
                <w:color w:val="auto"/>
                <w:vertAlign w:val="superscript"/>
              </w:rPr>
              <w:t>(3)</w:t>
            </w: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CE2EF"/>
          </w:tcPr>
          <w:p>
            <w:pPr>
              <w:spacing w:after="0"/>
              <w:rPr>
                <w:sz w:val="23"/>
                <w:szCs w:val="23"/>
                <w:color w:val="auto"/>
              </w:rPr>
            </w:pP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CE2EF"/>
          </w:tcPr>
          <w:p>
            <w:pPr>
              <w:spacing w:after="0"/>
              <w:rPr>
                <w:sz w:val="23"/>
                <w:szCs w:val="23"/>
                <w:color w:val="auto"/>
              </w:rPr>
            </w:pPr>
          </w:p>
        </w:tc>
        <w:tc>
          <w:tcPr>
            <w:tcW w:w="44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0.8%</w:t>
            </w:r>
          </w:p>
        </w:tc>
      </w:tr>
      <w:tr>
        <w:trPr>
          <w:trHeight w:val="314"/>
        </w:trPr>
        <w:tc>
          <w:tcPr>
            <w:tcW w:w="5540" w:type="dxa"/>
            <w:vAlign w:val="bottom"/>
          </w:tcPr>
          <w:p>
            <w:pPr>
              <w:ind w:left="40"/>
              <w:spacing w:after="0"/>
              <w:rPr>
                <w:sz w:val="20"/>
                <w:szCs w:val="20"/>
                <w:color w:val="auto"/>
              </w:rPr>
            </w:pPr>
            <w:r>
              <w:rPr>
                <w:rFonts w:ascii="Arial" w:cs="Arial" w:eastAsia="Arial" w:hAnsi="Arial"/>
                <w:sz w:val="18"/>
                <w:szCs w:val="18"/>
                <w:color w:val="auto"/>
              </w:rPr>
              <w:t>Stock price</w:t>
            </w:r>
            <w:r>
              <w:rPr>
                <w:rFonts w:ascii="Arial" w:cs="Arial" w:eastAsia="Arial" w:hAnsi="Arial"/>
                <w:sz w:val="21"/>
                <w:szCs w:val="21"/>
                <w:color w:val="auto"/>
                <w:vertAlign w:val="superscript"/>
              </w:rPr>
              <w:t>(4)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39.02</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4"/>
                <w:szCs w:val="24"/>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38.65</w:t>
            </w:r>
          </w:p>
        </w:tc>
      </w:tr>
    </w:tbl>
    <w:p>
      <w:pPr>
        <w:spacing w:after="0" w:line="74" w:lineRule="exact"/>
        <w:rPr>
          <w:sz w:val="20"/>
          <w:szCs w:val="20"/>
          <w:color w:val="auto"/>
        </w:rPr>
      </w:pPr>
    </w:p>
    <w:p>
      <w:pPr>
        <w:ind w:left="240" w:hanging="178"/>
        <w:spacing w:after="0"/>
        <w:tabs>
          <w:tab w:leader="none" w:pos="24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The expected life represents the remaining performance period of the awards.</w:t>
      </w:r>
    </w:p>
    <w:p>
      <w:pPr>
        <w:spacing w:after="0" w:line="156" w:lineRule="exact"/>
        <w:rPr>
          <w:rFonts w:ascii="Arial" w:cs="Arial" w:eastAsia="Arial" w:hAnsi="Arial"/>
          <w:sz w:val="21"/>
          <w:szCs w:val="21"/>
          <w:color w:val="auto"/>
          <w:vertAlign w:val="superscript"/>
        </w:rPr>
      </w:pPr>
    </w:p>
    <w:p>
      <w:pPr>
        <w:ind w:left="60" w:firstLine="2"/>
        <w:spacing w:after="0" w:line="235" w:lineRule="auto"/>
        <w:tabs>
          <w:tab w:leader="none" w:pos="222"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The expected volatility for each grant is determined based on the historical volatility of our common stock over a period equal to the remaining term of the performance period from the date of grant for all awards.</w:t>
      </w:r>
    </w:p>
    <w:p>
      <w:pPr>
        <w:spacing w:after="0" w:line="157" w:lineRule="exact"/>
        <w:rPr>
          <w:rFonts w:ascii="Arial" w:cs="Arial" w:eastAsia="Arial" w:hAnsi="Arial"/>
          <w:sz w:val="19"/>
          <w:szCs w:val="19"/>
          <w:color w:val="auto"/>
          <w:vertAlign w:val="superscript"/>
        </w:rPr>
      </w:pPr>
    </w:p>
    <w:p>
      <w:pPr>
        <w:ind w:left="60" w:right="20" w:firstLine="2"/>
        <w:spacing w:after="0" w:line="222" w:lineRule="auto"/>
        <w:tabs>
          <w:tab w:leader="none" w:pos="238"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The risk-free interest rate is based on the continuous compounded yield on U.S. Treasury Constant Maturity Rates with varying remaining terms; the yield is determined over a time period commensurate with the performance period from the grant date.</w:t>
      </w:r>
    </w:p>
    <w:p>
      <w:pPr>
        <w:spacing w:after="0" w:line="133" w:lineRule="exact"/>
        <w:rPr>
          <w:rFonts w:ascii="Arial" w:cs="Arial" w:eastAsia="Arial" w:hAnsi="Arial"/>
          <w:sz w:val="21"/>
          <w:szCs w:val="21"/>
          <w:color w:val="auto"/>
          <w:vertAlign w:val="superscript"/>
        </w:rPr>
      </w:pPr>
    </w:p>
    <w:p>
      <w:pPr>
        <w:ind w:left="220" w:hanging="158"/>
        <w:spacing w:after="0"/>
        <w:tabs>
          <w:tab w:leader="none" w:pos="22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The stock price is the closing price of our common stock on the valuation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Stock Options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Typically, stock options vest and become exercisable at a rate of 25% per year beginning one year after the date of grant. However, terms of stock options can vary, and certain stock options granted on January 10, 2011 vested on the fifth anniversary of the award. During 2018, 2017, and 2016, no stock options were granted, and we have not granted stock options since 2013. All option grants provide for an option exercise price equal to the closing market value of the common stock on the date of grant. Options typically expire 7 years after the date of grant.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2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9"/>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0046AD"/>
              </w:rPr>
              <w:t>Stock Option Activity</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04"/>
        </w:trPr>
        <w:tc>
          <w:tcPr>
            <w:tcW w:w="3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Weighted-Average</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3"/>
        </w:trPr>
        <w:tc>
          <w:tcPr>
            <w:tcW w:w="3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9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Exercise Price per</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Contractual Term (in</w:t>
            </w:r>
          </w:p>
        </w:tc>
        <w:tc>
          <w:tcPr>
            <w:tcW w:w="120" w:type="dxa"/>
            <w:vAlign w:val="bottom"/>
          </w:tcPr>
          <w:p>
            <w:pPr>
              <w:spacing w:after="0"/>
              <w:rPr>
                <w:sz w:val="17"/>
                <w:szCs w:val="17"/>
                <w:color w:val="auto"/>
              </w:rPr>
            </w:pPr>
          </w:p>
        </w:tc>
        <w:tc>
          <w:tcPr>
            <w:tcW w:w="18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Aggregate Intrinsic</w:t>
            </w:r>
          </w:p>
        </w:tc>
      </w:tr>
      <w:tr>
        <w:trPr>
          <w:trHeight w:val="252"/>
        </w:trPr>
        <w:tc>
          <w:tcPr>
            <w:tcW w:w="3540" w:type="dxa"/>
            <w:vAlign w:val="bottom"/>
          </w:tcPr>
          <w:p>
            <w:pPr>
              <w:spacing w:after="0"/>
              <w:rPr>
                <w:sz w:val="21"/>
                <w:szCs w:val="21"/>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(in millions)</w:t>
            </w:r>
          </w:p>
        </w:tc>
        <w:tc>
          <w:tcPr>
            <w:tcW w:w="120" w:type="dxa"/>
            <w:vAlign w:val="bottom"/>
          </w:tcPr>
          <w:p>
            <w:pPr>
              <w:spacing w:after="0"/>
              <w:rPr>
                <w:sz w:val="21"/>
                <w:szCs w:val="21"/>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Share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years)</w:t>
            </w:r>
            <w:r>
              <w:rPr>
                <w:rFonts w:ascii="Arial" w:cs="Arial" w:eastAsia="Arial" w:hAnsi="Arial"/>
                <w:sz w:val="21"/>
                <w:szCs w:val="21"/>
                <w:b w:val="1"/>
                <w:bCs w:val="1"/>
                <w:color w:val="auto"/>
                <w:w w:val="94"/>
                <w:vertAlign w:val="superscript"/>
              </w:rPr>
              <w:t>(1)</w:t>
            </w:r>
          </w:p>
        </w:tc>
        <w:tc>
          <w:tcPr>
            <w:tcW w:w="120" w:type="dxa"/>
            <w:vAlign w:val="bottom"/>
          </w:tcPr>
          <w:p>
            <w:pPr>
              <w:spacing w:after="0"/>
              <w:rPr>
                <w:sz w:val="21"/>
                <w:szCs w:val="21"/>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Value (in millions)</w:t>
            </w:r>
            <w:r>
              <w:rPr>
                <w:rFonts w:ascii="Arial" w:cs="Arial" w:eastAsia="Arial" w:hAnsi="Arial"/>
                <w:sz w:val="21"/>
                <w:szCs w:val="21"/>
                <w:b w:val="1"/>
                <w:bCs w:val="1"/>
                <w:color w:val="auto"/>
                <w:w w:val="94"/>
                <w:vertAlign w:val="superscript"/>
              </w:rPr>
              <w:t>(2)</w:t>
            </w:r>
          </w:p>
        </w:tc>
      </w:tr>
      <w:tr>
        <w:trPr>
          <w:trHeight w:val="264"/>
        </w:trPr>
        <w:tc>
          <w:tcPr>
            <w:tcW w:w="3540" w:type="dxa"/>
            <w:vAlign w:val="bottom"/>
            <w:tcBorders>
              <w:top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rPr>
              <w:t>Outstanding at October 31, 2017</w:t>
            </w:r>
          </w:p>
        </w:tc>
        <w:tc>
          <w:tcPr>
            <w:tcW w:w="1840" w:type="dxa"/>
            <w:vAlign w:val="bottom"/>
            <w:tcBorders>
              <w:top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DCE2EF"/>
            </w:tcBorders>
            <w:shd w:val="clear" w:color="auto" w:fill="DCE2EF"/>
          </w:tcPr>
          <w:p>
            <w:pPr>
              <w:spacing w:after="0"/>
              <w:rPr>
                <w:sz w:val="22"/>
                <w:szCs w:val="22"/>
                <w:color w:val="auto"/>
              </w:rPr>
            </w:pPr>
          </w:p>
        </w:tc>
        <w:tc>
          <w:tcPr>
            <w:tcW w:w="1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16.29</w:t>
            </w:r>
          </w:p>
        </w:tc>
        <w:tc>
          <w:tcPr>
            <w:tcW w:w="120" w:type="dxa"/>
            <w:vAlign w:val="bottom"/>
            <w:tcBorders>
              <w:top w:val="single" w:sz="8" w:color="DCE2EF"/>
            </w:tcBorders>
            <w:shd w:val="clear" w:color="auto" w:fill="DCE2EF"/>
          </w:tcPr>
          <w:p>
            <w:pPr>
              <w:spacing w:after="0"/>
              <w:rPr>
                <w:sz w:val="22"/>
                <w:szCs w:val="22"/>
                <w:color w:val="auto"/>
              </w:rPr>
            </w:pPr>
          </w:p>
        </w:tc>
        <w:tc>
          <w:tcPr>
            <w:tcW w:w="1920" w:type="dxa"/>
            <w:vAlign w:val="bottom"/>
            <w:tcBorders>
              <w:top w:val="single" w:sz="8" w:color="auto"/>
            </w:tcBorders>
            <w:shd w:val="clear" w:color="auto" w:fill="DCE2EF"/>
          </w:tcPr>
          <w:p>
            <w:pPr>
              <w:spacing w:after="0"/>
              <w:rPr>
                <w:sz w:val="22"/>
                <w:szCs w:val="22"/>
                <w:color w:val="auto"/>
              </w:rPr>
            </w:pPr>
          </w:p>
        </w:tc>
        <w:tc>
          <w:tcPr>
            <w:tcW w:w="120" w:type="dxa"/>
            <w:vAlign w:val="bottom"/>
            <w:tcBorders>
              <w:top w:val="single" w:sz="8" w:color="DCE2EF"/>
            </w:tcBorders>
            <w:shd w:val="clear" w:color="auto" w:fill="DCE2EF"/>
          </w:tcPr>
          <w:p>
            <w:pPr>
              <w:spacing w:after="0"/>
              <w:rPr>
                <w:sz w:val="22"/>
                <w:szCs w:val="22"/>
                <w:color w:val="auto"/>
              </w:rPr>
            </w:pPr>
          </w:p>
        </w:tc>
        <w:tc>
          <w:tcPr>
            <w:tcW w:w="120" w:type="dxa"/>
            <w:vAlign w:val="bottom"/>
            <w:tcBorders>
              <w:top w:val="single" w:sz="8" w:color="auto"/>
            </w:tcBorders>
            <w:shd w:val="clear" w:color="auto" w:fill="DCE2EF"/>
          </w:tcPr>
          <w:p>
            <w:pPr>
              <w:spacing w:after="0"/>
              <w:rPr>
                <w:sz w:val="22"/>
                <w:szCs w:val="22"/>
                <w:color w:val="auto"/>
              </w:rPr>
            </w:pPr>
          </w:p>
        </w:tc>
        <w:tc>
          <w:tcPr>
            <w:tcW w:w="1820" w:type="dxa"/>
            <w:vAlign w:val="bottom"/>
            <w:tcBorders>
              <w:top w:val="single" w:sz="8" w:color="auto"/>
            </w:tcBorders>
            <w:shd w:val="clear" w:color="auto" w:fill="DCE2EF"/>
          </w:tcPr>
          <w:p>
            <w:pPr>
              <w:spacing w:after="0"/>
              <w:rPr>
                <w:sz w:val="22"/>
                <w:szCs w:val="22"/>
                <w:color w:val="auto"/>
              </w:rPr>
            </w:pP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7"/>
        </w:trPr>
        <w:tc>
          <w:tcPr>
            <w:tcW w:w="3540" w:type="dxa"/>
            <w:vAlign w:val="bottom"/>
            <w:tcBorders>
              <w:bottom w:val="single" w:sz="8" w:color="DCE2EF"/>
            </w:tcBorders>
            <w:shd w:val="clear" w:color="auto" w:fill="DCE2EF"/>
          </w:tcPr>
          <w:p>
            <w:pPr>
              <w:ind w:left="40"/>
              <w:spacing w:after="0"/>
              <w:rPr>
                <w:sz w:val="20"/>
                <w:szCs w:val="20"/>
                <w:color w:val="auto"/>
              </w:rPr>
            </w:pPr>
            <w:r>
              <w:rPr>
                <w:rFonts w:ascii="Arial" w:cs="Arial" w:eastAsia="Arial" w:hAnsi="Arial"/>
                <w:sz w:val="18"/>
                <w:szCs w:val="18"/>
                <w:color w:val="auto"/>
                <w:shd w:val="clear" w:color="auto" w:fill="DCE2EF"/>
              </w:rPr>
              <w:t>Exercised</w:t>
            </w:r>
          </w:p>
        </w:tc>
        <w:tc>
          <w:tcPr>
            <w:tcW w:w="18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shd w:val="clear" w:color="auto" w:fill="DCE2EF"/>
          </w:tcPr>
          <w:p>
            <w:pPr>
              <w:spacing w:after="0"/>
              <w:rPr>
                <w:sz w:val="24"/>
                <w:szCs w:val="24"/>
                <w:color w:val="auto"/>
              </w:rPr>
            </w:pPr>
          </w:p>
        </w:tc>
        <w:tc>
          <w:tcPr>
            <w:tcW w:w="120" w:type="dxa"/>
            <w:vAlign w:val="bottom"/>
            <w:tcBorders>
              <w:bottom w:val="single" w:sz="8" w:color="DCE2EF"/>
            </w:tcBorders>
            <w:shd w:val="clear" w:color="auto" w:fill="DCE2EF"/>
          </w:tcPr>
          <w:p>
            <w:pPr>
              <w:spacing w:after="0"/>
              <w:rPr>
                <w:sz w:val="24"/>
                <w:szCs w:val="24"/>
                <w:color w:val="auto"/>
              </w:rPr>
            </w:pPr>
          </w:p>
        </w:tc>
        <w:tc>
          <w:tcPr>
            <w:tcW w:w="17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DCE2EF"/>
            </w:tcBorders>
            <w:shd w:val="clear" w:color="auto" w:fill="DCE2EF"/>
          </w:tcPr>
          <w:p>
            <w:pPr>
              <w:spacing w:after="0"/>
              <w:rPr>
                <w:sz w:val="24"/>
                <w:szCs w:val="24"/>
                <w:color w:val="auto"/>
              </w:rPr>
            </w:pPr>
          </w:p>
        </w:tc>
        <w:tc>
          <w:tcPr>
            <w:tcW w:w="1920" w:type="dxa"/>
            <w:vAlign w:val="bottom"/>
            <w:tcBorders>
              <w:bottom w:val="single" w:sz="8" w:color="DCE2EF"/>
            </w:tcBorders>
            <w:shd w:val="clear" w:color="auto" w:fill="DCE2EF"/>
          </w:tcPr>
          <w:p>
            <w:pPr>
              <w:spacing w:after="0"/>
              <w:rPr>
                <w:sz w:val="24"/>
                <w:szCs w:val="24"/>
                <w:color w:val="auto"/>
              </w:rPr>
            </w:pPr>
          </w:p>
        </w:tc>
        <w:tc>
          <w:tcPr>
            <w:tcW w:w="120" w:type="dxa"/>
            <w:vAlign w:val="bottom"/>
            <w:tcBorders>
              <w:bottom w:val="single" w:sz="8" w:color="DCE2EF"/>
            </w:tcBorders>
            <w:shd w:val="clear" w:color="auto" w:fill="DCE2EF"/>
          </w:tcPr>
          <w:p>
            <w:pPr>
              <w:spacing w:after="0"/>
              <w:rPr>
                <w:sz w:val="24"/>
                <w:szCs w:val="24"/>
                <w:color w:val="auto"/>
              </w:rPr>
            </w:pPr>
          </w:p>
        </w:tc>
        <w:tc>
          <w:tcPr>
            <w:tcW w:w="120" w:type="dxa"/>
            <w:vAlign w:val="bottom"/>
            <w:tcBorders>
              <w:bottom w:val="single" w:sz="8" w:color="DCE2EF"/>
            </w:tcBorders>
            <w:shd w:val="clear" w:color="auto" w:fill="DCE2EF"/>
          </w:tcPr>
          <w:p>
            <w:pPr>
              <w:spacing w:after="0"/>
              <w:rPr>
                <w:sz w:val="24"/>
                <w:szCs w:val="24"/>
                <w:color w:val="auto"/>
              </w:rPr>
            </w:pPr>
          </w:p>
        </w:tc>
        <w:tc>
          <w:tcPr>
            <w:tcW w:w="1820" w:type="dxa"/>
            <w:vAlign w:val="bottom"/>
            <w:tcBorders>
              <w:bottom w:val="single" w:sz="8" w:color="DCE2EF"/>
            </w:tcBorders>
            <w:shd w:val="clear" w:color="auto" w:fill="DCE2EF"/>
          </w:tcPr>
          <w:p>
            <w:pPr>
              <w:spacing w:after="0"/>
              <w:rPr>
                <w:sz w:val="24"/>
                <w:szCs w:val="24"/>
                <w:color w:val="auto"/>
              </w:rPr>
            </w:pPr>
          </w:p>
        </w:tc>
      </w:tr>
      <w:tr>
        <w:trPr>
          <w:trHeight w:val="244"/>
        </w:trPr>
        <w:tc>
          <w:tcPr>
            <w:tcW w:w="3540" w:type="dxa"/>
            <w:vAlign w:val="bottom"/>
            <w:tcBorders>
              <w:bottom w:val="single" w:sz="8" w:color="DCE2EF"/>
            </w:tcBorders>
          </w:tcPr>
          <w:p>
            <w:pPr>
              <w:ind w:left="40"/>
              <w:spacing w:after="0"/>
              <w:rPr>
                <w:sz w:val="20"/>
                <w:szCs w:val="20"/>
                <w:color w:val="auto"/>
              </w:rPr>
            </w:pPr>
            <w:r>
              <w:rPr>
                <w:rFonts w:ascii="Arial" w:cs="Arial" w:eastAsia="Arial" w:hAnsi="Arial"/>
                <w:sz w:val="18"/>
                <w:szCs w:val="18"/>
                <w:color w:val="auto"/>
              </w:rPr>
              <w:t>Outstanding at October 31, 2018</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DCE2E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DCE2EF"/>
            </w:tcBorders>
          </w:tcPr>
          <w:p>
            <w:pPr>
              <w:spacing w:after="0"/>
              <w:rPr>
                <w:sz w:val="21"/>
                <w:szCs w:val="21"/>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DCE2E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250"/>
        </w:trPr>
        <w:tc>
          <w:tcPr>
            <w:tcW w:w="3540" w:type="dxa"/>
            <w:vAlign w:val="bottom"/>
            <w:shd w:val="clear" w:color="auto" w:fill="DCE2EF"/>
          </w:tcPr>
          <w:p>
            <w:pPr>
              <w:ind w:left="40"/>
              <w:spacing w:after="0"/>
              <w:rPr>
                <w:sz w:val="20"/>
                <w:szCs w:val="20"/>
                <w:color w:val="auto"/>
              </w:rPr>
            </w:pPr>
            <w:r>
              <w:rPr>
                <w:rFonts w:ascii="Arial" w:cs="Arial" w:eastAsia="Arial" w:hAnsi="Arial"/>
                <w:sz w:val="18"/>
                <w:szCs w:val="18"/>
                <w:color w:val="auto"/>
              </w:rPr>
              <w:t>Exercisable at October 31, 2018</w:t>
            </w:r>
          </w:p>
        </w:tc>
        <w:tc>
          <w:tcPr>
            <w:tcW w:w="184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DCE2EF"/>
          </w:tcPr>
          <w:p>
            <w:pPr>
              <w:spacing w:after="0"/>
              <w:rPr>
                <w:sz w:val="21"/>
                <w:szCs w:val="21"/>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DCE2EF"/>
          </w:tcPr>
          <w:p>
            <w:pPr>
              <w:spacing w:after="0"/>
              <w:rPr>
                <w:sz w:val="21"/>
                <w:szCs w:val="21"/>
                <w:color w:val="auto"/>
              </w:rPr>
            </w:pPr>
          </w:p>
        </w:tc>
        <w:tc>
          <w:tcPr>
            <w:tcW w:w="1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CE2EF"/>
          </w:tcPr>
          <w:p>
            <w:pPr>
              <w:spacing w:after="0"/>
              <w:rPr>
                <w:sz w:val="21"/>
                <w:szCs w:val="21"/>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11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Excludes contractual terms associated with plans prior to the 2006 Equity Plan due to the uncertainty of expiration.</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Amount by which the current market price of our common stock on October 31, 2018 exceeds the exercise price.</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2018, we had no unrecognized compensation cost related to stock option grants. For 2018, 2017, and 2016, the total intrinsic value of stock options exercised was $0.6 million, $2.6 million, and $3.4 million, respectively. In 2018 no stock options vested. In 2017 and 2016, the total grant date fair value of stock options vested was $0.2 million and $1.7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Employee Stock Purchase Plan</w:t>
      </w:r>
    </w:p>
    <w:p>
      <w:pPr>
        <w:spacing w:after="0" w:line="33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28575</wp:posOffset>
            </wp:positionV>
            <wp:extent cx="27616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3140" w:type="dxa"/>
            <w:vAlign w:val="bottom"/>
            <w:tcBorders>
              <w:bottom w:val="single" w:sz="8" w:color="DCE2EF"/>
            </w:tcBorders>
          </w:tcPr>
          <w:p>
            <w:pPr>
              <w:spacing w:after="0" w:line="20" w:lineRule="exact"/>
              <w:rPr>
                <w:sz w:val="1"/>
                <w:szCs w:val="1"/>
                <w:color w:val="auto"/>
              </w:rPr>
            </w:pPr>
          </w:p>
        </w:tc>
        <w:tc>
          <w:tcPr>
            <w:tcW w:w="16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4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Weighted-average fair value of granted purchase rights per share</w:t>
            </w:r>
          </w:p>
        </w:tc>
        <w:tc>
          <w:tcPr>
            <w:tcW w:w="1960" w:type="dxa"/>
            <w:vAlign w:val="bottom"/>
            <w:gridSpan w:val="2"/>
            <w:shd w:val="clear" w:color="auto" w:fill="DCE2E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1.63</w:t>
            </w:r>
          </w:p>
        </w:tc>
      </w:tr>
      <w:tr>
        <w:trPr>
          <w:trHeight w:val="26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Common stock issued</w:t>
            </w:r>
          </w:p>
        </w:tc>
        <w:tc>
          <w:tcPr>
            <w:tcW w:w="1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7"/>
        </w:trPr>
        <w:tc>
          <w:tcPr>
            <w:tcW w:w="54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Fair value of common stock issued per share</w:t>
            </w:r>
          </w:p>
        </w:tc>
        <w:tc>
          <w:tcPr>
            <w:tcW w:w="1960" w:type="dxa"/>
            <w:vAlign w:val="bottom"/>
            <w:gridSpan w:val="2"/>
            <w:shd w:val="clear" w:color="auto" w:fill="DCE2E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32.34</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30.94</w:t>
            </w:r>
          </w:p>
        </w:tc>
      </w:tr>
      <w:tr>
        <w:trPr>
          <w:trHeight w:val="257"/>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Aggregate purchases</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635"/>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60" w:type="dxa"/>
            <w:vAlign w:val="bottom"/>
          </w:tcPr>
          <w:p>
            <w:pPr>
              <w:jc w:val="right"/>
              <w:ind w:right="117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0046AD"/>
        </w:rPr>
        <w:t>17.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Geographic Sources of Income from Continuing Operations Before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9"/>
          </w:tcPr>
          <w:p>
            <w:pPr>
              <w:jc w:val="center"/>
              <w:ind w:left="730"/>
              <w:spacing w:after="0"/>
              <w:rPr>
                <w:sz w:val="20"/>
                <w:szCs w:val="20"/>
                <w:color w:val="auto"/>
              </w:rPr>
            </w:pPr>
            <w:r>
              <w:rPr>
                <w:rFonts w:ascii="Arial" w:cs="Arial" w:eastAsia="Arial" w:hAnsi="Arial"/>
                <w:sz w:val="18"/>
                <w:szCs w:val="18"/>
                <w:b w:val="1"/>
                <w:bCs w:val="1"/>
                <w:color w:val="auto"/>
                <w:w w:val="99"/>
              </w:rPr>
              <w:t>Years Ended October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40" w:type="dxa"/>
            <w:vAlign w:val="bottom"/>
            <w:gridSpan w:val="5"/>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40" w:type="dxa"/>
            <w:vAlign w:val="bottom"/>
            <w:tcBorders>
              <w:bottom w:val="single" w:sz="8" w:color="DCE2EF"/>
            </w:tcBorders>
          </w:tcPr>
          <w:p>
            <w:pPr>
              <w:spacing w:after="0" w:line="20" w:lineRule="exact"/>
              <w:rPr>
                <w:sz w:val="1"/>
                <w:szCs w:val="1"/>
                <w:color w:val="auto"/>
              </w:rPr>
            </w:pPr>
          </w:p>
        </w:tc>
        <w:tc>
          <w:tcPr>
            <w:tcW w:w="49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740" w:type="dxa"/>
            <w:vAlign w:val="bottom"/>
            <w:gridSpan w:val="5"/>
            <w:shd w:val="clear" w:color="auto" w:fill="DCE2E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94.8</w:t>
            </w:r>
          </w:p>
        </w:tc>
        <w:tc>
          <w:tcPr>
            <w:tcW w:w="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DCE2EF"/>
          </w:tcPr>
          <w:p>
            <w:pPr>
              <w:jc w:val="right"/>
              <w:ind w:right="10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DCE2EF"/>
            </w:tcBorders>
            <w:gridSpan w:val="5"/>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DCE2EF"/>
            </w:tcBorders>
            <w:gridSpan w:val="5"/>
            <w:shd w:val="clear" w:color="auto" w:fill="DCE2EF"/>
          </w:tcPr>
          <w:p>
            <w:pPr>
              <w:ind w:left="4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34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87.7</w:t>
            </w:r>
          </w:p>
        </w:tc>
        <w:tc>
          <w:tcPr>
            <w:tcW w:w="40" w:type="dxa"/>
            <w:vAlign w:val="bottom"/>
            <w:tcBorders>
              <w:bottom w:val="single" w:sz="8" w:color="auto"/>
            </w:tcBorders>
            <w:shd w:val="clear" w:color="auto" w:fill="DCE2EF"/>
          </w:tcPr>
          <w:p>
            <w:pPr>
              <w:spacing w:after="0"/>
              <w:rPr>
                <w:sz w:val="22"/>
                <w:szCs w:val="22"/>
                <w:color w:val="auto"/>
              </w:rPr>
            </w:pPr>
          </w:p>
        </w:tc>
        <w:tc>
          <w:tcPr>
            <w:tcW w:w="100" w:type="dxa"/>
            <w:vAlign w:val="bottom"/>
            <w:tcBorders>
              <w:bottom w:val="single" w:sz="8" w:color="DCE2EF"/>
            </w:tcBorders>
            <w:shd w:val="clear" w:color="auto" w:fill="DCE2EF"/>
          </w:tcPr>
          <w:p>
            <w:pPr>
              <w:spacing w:after="0"/>
              <w:rPr>
                <w:sz w:val="22"/>
                <w:szCs w:val="22"/>
                <w:color w:val="auto"/>
              </w:rPr>
            </w:pPr>
          </w:p>
        </w:tc>
        <w:tc>
          <w:tcPr>
            <w:tcW w:w="280" w:type="dxa"/>
            <w:vAlign w:val="bottom"/>
            <w:tcBorders>
              <w:bottom w:val="single" w:sz="8" w:color="auto"/>
            </w:tcBorders>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DCE2EF"/>
          </w:tcPr>
          <w:p>
            <w:pPr>
              <w:jc w:val="right"/>
              <w:ind w:right="100"/>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6740" w:type="dxa"/>
            <w:vAlign w:val="bottom"/>
            <w:gridSpan w:val="5"/>
            <w:vMerge w:val="restart"/>
          </w:tcPr>
          <w:p>
            <w:pPr>
              <w:spacing w:after="0"/>
              <w:rPr>
                <w:sz w:val="20"/>
                <w:szCs w:val="20"/>
                <w:color w:val="auto"/>
              </w:rPr>
            </w:pPr>
            <w:r>
              <w:rPr>
                <w:rFonts w:ascii="Arial" w:cs="Arial" w:eastAsia="Arial" w:hAnsi="Arial"/>
                <w:sz w:val="18"/>
                <w:szCs w:val="18"/>
                <w:b w:val="1"/>
                <w:bCs w:val="1"/>
                <w:color w:val="0046AD"/>
              </w:rPr>
              <w:t>Components of Income Tax Benefit (Provision)</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center"/>
              <w:ind w:left="730"/>
              <w:spacing w:after="0"/>
              <w:rPr>
                <w:sz w:val="20"/>
                <w:szCs w:val="20"/>
                <w:color w:val="auto"/>
              </w:rPr>
            </w:pPr>
            <w:r>
              <w:rPr>
                <w:rFonts w:ascii="Arial" w:cs="Arial" w:eastAsia="Arial" w:hAnsi="Arial"/>
                <w:sz w:val="18"/>
                <w:szCs w:val="18"/>
                <w:b w:val="1"/>
                <w:bCs w:val="1"/>
                <w:color w:val="auto"/>
                <w:w w:val="99"/>
              </w:rPr>
              <w:t>Years Ended October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40" w:type="dxa"/>
            <w:vAlign w:val="bottom"/>
            <w:gridSpan w:val="5"/>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40" w:type="dxa"/>
            <w:vAlign w:val="bottom"/>
            <w:tcBorders>
              <w:bottom w:val="single" w:sz="8" w:color="DCE2EF"/>
            </w:tcBorders>
          </w:tcPr>
          <w:p>
            <w:pPr>
              <w:spacing w:after="0" w:line="20" w:lineRule="exact"/>
              <w:rPr>
                <w:sz w:val="1"/>
                <w:szCs w:val="1"/>
                <w:color w:val="auto"/>
              </w:rPr>
            </w:pPr>
          </w:p>
        </w:tc>
        <w:tc>
          <w:tcPr>
            <w:tcW w:w="49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15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i w:val="1"/>
                <w:iCs w:val="1"/>
                <w:color w:val="auto"/>
                <w:shd w:val="clear" w:color="auto" w:fill="DCE2EF"/>
              </w:rPr>
              <w:t>Current:</w:t>
            </w:r>
          </w:p>
        </w:tc>
        <w:tc>
          <w:tcPr>
            <w:tcW w:w="4920" w:type="dxa"/>
            <w:vAlign w:val="bottom"/>
            <w:tcBorders>
              <w:bottom w:val="single" w:sz="8" w:color="DCE2EF"/>
            </w:tcBorders>
            <w:shd w:val="clear" w:color="auto" w:fill="DCE2EF"/>
          </w:tcPr>
          <w:p>
            <w:pPr>
              <w:spacing w:after="0"/>
              <w:rPr>
                <w:sz w:val="21"/>
                <w:szCs w:val="21"/>
                <w:color w:val="auto"/>
              </w:rPr>
            </w:pPr>
          </w:p>
        </w:tc>
        <w:tc>
          <w:tcPr>
            <w:tcW w:w="24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DCE2EF"/>
            </w:tcBorders>
            <w:shd w:val="clear" w:color="auto" w:fill="DCE2EF"/>
          </w:tcPr>
          <w:p>
            <w:pPr>
              <w:spacing w:after="0"/>
              <w:rPr>
                <w:sz w:val="21"/>
                <w:szCs w:val="21"/>
                <w:color w:val="auto"/>
              </w:rPr>
            </w:pPr>
          </w:p>
        </w:tc>
        <w:tc>
          <w:tcPr>
            <w:tcW w:w="100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4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280" w:type="dxa"/>
            <w:vAlign w:val="bottom"/>
            <w:tcBorders>
              <w:bottom w:val="single" w:sz="8" w:color="DCE2EF"/>
            </w:tcBorders>
            <w:shd w:val="clear" w:color="auto" w:fill="DCE2EF"/>
          </w:tcPr>
          <w:p>
            <w:pPr>
              <w:spacing w:after="0"/>
              <w:rPr>
                <w:sz w:val="21"/>
                <w:szCs w:val="21"/>
                <w:color w:val="auto"/>
              </w:rPr>
            </w:pPr>
          </w:p>
        </w:tc>
        <w:tc>
          <w:tcPr>
            <w:tcW w:w="110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DCE2EF"/>
            </w:tcBorders>
            <w:shd w:val="clear" w:color="auto" w:fill="DCE2EF"/>
          </w:tcPr>
          <w:p>
            <w:pPr>
              <w:spacing w:after="0"/>
              <w:rPr>
                <w:sz w:val="21"/>
                <w:szCs w:val="21"/>
                <w:color w:val="auto"/>
              </w:rPr>
            </w:pPr>
          </w:p>
        </w:tc>
        <w:tc>
          <w:tcPr>
            <w:tcW w:w="1120" w:type="dxa"/>
            <w:vAlign w:val="bottom"/>
            <w:tcBorders>
              <w:bottom w:val="single" w:sz="8" w:color="DCE2EF"/>
            </w:tcBorders>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4"/>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700" w:type="dxa"/>
            <w:vAlign w:val="bottom"/>
            <w:tcBorders>
              <w:bottom w:val="single" w:sz="8" w:color="DCE2EF"/>
            </w:tcBorders>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State</w:t>
            </w:r>
          </w:p>
        </w:tc>
        <w:tc>
          <w:tcPr>
            <w:tcW w:w="840" w:type="dxa"/>
            <w:vAlign w:val="bottom"/>
            <w:tcBorders>
              <w:bottom w:val="single" w:sz="8" w:color="DCE2EF"/>
            </w:tcBorders>
            <w:shd w:val="clear" w:color="auto" w:fill="DCE2EF"/>
          </w:tcPr>
          <w:p>
            <w:pPr>
              <w:spacing w:after="0"/>
              <w:rPr>
                <w:sz w:val="22"/>
                <w:szCs w:val="22"/>
                <w:color w:val="auto"/>
              </w:rPr>
            </w:pPr>
          </w:p>
        </w:tc>
        <w:tc>
          <w:tcPr>
            <w:tcW w:w="4920" w:type="dxa"/>
            <w:vAlign w:val="bottom"/>
            <w:tcBorders>
              <w:bottom w:val="single" w:sz="8" w:color="DCE2EF"/>
            </w:tcBorders>
            <w:shd w:val="clear" w:color="auto" w:fill="DCE2EF"/>
          </w:tcPr>
          <w:p>
            <w:pPr>
              <w:spacing w:after="0"/>
              <w:rPr>
                <w:sz w:val="22"/>
                <w:szCs w:val="22"/>
                <w:color w:val="auto"/>
              </w:rPr>
            </w:pPr>
          </w:p>
        </w:tc>
        <w:tc>
          <w:tcPr>
            <w:tcW w:w="24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120" w:type="dxa"/>
            <w:vAlign w:val="bottom"/>
            <w:tcBorders>
              <w:bottom w:val="single" w:sz="8" w:color="DCE2EF"/>
            </w:tcBorders>
            <w:gridSpan w:val="2"/>
            <w:shd w:val="clear" w:color="auto" w:fill="DCE2EF"/>
          </w:tcPr>
          <w:p>
            <w:pPr>
              <w:jc w:val="right"/>
              <w:ind w:right="20"/>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DCE2EF"/>
            </w:tcBorders>
            <w:shd w:val="clear" w:color="auto" w:fill="DCE2EF"/>
          </w:tcPr>
          <w:p>
            <w:pPr>
              <w:spacing w:after="0"/>
              <w:rPr>
                <w:sz w:val="22"/>
                <w:szCs w:val="22"/>
                <w:color w:val="auto"/>
              </w:rPr>
            </w:pPr>
          </w:p>
        </w:tc>
        <w:tc>
          <w:tcPr>
            <w:tcW w:w="100" w:type="dxa"/>
            <w:vAlign w:val="bottom"/>
            <w:tcBorders>
              <w:bottom w:val="single" w:sz="8" w:color="DCE2EF"/>
            </w:tcBorders>
            <w:shd w:val="clear" w:color="auto" w:fill="DCE2EF"/>
          </w:tcPr>
          <w:p>
            <w:pPr>
              <w:spacing w:after="0"/>
              <w:rPr>
                <w:sz w:val="22"/>
                <w:szCs w:val="22"/>
                <w:color w:val="auto"/>
              </w:rPr>
            </w:pPr>
          </w:p>
        </w:tc>
        <w:tc>
          <w:tcPr>
            <w:tcW w:w="280" w:type="dxa"/>
            <w:vAlign w:val="bottom"/>
            <w:tcBorders>
              <w:bottom w:val="single" w:sz="8" w:color="DCE2EF"/>
            </w:tcBorders>
            <w:shd w:val="clear" w:color="auto" w:fill="DCE2EF"/>
          </w:tcPr>
          <w:p>
            <w:pPr>
              <w:spacing w:after="0"/>
              <w:rPr>
                <w:sz w:val="22"/>
                <w:szCs w:val="22"/>
                <w:color w:val="auto"/>
              </w:rPr>
            </w:pPr>
          </w:p>
        </w:tc>
        <w:tc>
          <w:tcPr>
            <w:tcW w:w="1200" w:type="dxa"/>
            <w:vAlign w:val="bottom"/>
            <w:tcBorders>
              <w:bottom w:val="single" w:sz="8" w:color="DCE2EF"/>
            </w:tcBorders>
            <w:gridSpan w:val="2"/>
            <w:shd w:val="clear" w:color="auto" w:fill="DCE2EF"/>
          </w:tcPr>
          <w:p>
            <w:pPr>
              <w:jc w:val="right"/>
              <w:ind w:right="4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1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4"/>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15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i w:val="1"/>
                <w:iCs w:val="1"/>
                <w:color w:val="auto"/>
                <w:shd w:val="clear" w:color="auto" w:fill="DCE2EF"/>
              </w:rPr>
              <w:t>Deferred:</w:t>
            </w:r>
          </w:p>
        </w:tc>
        <w:tc>
          <w:tcPr>
            <w:tcW w:w="4920" w:type="dxa"/>
            <w:vAlign w:val="bottom"/>
            <w:tcBorders>
              <w:bottom w:val="single" w:sz="8" w:color="DCE2EF"/>
            </w:tcBorders>
            <w:shd w:val="clear" w:color="auto" w:fill="DCE2EF"/>
          </w:tcPr>
          <w:p>
            <w:pPr>
              <w:spacing w:after="0"/>
              <w:rPr>
                <w:sz w:val="22"/>
                <w:szCs w:val="22"/>
                <w:color w:val="auto"/>
              </w:rPr>
            </w:pPr>
          </w:p>
        </w:tc>
        <w:tc>
          <w:tcPr>
            <w:tcW w:w="24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000" w:type="dxa"/>
            <w:vAlign w:val="bottom"/>
            <w:tcBorders>
              <w:bottom w:val="single" w:sz="8" w:color="DCE2EF"/>
            </w:tcBorders>
            <w:shd w:val="clear" w:color="auto" w:fill="DCE2EF"/>
          </w:tcPr>
          <w:p>
            <w:pPr>
              <w:spacing w:after="0"/>
              <w:rPr>
                <w:sz w:val="22"/>
                <w:szCs w:val="22"/>
                <w:color w:val="auto"/>
              </w:rPr>
            </w:pPr>
          </w:p>
        </w:tc>
        <w:tc>
          <w:tcPr>
            <w:tcW w:w="120" w:type="dxa"/>
            <w:vAlign w:val="bottom"/>
            <w:tcBorders>
              <w:bottom w:val="single" w:sz="8" w:color="DCE2EF"/>
            </w:tcBorders>
            <w:shd w:val="clear" w:color="auto" w:fill="DCE2EF"/>
          </w:tcPr>
          <w:p>
            <w:pPr>
              <w:spacing w:after="0"/>
              <w:rPr>
                <w:sz w:val="22"/>
                <w:szCs w:val="22"/>
                <w:color w:val="auto"/>
              </w:rPr>
            </w:pPr>
          </w:p>
        </w:tc>
        <w:tc>
          <w:tcPr>
            <w:tcW w:w="40" w:type="dxa"/>
            <w:vAlign w:val="bottom"/>
            <w:tcBorders>
              <w:bottom w:val="single" w:sz="8" w:color="DCE2EF"/>
            </w:tcBorders>
            <w:shd w:val="clear" w:color="auto" w:fill="DCE2EF"/>
          </w:tcPr>
          <w:p>
            <w:pPr>
              <w:spacing w:after="0"/>
              <w:rPr>
                <w:sz w:val="22"/>
                <w:szCs w:val="22"/>
                <w:color w:val="auto"/>
              </w:rPr>
            </w:pPr>
          </w:p>
        </w:tc>
        <w:tc>
          <w:tcPr>
            <w:tcW w:w="100" w:type="dxa"/>
            <w:vAlign w:val="bottom"/>
            <w:tcBorders>
              <w:bottom w:val="single" w:sz="8" w:color="DCE2EF"/>
            </w:tcBorders>
            <w:shd w:val="clear" w:color="auto" w:fill="DCE2EF"/>
          </w:tcPr>
          <w:p>
            <w:pPr>
              <w:spacing w:after="0"/>
              <w:rPr>
                <w:sz w:val="22"/>
                <w:szCs w:val="22"/>
                <w:color w:val="auto"/>
              </w:rPr>
            </w:pPr>
          </w:p>
        </w:tc>
        <w:tc>
          <w:tcPr>
            <w:tcW w:w="28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DCE2EF"/>
            </w:tcBorders>
            <w:shd w:val="clear" w:color="auto" w:fill="DCE2EF"/>
          </w:tcPr>
          <w:p>
            <w:pPr>
              <w:spacing w:after="0"/>
              <w:rPr>
                <w:sz w:val="22"/>
                <w:szCs w:val="22"/>
                <w:color w:val="auto"/>
              </w:rPr>
            </w:pPr>
          </w:p>
        </w:tc>
        <w:tc>
          <w:tcPr>
            <w:tcW w:w="100" w:type="dxa"/>
            <w:vAlign w:val="bottom"/>
            <w:tcBorders>
              <w:bottom w:val="single" w:sz="8" w:color="DCE2EF"/>
            </w:tcBorders>
            <w:shd w:val="clear" w:color="auto" w:fill="DCE2EF"/>
          </w:tcPr>
          <w:p>
            <w:pPr>
              <w:spacing w:after="0"/>
              <w:rPr>
                <w:sz w:val="22"/>
                <w:szCs w:val="22"/>
                <w:color w:val="auto"/>
              </w:rPr>
            </w:pP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120" w:type="dxa"/>
            <w:vAlign w:val="bottom"/>
            <w:tcBorders>
              <w:bottom w:val="single" w:sz="8" w:color="DCE2EF"/>
            </w:tcBorders>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4"/>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700" w:type="dxa"/>
            <w:vAlign w:val="bottom"/>
            <w:tcBorders>
              <w:bottom w:val="single" w:sz="8" w:color="DCE2EF"/>
            </w:tcBorders>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State</w:t>
            </w:r>
          </w:p>
        </w:tc>
        <w:tc>
          <w:tcPr>
            <w:tcW w:w="840" w:type="dxa"/>
            <w:vAlign w:val="bottom"/>
            <w:tcBorders>
              <w:bottom w:val="single" w:sz="8" w:color="DCE2EF"/>
            </w:tcBorders>
            <w:shd w:val="clear" w:color="auto" w:fill="DCE2EF"/>
          </w:tcPr>
          <w:p>
            <w:pPr>
              <w:spacing w:after="0"/>
              <w:rPr>
                <w:sz w:val="22"/>
                <w:szCs w:val="22"/>
                <w:color w:val="auto"/>
              </w:rPr>
            </w:pPr>
          </w:p>
        </w:tc>
        <w:tc>
          <w:tcPr>
            <w:tcW w:w="4920" w:type="dxa"/>
            <w:vAlign w:val="bottom"/>
            <w:tcBorders>
              <w:bottom w:val="single" w:sz="8" w:color="DCE2EF"/>
            </w:tcBorders>
            <w:shd w:val="clear" w:color="auto" w:fill="DCE2EF"/>
          </w:tcPr>
          <w:p>
            <w:pPr>
              <w:spacing w:after="0"/>
              <w:rPr>
                <w:sz w:val="22"/>
                <w:szCs w:val="22"/>
                <w:color w:val="auto"/>
              </w:rPr>
            </w:pPr>
          </w:p>
        </w:tc>
        <w:tc>
          <w:tcPr>
            <w:tcW w:w="24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120" w:type="dxa"/>
            <w:vAlign w:val="bottom"/>
            <w:tcBorders>
              <w:bottom w:val="single" w:sz="8" w:color="DCE2EF"/>
            </w:tcBorders>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DCE2EF"/>
            </w:tcBorders>
            <w:shd w:val="clear" w:color="auto" w:fill="DCE2EF"/>
          </w:tcPr>
          <w:p>
            <w:pPr>
              <w:spacing w:after="0"/>
              <w:rPr>
                <w:sz w:val="22"/>
                <w:szCs w:val="22"/>
                <w:color w:val="auto"/>
              </w:rPr>
            </w:pPr>
          </w:p>
        </w:tc>
        <w:tc>
          <w:tcPr>
            <w:tcW w:w="100" w:type="dxa"/>
            <w:vAlign w:val="bottom"/>
            <w:tcBorders>
              <w:bottom w:val="single" w:sz="8" w:color="DCE2EF"/>
            </w:tcBorders>
            <w:shd w:val="clear" w:color="auto" w:fill="DCE2EF"/>
          </w:tcPr>
          <w:p>
            <w:pPr>
              <w:spacing w:after="0"/>
              <w:rPr>
                <w:sz w:val="22"/>
                <w:szCs w:val="22"/>
                <w:color w:val="auto"/>
              </w:rPr>
            </w:pPr>
          </w:p>
        </w:tc>
        <w:tc>
          <w:tcPr>
            <w:tcW w:w="280" w:type="dxa"/>
            <w:vAlign w:val="bottom"/>
            <w:tcBorders>
              <w:bottom w:val="single" w:sz="8" w:color="DCE2EF"/>
            </w:tcBorders>
            <w:shd w:val="clear" w:color="auto" w:fill="DCE2EF"/>
          </w:tcPr>
          <w:p>
            <w:pPr>
              <w:spacing w:after="0"/>
              <w:rPr>
                <w:sz w:val="22"/>
                <w:szCs w:val="22"/>
                <w:color w:val="auto"/>
              </w:rPr>
            </w:pPr>
          </w:p>
        </w:tc>
        <w:tc>
          <w:tcPr>
            <w:tcW w:w="1200" w:type="dxa"/>
            <w:vAlign w:val="bottom"/>
            <w:tcBorders>
              <w:bottom w:val="single" w:sz="8" w:color="DCE2EF"/>
            </w:tcBorders>
            <w:gridSpan w:val="2"/>
            <w:shd w:val="clear" w:color="auto" w:fill="DCE2E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1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6700" w:type="dxa"/>
            <w:vAlign w:val="bottom"/>
            <w:tcBorders>
              <w:bottom w:val="single" w:sz="8" w:color="DCE2EF"/>
            </w:tcBorders>
            <w:gridSpan w:val="4"/>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DCE2EF"/>
            </w:tcBorders>
            <w:gridSpan w:val="5"/>
            <w:shd w:val="clear" w:color="auto" w:fill="DCE2EF"/>
          </w:tcPr>
          <w:p>
            <w:pPr>
              <w:ind w:left="40"/>
              <w:spacing w:after="0"/>
              <w:rPr>
                <w:sz w:val="20"/>
                <w:szCs w:val="20"/>
                <w:color w:val="auto"/>
              </w:rPr>
            </w:pPr>
            <w:r>
              <w:rPr>
                <w:rFonts w:ascii="Arial" w:cs="Arial" w:eastAsia="Arial" w:hAnsi="Arial"/>
                <w:sz w:val="18"/>
                <w:szCs w:val="18"/>
                <w:b w:val="1"/>
                <w:bCs w:val="1"/>
                <w:color w:val="auto"/>
              </w:rPr>
              <w:t>Income tax benefit (provision)</w:t>
            </w:r>
          </w:p>
        </w:tc>
        <w:tc>
          <w:tcPr>
            <w:tcW w:w="34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8.2</w:t>
            </w:r>
          </w:p>
        </w:tc>
        <w:tc>
          <w:tcPr>
            <w:tcW w:w="40" w:type="dxa"/>
            <w:vAlign w:val="bottom"/>
            <w:tcBorders>
              <w:bottom w:val="single" w:sz="8" w:color="auto"/>
            </w:tcBorders>
            <w:shd w:val="clear" w:color="auto" w:fill="DCE2EF"/>
          </w:tcPr>
          <w:p>
            <w:pPr>
              <w:spacing w:after="0"/>
              <w:rPr>
                <w:sz w:val="22"/>
                <w:szCs w:val="22"/>
                <w:color w:val="auto"/>
              </w:rPr>
            </w:pPr>
          </w:p>
        </w:tc>
        <w:tc>
          <w:tcPr>
            <w:tcW w:w="100" w:type="dxa"/>
            <w:vAlign w:val="bottom"/>
            <w:tcBorders>
              <w:bottom w:val="single" w:sz="8" w:color="DCE2EF"/>
            </w:tcBorders>
            <w:shd w:val="clear" w:color="auto" w:fill="DCE2EF"/>
          </w:tcPr>
          <w:p>
            <w:pPr>
              <w:spacing w:after="0"/>
              <w:rPr>
                <w:sz w:val="22"/>
                <w:szCs w:val="22"/>
                <w:color w:val="auto"/>
              </w:rPr>
            </w:pPr>
          </w:p>
        </w:tc>
        <w:tc>
          <w:tcPr>
            <w:tcW w:w="280" w:type="dxa"/>
            <w:vAlign w:val="bottom"/>
            <w:tcBorders>
              <w:bottom w:val="single" w:sz="8" w:color="auto"/>
            </w:tcBorders>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DCE2EF"/>
          </w:tcPr>
          <w:p>
            <w:pPr>
              <w:jc w:val="right"/>
              <w:ind w:right="4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gridSpan w:val="6"/>
          </w:tcPr>
          <w:p>
            <w:pPr>
              <w:spacing w:after="0"/>
              <w:rPr>
                <w:sz w:val="20"/>
                <w:szCs w:val="20"/>
                <w:color w:val="auto"/>
              </w:rPr>
            </w:pPr>
            <w:r>
              <w:rPr>
                <w:rFonts w:ascii="Arial" w:cs="Arial" w:eastAsia="Arial" w:hAnsi="Arial"/>
                <w:sz w:val="18"/>
                <w:szCs w:val="18"/>
                <w:b w:val="1"/>
                <w:bCs w:val="1"/>
                <w:color w:val="0046AD"/>
                <w:w w:val="99"/>
              </w:rPr>
              <w:t>Reconciliation of the U.S. Statutory Tax Rate to Annual Effective Tax (Benefit) Rate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8"/>
                <w:szCs w:val="18"/>
                <w:b w:val="1"/>
                <w:bCs w:val="1"/>
                <w:color w:val="auto"/>
              </w:rPr>
              <w:t>Years Ended October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700" w:type="dxa"/>
            <w:vAlign w:val="bottom"/>
            <w:tcBorders>
              <w:bottom w:val="single" w:sz="8" w:color="DCE2EF"/>
            </w:tcBorders>
          </w:tcPr>
          <w:p>
            <w:pPr>
              <w:spacing w:after="0"/>
              <w:rPr>
                <w:sz w:val="22"/>
                <w:szCs w:val="22"/>
                <w:color w:val="auto"/>
              </w:rPr>
            </w:pPr>
          </w:p>
        </w:tc>
        <w:tc>
          <w:tcPr>
            <w:tcW w:w="840" w:type="dxa"/>
            <w:vAlign w:val="bottom"/>
            <w:tcBorders>
              <w:bottom w:val="single" w:sz="8" w:color="DCE2EF"/>
            </w:tcBorders>
          </w:tcPr>
          <w:p>
            <w:pPr>
              <w:spacing w:after="0"/>
              <w:rPr>
                <w:sz w:val="22"/>
                <w:szCs w:val="22"/>
                <w:color w:val="auto"/>
              </w:rPr>
            </w:pPr>
          </w:p>
        </w:tc>
        <w:tc>
          <w:tcPr>
            <w:tcW w:w="4920" w:type="dxa"/>
            <w:vAlign w:val="bottom"/>
            <w:tcBorders>
              <w:bottom w:val="single" w:sz="8" w:color="DCE2E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7"/>
        </w:trPr>
        <w:tc>
          <w:tcPr>
            <w:tcW w:w="40" w:type="dxa"/>
            <w:vAlign w:val="bottom"/>
            <w:tcBorders>
              <w:bottom w:val="single" w:sz="8" w:color="DCE2EF"/>
            </w:tcBorders>
            <w:shd w:val="clear" w:color="auto" w:fill="DCE2EF"/>
          </w:tcPr>
          <w:p>
            <w:pPr>
              <w:spacing w:after="0"/>
              <w:rPr>
                <w:sz w:val="20"/>
                <w:szCs w:val="20"/>
                <w:color w:val="auto"/>
              </w:rPr>
            </w:pPr>
          </w:p>
        </w:tc>
        <w:tc>
          <w:tcPr>
            <w:tcW w:w="15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w w:val="98"/>
                <w:shd w:val="clear" w:color="auto" w:fill="DCE2EF"/>
              </w:rPr>
              <w:t>U.S. statutory rate</w:t>
            </w:r>
          </w:p>
        </w:tc>
        <w:tc>
          <w:tcPr>
            <w:tcW w:w="492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DCE2EF"/>
            </w:tcBorders>
            <w:shd w:val="clear" w:color="auto" w:fill="DCE2EF"/>
          </w:tcPr>
          <w:p>
            <w:pPr>
              <w:spacing w:after="0"/>
              <w:rPr>
                <w:sz w:val="20"/>
                <w:szCs w:val="20"/>
                <w:color w:val="auto"/>
              </w:rPr>
            </w:pPr>
          </w:p>
        </w:tc>
        <w:tc>
          <w:tcPr>
            <w:tcW w:w="10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DCE2EF"/>
            </w:tcBorders>
            <w:shd w:val="clear" w:color="auto" w:fill="DCE2EF"/>
          </w:tcPr>
          <w:p>
            <w:pPr>
              <w:spacing w:after="0"/>
              <w:rPr>
                <w:sz w:val="20"/>
                <w:szCs w:val="20"/>
                <w:color w:val="auto"/>
              </w:rPr>
            </w:pPr>
          </w:p>
        </w:tc>
        <w:tc>
          <w:tcPr>
            <w:tcW w:w="4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80" w:type="dxa"/>
            <w:vAlign w:val="bottom"/>
            <w:tcBorders>
              <w:bottom w:val="single" w:sz="8" w:color="DCE2EF"/>
            </w:tcBorders>
            <w:shd w:val="clear" w:color="auto" w:fill="DCE2EF"/>
          </w:tcPr>
          <w:p>
            <w:pPr>
              <w:spacing w:after="0"/>
              <w:rPr>
                <w:sz w:val="20"/>
                <w:szCs w:val="20"/>
                <w:color w:val="auto"/>
              </w:rPr>
            </w:pPr>
          </w:p>
        </w:tc>
        <w:tc>
          <w:tcPr>
            <w:tcW w:w="11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spacing w:after="0"/>
              <w:rPr>
                <w:sz w:val="20"/>
                <w:szCs w:val="20"/>
                <w:color w:val="auto"/>
              </w:rPr>
            </w:pPr>
          </w:p>
        </w:tc>
        <w:tc>
          <w:tcPr>
            <w:tcW w:w="11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4"/>
          </w:tcPr>
          <w:p>
            <w:pPr>
              <w:ind w:left="140"/>
              <w:spacing w:after="0"/>
              <w:rPr>
                <w:sz w:val="20"/>
                <w:szCs w:val="20"/>
                <w:color w:val="auto"/>
              </w:rPr>
            </w:pPr>
            <w:r>
              <w:rPr>
                <w:rFonts w:ascii="Arial" w:cs="Arial" w:eastAsia="Arial" w:hAnsi="Arial"/>
                <w:sz w:val="18"/>
                <w:szCs w:val="18"/>
                <w:color w:val="auto"/>
              </w:rPr>
              <w:t>State and local income taxes, net of federal tax benefit</w:t>
            </w:r>
          </w:p>
        </w:tc>
        <w:tc>
          <w:tcPr>
            <w:tcW w:w="340" w:type="dxa"/>
            <w:vAlign w:val="bottom"/>
          </w:tcPr>
          <w:p>
            <w:pPr>
              <w:spacing w:after="0"/>
              <w:rPr>
                <w:sz w:val="22"/>
                <w:szCs w:val="22"/>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6460" w:type="dxa"/>
            <w:vAlign w:val="bottom"/>
            <w:tcBorders>
              <w:bottom w:val="single" w:sz="8" w:color="DCE2EF"/>
            </w:tcBorders>
            <w:gridSpan w:val="3"/>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Federal and state tax credits</w:t>
            </w:r>
          </w:p>
        </w:tc>
        <w:tc>
          <w:tcPr>
            <w:tcW w:w="24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000" w:type="dxa"/>
            <w:vAlign w:val="bottom"/>
            <w:tcBorders>
              <w:bottom w:val="single" w:sz="8" w:color="DCE2EF"/>
            </w:tcBorders>
            <w:shd w:val="clear" w:color="auto" w:fill="DCE2EF"/>
          </w:tcPr>
          <w:p>
            <w:pPr>
              <w:jc w:val="right"/>
              <w:ind w:right="1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DCE2EF"/>
            </w:tcBorders>
            <w:shd w:val="clear" w:color="auto" w:fill="DCE2EF"/>
          </w:tcPr>
          <w:p>
            <w:pPr>
              <w:spacing w:after="0"/>
              <w:rPr>
                <w:sz w:val="22"/>
                <w:szCs w:val="22"/>
                <w:color w:val="auto"/>
              </w:rPr>
            </w:pPr>
          </w:p>
        </w:tc>
        <w:tc>
          <w:tcPr>
            <w:tcW w:w="40" w:type="dxa"/>
            <w:vAlign w:val="bottom"/>
            <w:tcBorders>
              <w:bottom w:val="single" w:sz="8" w:color="DCE2EF"/>
            </w:tcBorders>
            <w:shd w:val="clear" w:color="auto" w:fill="DCE2EF"/>
          </w:tcPr>
          <w:p>
            <w:pPr>
              <w:spacing w:after="0"/>
              <w:rPr>
                <w:sz w:val="22"/>
                <w:szCs w:val="22"/>
                <w:color w:val="auto"/>
              </w:rPr>
            </w:pPr>
          </w:p>
        </w:tc>
        <w:tc>
          <w:tcPr>
            <w:tcW w:w="100" w:type="dxa"/>
            <w:vAlign w:val="bottom"/>
            <w:tcBorders>
              <w:bottom w:val="single" w:sz="8" w:color="DCE2EF"/>
            </w:tcBorders>
            <w:shd w:val="clear" w:color="auto" w:fill="DCE2EF"/>
          </w:tcPr>
          <w:p>
            <w:pPr>
              <w:spacing w:after="0"/>
              <w:rPr>
                <w:sz w:val="22"/>
                <w:szCs w:val="22"/>
                <w:color w:val="auto"/>
              </w:rPr>
            </w:pPr>
          </w:p>
        </w:tc>
        <w:tc>
          <w:tcPr>
            <w:tcW w:w="28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DCE2EF"/>
            </w:tcBorders>
            <w:shd w:val="clear" w:color="auto" w:fill="DCE2EF"/>
          </w:tcPr>
          <w:p>
            <w:pPr>
              <w:jc w:val="right"/>
              <w:ind w:right="5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DCE2EF"/>
            </w:tcBorders>
            <w:shd w:val="clear" w:color="auto" w:fill="DCE2EF"/>
          </w:tcPr>
          <w:p>
            <w:pPr>
              <w:spacing w:after="0"/>
              <w:rPr>
                <w:sz w:val="22"/>
                <w:szCs w:val="22"/>
                <w:color w:val="auto"/>
              </w:rPr>
            </w:pP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120" w:type="dxa"/>
            <w:vAlign w:val="bottom"/>
            <w:tcBorders>
              <w:bottom w:val="single" w:sz="8" w:color="DCE2EF"/>
            </w:tcBorders>
            <w:shd w:val="clear" w:color="auto" w:fill="DCE2EF"/>
          </w:tcPr>
          <w:p>
            <w:pPr>
              <w:jc w:val="right"/>
              <w:ind w:right="1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4"/>
          </w:tcPr>
          <w:p>
            <w:pPr>
              <w:ind w:left="140"/>
              <w:spacing w:after="0"/>
              <w:rPr>
                <w:sz w:val="20"/>
                <w:szCs w:val="20"/>
                <w:color w:val="auto"/>
              </w:rPr>
            </w:pPr>
            <w:r>
              <w:rPr>
                <w:rFonts w:ascii="Arial" w:cs="Arial" w:eastAsia="Arial" w:hAnsi="Arial"/>
                <w:sz w:val="18"/>
                <w:szCs w:val="18"/>
                <w:color w:val="auto"/>
              </w:rPr>
              <w:t>Impact of foreign operations</w:t>
            </w:r>
          </w:p>
        </w:tc>
        <w:tc>
          <w:tcPr>
            <w:tcW w:w="340" w:type="dxa"/>
            <w:vAlign w:val="bottom"/>
          </w:tcPr>
          <w:p>
            <w:pPr>
              <w:spacing w:after="0"/>
              <w:rPr>
                <w:sz w:val="22"/>
                <w:szCs w:val="22"/>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6460" w:type="dxa"/>
            <w:vAlign w:val="bottom"/>
            <w:tcBorders>
              <w:bottom w:val="single" w:sz="8" w:color="DCE2EF"/>
            </w:tcBorders>
            <w:gridSpan w:val="3"/>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Changes in uncertain tax positions</w:t>
            </w:r>
          </w:p>
        </w:tc>
        <w:tc>
          <w:tcPr>
            <w:tcW w:w="240" w:type="dxa"/>
            <w:vAlign w:val="bottom"/>
            <w:tcBorders>
              <w:bottom w:val="single" w:sz="8" w:color="DCE2EF"/>
            </w:tcBorders>
            <w:shd w:val="clear" w:color="auto" w:fill="DCE2EF"/>
          </w:tcPr>
          <w:p>
            <w:pPr>
              <w:spacing w:after="0"/>
              <w:rPr>
                <w:sz w:val="22"/>
                <w:szCs w:val="22"/>
                <w:color w:val="auto"/>
              </w:rPr>
            </w:pPr>
          </w:p>
        </w:tc>
        <w:tc>
          <w:tcPr>
            <w:tcW w:w="340" w:type="dxa"/>
            <w:vAlign w:val="bottom"/>
            <w:tcBorders>
              <w:bottom w:val="single" w:sz="8" w:color="DCE2EF"/>
            </w:tcBorders>
            <w:shd w:val="clear" w:color="auto" w:fill="DCE2EF"/>
          </w:tcPr>
          <w:p>
            <w:pPr>
              <w:spacing w:after="0"/>
              <w:rPr>
                <w:sz w:val="22"/>
                <w:szCs w:val="22"/>
                <w:color w:val="auto"/>
              </w:rPr>
            </w:pPr>
          </w:p>
        </w:tc>
        <w:tc>
          <w:tcPr>
            <w:tcW w:w="1000" w:type="dxa"/>
            <w:vAlign w:val="bottom"/>
            <w:tcBorders>
              <w:bottom w:val="single" w:sz="8" w:color="DCE2EF"/>
            </w:tcBorders>
            <w:shd w:val="clear" w:color="auto" w:fill="DCE2EF"/>
          </w:tcPr>
          <w:p>
            <w:pPr>
              <w:jc w:val="right"/>
              <w:ind w:right="1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DCE2EF"/>
            </w:tcBorders>
            <w:shd w:val="clear" w:color="auto" w:fill="DCE2EF"/>
          </w:tcPr>
          <w:p>
            <w:pPr>
              <w:spacing w:after="0"/>
              <w:rPr>
                <w:sz w:val="22"/>
                <w:szCs w:val="22"/>
                <w:color w:val="auto"/>
              </w:rPr>
            </w:pPr>
          </w:p>
        </w:tc>
        <w:tc>
          <w:tcPr>
            <w:tcW w:w="40" w:type="dxa"/>
            <w:vAlign w:val="bottom"/>
            <w:tcBorders>
              <w:bottom w:val="single" w:sz="8" w:color="DCE2EF"/>
            </w:tcBorders>
            <w:shd w:val="clear" w:color="auto" w:fill="DCE2EF"/>
          </w:tcPr>
          <w:p>
            <w:pPr>
              <w:spacing w:after="0"/>
              <w:rPr>
                <w:sz w:val="22"/>
                <w:szCs w:val="22"/>
                <w:color w:val="auto"/>
              </w:rPr>
            </w:pPr>
          </w:p>
        </w:tc>
        <w:tc>
          <w:tcPr>
            <w:tcW w:w="100" w:type="dxa"/>
            <w:vAlign w:val="bottom"/>
            <w:tcBorders>
              <w:bottom w:val="single" w:sz="8" w:color="DCE2EF"/>
            </w:tcBorders>
            <w:shd w:val="clear" w:color="auto" w:fill="DCE2EF"/>
          </w:tcPr>
          <w:p>
            <w:pPr>
              <w:spacing w:after="0"/>
              <w:rPr>
                <w:sz w:val="22"/>
                <w:szCs w:val="22"/>
                <w:color w:val="auto"/>
              </w:rPr>
            </w:pPr>
          </w:p>
        </w:tc>
        <w:tc>
          <w:tcPr>
            <w:tcW w:w="28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DCE2EF"/>
            </w:tcBorders>
            <w:shd w:val="clear" w:color="auto" w:fill="DCE2EF"/>
          </w:tcPr>
          <w:p>
            <w:pPr>
              <w:jc w:val="right"/>
              <w:ind w:right="5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DCE2EF"/>
            </w:tcBorders>
            <w:shd w:val="clear" w:color="auto" w:fill="DCE2EF"/>
          </w:tcPr>
          <w:p>
            <w:pPr>
              <w:spacing w:after="0"/>
              <w:rPr>
                <w:sz w:val="22"/>
                <w:szCs w:val="22"/>
                <w:color w:val="auto"/>
              </w:rPr>
            </w:pP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120" w:type="dxa"/>
            <w:vAlign w:val="bottom"/>
            <w:tcBorders>
              <w:bottom w:val="single" w:sz="8" w:color="DCE2EF"/>
            </w:tcBorders>
            <w:shd w:val="clear" w:color="auto" w:fill="DCE2EF"/>
          </w:tcPr>
          <w:p>
            <w:pPr>
              <w:jc w:val="right"/>
              <w:ind w:right="1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4"/>
          </w:tcPr>
          <w:p>
            <w:pPr>
              <w:ind w:left="140"/>
              <w:spacing w:after="0"/>
              <w:rPr>
                <w:sz w:val="20"/>
                <w:szCs w:val="20"/>
                <w:color w:val="auto"/>
              </w:rPr>
            </w:pPr>
            <w:r>
              <w:rPr>
                <w:rFonts w:ascii="Arial" w:cs="Arial" w:eastAsia="Arial" w:hAnsi="Arial"/>
                <w:sz w:val="18"/>
                <w:szCs w:val="18"/>
                <w:color w:val="auto"/>
              </w:rPr>
              <w:t>Incremental tax benefit from share-based compensation awards</w:t>
            </w:r>
          </w:p>
        </w:tc>
        <w:tc>
          <w:tcPr>
            <w:tcW w:w="34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6700" w:type="dxa"/>
            <w:vAlign w:val="bottom"/>
            <w:gridSpan w:val="4"/>
            <w:shd w:val="clear" w:color="auto" w:fill="DCE2EF"/>
          </w:tcPr>
          <w:p>
            <w:pPr>
              <w:ind w:left="140"/>
              <w:spacing w:after="0"/>
              <w:rPr>
                <w:sz w:val="20"/>
                <w:szCs w:val="20"/>
                <w:color w:val="auto"/>
              </w:rPr>
            </w:pPr>
            <w:r>
              <w:rPr>
                <w:rFonts w:ascii="Arial" w:cs="Arial" w:eastAsia="Arial" w:hAnsi="Arial"/>
                <w:sz w:val="18"/>
                <w:szCs w:val="18"/>
                <w:color w:val="auto"/>
              </w:rPr>
              <w:t>Tax credits for energy efficient government buildings</w:t>
            </w:r>
          </w:p>
        </w:tc>
        <w:tc>
          <w:tcPr>
            <w:tcW w:w="340" w:type="dxa"/>
            <w:vAlign w:val="bottom"/>
            <w:shd w:val="clear" w:color="auto" w:fill="DCE2EF"/>
          </w:tcPr>
          <w:p>
            <w:pPr>
              <w:spacing w:after="0"/>
              <w:rPr>
                <w:sz w:val="24"/>
                <w:szCs w:val="24"/>
                <w:color w:val="auto"/>
              </w:rPr>
            </w:pPr>
          </w:p>
        </w:tc>
        <w:tc>
          <w:tcPr>
            <w:tcW w:w="100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0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4"/>
          </w:tcPr>
          <w:p>
            <w:pPr>
              <w:ind w:left="140"/>
              <w:spacing w:after="0"/>
              <w:rPr>
                <w:sz w:val="20"/>
                <w:szCs w:val="20"/>
                <w:color w:val="auto"/>
              </w:rPr>
            </w:pPr>
            <w:r>
              <w:rPr>
                <w:rFonts w:ascii="Arial" w:cs="Arial" w:eastAsia="Arial" w:hAnsi="Arial"/>
                <w:sz w:val="18"/>
                <w:szCs w:val="18"/>
                <w:color w:val="auto"/>
              </w:rPr>
              <w:t>Impact from goodwill impairment</w:t>
            </w:r>
          </w:p>
        </w:tc>
        <w:tc>
          <w:tcPr>
            <w:tcW w:w="340" w:type="dxa"/>
            <w:vAlign w:val="bottom"/>
          </w:tcPr>
          <w:p>
            <w:pPr>
              <w:spacing w:after="0"/>
              <w:rPr>
                <w:sz w:val="22"/>
                <w:szCs w:val="22"/>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6700" w:type="dxa"/>
            <w:vAlign w:val="bottom"/>
            <w:gridSpan w:val="4"/>
            <w:shd w:val="clear" w:color="auto" w:fill="DCE2EF"/>
          </w:tcPr>
          <w:p>
            <w:pPr>
              <w:ind w:left="140"/>
              <w:spacing w:after="0"/>
              <w:rPr>
                <w:sz w:val="20"/>
                <w:szCs w:val="20"/>
                <w:color w:val="auto"/>
              </w:rPr>
            </w:pPr>
            <w:r>
              <w:rPr>
                <w:rFonts w:ascii="Arial" w:cs="Arial" w:eastAsia="Arial" w:hAnsi="Arial"/>
                <w:sz w:val="18"/>
                <w:szCs w:val="18"/>
                <w:color w:val="auto"/>
              </w:rPr>
              <w:t>Transition tax on foreign earnings</w:t>
            </w:r>
          </w:p>
        </w:tc>
        <w:tc>
          <w:tcPr>
            <w:tcW w:w="340" w:type="dxa"/>
            <w:vAlign w:val="bottom"/>
            <w:shd w:val="clear" w:color="auto" w:fill="DCE2EF"/>
          </w:tcPr>
          <w:p>
            <w:pPr>
              <w:spacing w:after="0"/>
              <w:rPr>
                <w:sz w:val="24"/>
                <w:szCs w:val="24"/>
                <w:color w:val="auto"/>
              </w:rPr>
            </w:pPr>
          </w:p>
        </w:tc>
        <w:tc>
          <w:tcPr>
            <w:tcW w:w="100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320" w:type="dxa"/>
            <w:vAlign w:val="bottom"/>
            <w:gridSpan w:val="3"/>
            <w:shd w:val="clear" w:color="auto" w:fill="DCE2E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4"/>
          </w:tcPr>
          <w:p>
            <w:pPr>
              <w:ind w:left="140"/>
              <w:spacing w:after="0"/>
              <w:rPr>
                <w:sz w:val="20"/>
                <w:szCs w:val="20"/>
                <w:color w:val="auto"/>
              </w:rPr>
            </w:pPr>
            <w:r>
              <w:rPr>
                <w:rFonts w:ascii="Arial" w:cs="Arial" w:eastAsia="Arial" w:hAnsi="Arial"/>
                <w:sz w:val="18"/>
                <w:szCs w:val="18"/>
                <w:color w:val="auto"/>
              </w:rPr>
              <w:t>Remeasurement of U.S. deferred taxes</w:t>
            </w:r>
          </w:p>
        </w:tc>
        <w:tc>
          <w:tcPr>
            <w:tcW w:w="34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6700" w:type="dxa"/>
            <w:vAlign w:val="bottom"/>
            <w:gridSpan w:val="4"/>
            <w:shd w:val="clear" w:color="auto" w:fill="DCE2EF"/>
          </w:tcPr>
          <w:p>
            <w:pPr>
              <w:ind w:left="140"/>
              <w:spacing w:after="0"/>
              <w:rPr>
                <w:sz w:val="20"/>
                <w:szCs w:val="20"/>
                <w:color w:val="auto"/>
              </w:rPr>
            </w:pPr>
            <w:r>
              <w:rPr>
                <w:rFonts w:ascii="Arial" w:cs="Arial" w:eastAsia="Arial" w:hAnsi="Arial"/>
                <w:sz w:val="18"/>
                <w:szCs w:val="18"/>
                <w:color w:val="auto"/>
              </w:rPr>
              <w:t>Nondeductible expenses</w:t>
            </w:r>
          </w:p>
        </w:tc>
        <w:tc>
          <w:tcPr>
            <w:tcW w:w="340" w:type="dxa"/>
            <w:vAlign w:val="bottom"/>
            <w:shd w:val="clear" w:color="auto" w:fill="DCE2EF"/>
          </w:tcPr>
          <w:p>
            <w:pPr>
              <w:spacing w:after="0"/>
              <w:rPr>
                <w:sz w:val="24"/>
                <w:szCs w:val="24"/>
                <w:color w:val="auto"/>
              </w:rPr>
            </w:pPr>
          </w:p>
        </w:tc>
        <w:tc>
          <w:tcPr>
            <w:tcW w:w="100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0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6460" w:type="dxa"/>
            <w:vAlign w:val="bottom"/>
            <w:tcBorders>
              <w:bottom w:val="single" w:sz="8" w:color="DCE2EF"/>
            </w:tcBorders>
            <w:gridSpan w:val="3"/>
          </w:tcPr>
          <w:p>
            <w:pPr>
              <w:ind w:left="1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6740" w:type="dxa"/>
            <w:vAlign w:val="bottom"/>
            <w:gridSpan w:val="5"/>
            <w:shd w:val="clear" w:color="auto" w:fill="DCE2EF"/>
          </w:tcPr>
          <w:p>
            <w:pPr>
              <w:ind w:left="40"/>
              <w:spacing w:after="0"/>
              <w:rPr>
                <w:sz w:val="20"/>
                <w:szCs w:val="20"/>
                <w:color w:val="auto"/>
              </w:rPr>
            </w:pPr>
            <w:r>
              <w:rPr>
                <w:rFonts w:ascii="Arial" w:cs="Arial" w:eastAsia="Arial" w:hAnsi="Arial"/>
                <w:sz w:val="18"/>
                <w:szCs w:val="18"/>
                <w:b w:val="1"/>
                <w:bCs w:val="1"/>
                <w:color w:val="auto"/>
              </w:rPr>
              <w:t>Effective tax (benefit) rate</w:t>
            </w:r>
          </w:p>
        </w:tc>
        <w:tc>
          <w:tcPr>
            <w:tcW w:w="340" w:type="dxa"/>
            <w:vAlign w:val="bottom"/>
            <w:shd w:val="clear" w:color="auto" w:fill="DCE2EF"/>
          </w:tcPr>
          <w:p>
            <w:pPr>
              <w:spacing w:after="0"/>
              <w:rPr>
                <w:sz w:val="22"/>
                <w:szCs w:val="22"/>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DCE2EF"/>
          </w:tcPr>
          <w:p>
            <w:pPr>
              <w:spacing w:after="0"/>
              <w:rPr>
                <w:sz w:val="22"/>
                <w:szCs w:val="22"/>
                <w:color w:val="auto"/>
              </w:rPr>
            </w:pPr>
          </w:p>
        </w:tc>
        <w:tc>
          <w:tcPr>
            <w:tcW w:w="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4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840" w:type="dxa"/>
            <w:vAlign w:val="bottom"/>
            <w:tcBorders>
              <w:top w:val="single" w:sz="8" w:color="DCE2EF"/>
            </w:tcBorders>
          </w:tcPr>
          <w:p>
            <w:pPr>
              <w:spacing w:after="0" w:line="20" w:lineRule="exact"/>
              <w:rPr>
                <w:sz w:val="1"/>
                <w:szCs w:val="1"/>
                <w:color w:val="auto"/>
              </w:rPr>
            </w:pPr>
          </w:p>
        </w:tc>
        <w:tc>
          <w:tcPr>
            <w:tcW w:w="49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(the “Tax Act”), which was enacted on December 22, 2017, provides for a reduction of the federal corporate income tax rate from 35% to 21% and a “transition tax” to be levied on the deemed repatriation of indefinitely reinvested earnings of international subsidiaries. Since we have an October 31 fiscal year-end, the lower corporate income tax rate was phased in, resulting in a U.S. statutory federal rate of 23.3% for fiscal 2018 and 21% for subsequent fiscal years. Other provisions under the Tax Act become effective for us in fiscal 2019, including limitations on deductibility of interest and executive compensation, as well as a new minimum tax on Global Intangible Low-Taxed Income (“GILTI”).</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2018 we remeasured certain deferred tax assets and liabilities based on the new tax rates at which they are expected to reverse in the future and recorded a one-time tax benefit of $29.6 million. In addition, we recorded an expense of $4.5 million for the one-time transition tax on the deemed repatriation of indefinitely reinvested earnings of our international subsidiaries. We plan to reinvest our foreign earnings to fund future non-U.S. growth and expansion,</w:t>
      </w:r>
    </w:p>
    <w:p>
      <w:pPr>
        <w:sectPr>
          <w:pgSz w:w="11900" w:h="16838" w:orient="portrait"/>
          <w:cols w:equalWidth="0" w:num="1">
            <w:col w:w="11420"/>
          </w:cols>
          <w:pgMar w:left="240" w:top="522" w:right="2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522" w:right="239" w:bottom="1440" w:gutter="0" w:footer="0" w:header="0"/>
          <w:type w:val="continuous"/>
        </w:sectPr>
      </w:pPr>
    </w:p>
    <w:bookmarkStart w:id="94" w:name="page95"/>
    <w:bookmarkEnd w:id="94"/>
    <w:p>
      <w:pPr>
        <w:jc w:val="both"/>
        <w:spacing w:after="0" w:line="262" w:lineRule="auto"/>
        <w:rPr>
          <w:sz w:val="20"/>
          <w:szCs w:val="20"/>
          <w:color w:val="auto"/>
        </w:rPr>
      </w:pPr>
      <w:r>
        <w:rPr>
          <w:rFonts w:ascii="Arial" w:cs="Arial" w:eastAsia="Arial" w:hAnsi="Arial"/>
          <w:sz w:val="18"/>
          <w:szCs w:val="18"/>
          <w:color w:val="auto"/>
        </w:rPr>
        <w:t>and we do not anticipate remitting such earnings to the United States. While U.S. federal tax expense has been recognized as a result of the Tax Act, no deferred tax liabilities with respect to federal and state income taxes or foreign withholding taxes have been recognized.</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Due to the complexities of implementing the provisions of the Tax Act, the staff of the U.S. Securities and Exchange Commission issued Staff Accounting Bulletin 118 (“SAB 118”), which provides guidance on accounting for tax effects of the Tax Act and permits a measurement period not to exceed one year from the enactment date for companies to complete the required analyses and accounting. As permitted under SAB 118, the adjustments we recorded due to the Tax Act, including the remeasurement of deferred tax assets and liabilities and the transition tax, were based on reasonable estimates and were considered provisional during the year. As of October 31, 2018, the one-time impact of the change in tax rate on our deferred tax assets and liabilities is complete. Additionally, we have completed our assessment of GILTI and have established a policy to account for this tax on a period basis beginning in fiscal year 2019. We have also completed our analysis of the one-time transition tax and recorded the impact.</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income taxes for 2018 were favorably impacted by: a net tax benefit of $23.2 million related to the impact of the Tax Act, including $1.9 million of adjustments that subsequently reduced the amounts discussed above; $5.8 million, including interest of $1.0 million, related to the expiring statutes of limitations for uncertain tax positions; $3.4 million of excess tax benefits related to the vesting of share-based compensation awards; and $ 2.8 million related to tax deductions for energy efficient government buildings. These benefits were partially offset by a $1.0 million reduction in certain tax credits, including prior year Work Opportunity Tax Credits (“WOTC”) for new hires.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income taxes for 2017 were favorably impacted by a benefit of $ 17.8 million, including interest of $1.2 million, related to expiring statutes of limitations for uncertain tax positions. In addition, in 2017 we also benefited from $3.6 million of excess tax benefits related to the vesting of share-based compensation awards, $1.9 million of tax credits for energy efficient government buildings, and the 2017 WOTC.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Components of Deferred Tax Assets and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40" w:type="dxa"/>
            <w:vAlign w:val="bottom"/>
          </w:tcPr>
          <w:p>
            <w:pPr>
              <w:jc w:val="right"/>
              <w:ind w:right="9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tcPr>
          <w:p>
            <w:pPr>
              <w:jc w:val="right"/>
              <w:ind w:right="9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860" w:type="dxa"/>
            <w:vAlign w:val="bottom"/>
            <w:tcBorders>
              <w:bottom w:val="single" w:sz="8" w:color="DCE2EF"/>
            </w:tcBorders>
          </w:tcPr>
          <w:p>
            <w:pPr>
              <w:spacing w:after="0" w:line="20" w:lineRule="exact"/>
              <w:rPr>
                <w:sz w:val="1"/>
                <w:szCs w:val="1"/>
                <w:color w:val="auto"/>
              </w:rPr>
            </w:pPr>
          </w:p>
        </w:tc>
        <w:tc>
          <w:tcPr>
            <w:tcW w:w="19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6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i w:val="1"/>
                <w:iCs w:val="1"/>
                <w:color w:val="auto"/>
              </w:rPr>
              <w:t>Deferred tax assets attributable to:</w:t>
            </w:r>
          </w:p>
        </w:tc>
        <w:tc>
          <w:tcPr>
            <w:tcW w:w="1900" w:type="dxa"/>
            <w:vAlign w:val="bottom"/>
            <w:shd w:val="clear" w:color="auto" w:fill="DCE2EF"/>
          </w:tcPr>
          <w:p>
            <w:pPr>
              <w:spacing w:after="0"/>
              <w:rPr>
                <w:sz w:val="22"/>
                <w:szCs w:val="22"/>
                <w:color w:val="auto"/>
              </w:rPr>
            </w:pPr>
          </w:p>
        </w:tc>
        <w:tc>
          <w:tcPr>
            <w:tcW w:w="56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15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Self-insurance claims (net of recoverables)</w:t>
            </w:r>
          </w:p>
        </w:tc>
        <w:tc>
          <w:tcPr>
            <w:tcW w:w="2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2"/>
                <w:szCs w:val="22"/>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456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Deferred and other compensation</w:t>
            </w:r>
          </w:p>
        </w:tc>
        <w:tc>
          <w:tcPr>
            <w:tcW w:w="1900" w:type="dxa"/>
            <w:vAlign w:val="bottom"/>
            <w:tcBorders>
              <w:bottom w:val="single" w:sz="8" w:color="DCE2EF"/>
            </w:tcBorders>
            <w:shd w:val="clear" w:color="auto" w:fill="DCE2EF"/>
          </w:tcPr>
          <w:p>
            <w:pPr>
              <w:spacing w:after="0"/>
              <w:rPr>
                <w:sz w:val="22"/>
                <w:szCs w:val="22"/>
                <w:color w:val="auto"/>
              </w:rPr>
            </w:pPr>
          </w:p>
        </w:tc>
        <w:tc>
          <w:tcPr>
            <w:tcW w:w="560" w:type="dxa"/>
            <w:vAlign w:val="bottom"/>
            <w:tcBorders>
              <w:bottom w:val="single" w:sz="8" w:color="DCE2EF"/>
            </w:tcBorders>
            <w:shd w:val="clear" w:color="auto" w:fill="DCE2EF"/>
          </w:tcPr>
          <w:p>
            <w:pPr>
              <w:spacing w:after="0"/>
              <w:rPr>
                <w:sz w:val="22"/>
                <w:szCs w:val="22"/>
                <w:color w:val="auto"/>
              </w:rPr>
            </w:pPr>
          </w:p>
        </w:tc>
        <w:tc>
          <w:tcPr>
            <w:tcW w:w="18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spacing w:after="0"/>
              <w:rPr>
                <w:sz w:val="22"/>
                <w:szCs w:val="22"/>
                <w:color w:val="auto"/>
              </w:rPr>
            </w:pPr>
          </w:p>
        </w:tc>
        <w:tc>
          <w:tcPr>
            <w:tcW w:w="156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Accounts receivable allowances</w:t>
            </w:r>
          </w:p>
        </w:tc>
        <w:tc>
          <w:tcPr>
            <w:tcW w:w="1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45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Settlement liabilities</w:t>
            </w:r>
          </w:p>
        </w:tc>
        <w:tc>
          <w:tcPr>
            <w:tcW w:w="19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15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Other accruals</w:t>
            </w:r>
          </w:p>
        </w:tc>
        <w:tc>
          <w:tcPr>
            <w:tcW w:w="1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45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Other comprehensive income</w:t>
            </w:r>
          </w:p>
        </w:tc>
        <w:tc>
          <w:tcPr>
            <w:tcW w:w="19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15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State taxes</w:t>
            </w:r>
          </w:p>
        </w:tc>
        <w:tc>
          <w:tcPr>
            <w:tcW w:w="1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45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19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15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Federal net operating loss carryforwards</w:t>
            </w:r>
          </w:p>
        </w:tc>
        <w:tc>
          <w:tcPr>
            <w:tcW w:w="1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45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Tax credits</w:t>
            </w:r>
          </w:p>
        </w:tc>
        <w:tc>
          <w:tcPr>
            <w:tcW w:w="19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15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Unrecognized tax benefits</w:t>
            </w:r>
          </w:p>
        </w:tc>
        <w:tc>
          <w:tcPr>
            <w:tcW w:w="1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45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spacing w:after="0"/>
              <w:rPr>
                <w:sz w:val="24"/>
                <w:szCs w:val="24"/>
                <w:color w:val="auto"/>
              </w:rPr>
            </w:pP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CE2EF"/>
          </w:tcPr>
          <w:p>
            <w:pPr>
              <w:spacing w:after="0"/>
              <w:rPr>
                <w:sz w:val="24"/>
                <w:szCs w:val="24"/>
                <w:color w:val="auto"/>
              </w:rPr>
            </w:pPr>
          </w:p>
        </w:tc>
        <w:tc>
          <w:tcPr>
            <w:tcW w:w="840" w:type="dxa"/>
            <w:vAlign w:val="bottom"/>
            <w:tcBorders>
              <w:bottom w:val="single" w:sz="8" w:color="auto"/>
            </w:tcBorders>
            <w:shd w:val="clear" w:color="auto" w:fill="DCE2EF"/>
          </w:tcPr>
          <w:p>
            <w:pPr>
              <w:spacing w:after="0"/>
              <w:rPr>
                <w:sz w:val="24"/>
                <w:szCs w:val="24"/>
                <w:color w:val="auto"/>
              </w:rPr>
            </w:pPr>
          </w:p>
        </w:tc>
        <w:tc>
          <w:tcPr>
            <w:tcW w:w="15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60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deferred tax assets</w:t>
            </w:r>
          </w:p>
        </w:tc>
        <w:tc>
          <w:tcPr>
            <w:tcW w:w="1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77"/>
        </w:trPr>
        <w:tc>
          <w:tcPr>
            <w:tcW w:w="46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Valuation allowance</w:t>
            </w:r>
          </w:p>
        </w:tc>
        <w:tc>
          <w:tcPr>
            <w:tcW w:w="1900" w:type="dxa"/>
            <w:vAlign w:val="bottom"/>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spacing w:after="0"/>
              <w:rPr>
                <w:sz w:val="24"/>
                <w:szCs w:val="24"/>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DCE2EF"/>
          </w:tcPr>
          <w:p>
            <w:pPr>
              <w:spacing w:after="0"/>
              <w:rPr>
                <w:sz w:val="24"/>
                <w:szCs w:val="24"/>
                <w:color w:val="auto"/>
              </w:rPr>
            </w:pPr>
          </w:p>
        </w:tc>
        <w:tc>
          <w:tcPr>
            <w:tcW w:w="840" w:type="dxa"/>
            <w:vAlign w:val="bottom"/>
            <w:tcBorders>
              <w:bottom w:val="single" w:sz="8" w:color="auto"/>
            </w:tcBorders>
            <w:shd w:val="clear" w:color="auto" w:fill="DCE2EF"/>
          </w:tcPr>
          <w:p>
            <w:pPr>
              <w:spacing w:after="0"/>
              <w:rPr>
                <w:sz w:val="24"/>
                <w:szCs w:val="24"/>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4"/>
        </w:trPr>
        <w:tc>
          <w:tcPr>
            <w:tcW w:w="46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b w:val="1"/>
                <w:bCs w:val="1"/>
                <w:color w:val="auto"/>
              </w:rPr>
              <w:t>Total deferred tax assets</w:t>
            </w:r>
          </w:p>
        </w:tc>
        <w:tc>
          <w:tcPr>
            <w:tcW w:w="1900" w:type="dxa"/>
            <w:vAlign w:val="bottom"/>
            <w:tcBorders>
              <w:bottom w:val="single" w:sz="8" w:color="DCE2E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DCE2E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97"/>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3860" w:type="dxa"/>
            <w:vAlign w:val="bottom"/>
            <w:shd w:val="clear" w:color="auto" w:fill="DCE2EF"/>
          </w:tcPr>
          <w:p>
            <w:pPr>
              <w:spacing w:after="0"/>
              <w:rPr>
                <w:sz w:val="24"/>
                <w:szCs w:val="24"/>
                <w:color w:val="auto"/>
              </w:rPr>
            </w:pPr>
          </w:p>
        </w:tc>
        <w:tc>
          <w:tcPr>
            <w:tcW w:w="19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15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Deferred tax liabilities attributable to:</w:t>
            </w:r>
          </w:p>
        </w:tc>
        <w:tc>
          <w:tcPr>
            <w:tcW w:w="1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45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Property, plant and equipment</w:t>
            </w:r>
          </w:p>
        </w:tc>
        <w:tc>
          <w:tcPr>
            <w:tcW w:w="19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Goodwill and other acquired intangibles</w:t>
            </w:r>
          </w:p>
        </w:tc>
        <w:tc>
          <w:tcPr>
            <w:tcW w:w="1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456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Equity in earnings of foreign investments</w:t>
            </w:r>
          </w:p>
        </w:tc>
        <w:tc>
          <w:tcPr>
            <w:tcW w:w="19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96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4"/>
        </w:trPr>
        <w:tc>
          <w:tcPr>
            <w:tcW w:w="46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b w:val="1"/>
                <w:bCs w:val="1"/>
                <w:color w:val="auto"/>
              </w:rPr>
              <w:t>Total deferred tax liabilities</w:t>
            </w:r>
          </w:p>
        </w:tc>
        <w:tc>
          <w:tcPr>
            <w:tcW w:w="1900" w:type="dxa"/>
            <w:vAlign w:val="bottom"/>
            <w:tcBorders>
              <w:bottom w:val="single" w:sz="8" w:color="DCE2E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DCE2EF"/>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97"/>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3860" w:type="dxa"/>
            <w:vAlign w:val="bottom"/>
            <w:shd w:val="clear" w:color="auto" w:fill="DCE2EF"/>
          </w:tcPr>
          <w:p>
            <w:pPr>
              <w:spacing w:after="0"/>
              <w:rPr>
                <w:sz w:val="24"/>
                <w:szCs w:val="24"/>
                <w:color w:val="auto"/>
              </w:rPr>
            </w:pPr>
          </w:p>
        </w:tc>
        <w:tc>
          <w:tcPr>
            <w:tcW w:w="1900" w:type="dxa"/>
            <w:vAlign w:val="bottom"/>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spacing w:after="0"/>
              <w:rPr>
                <w:sz w:val="24"/>
                <w:szCs w:val="24"/>
                <w:color w:val="auto"/>
              </w:rPr>
            </w:pPr>
          </w:p>
        </w:tc>
        <w:tc>
          <w:tcPr>
            <w:tcW w:w="1840" w:type="dxa"/>
            <w:vAlign w:val="bottom"/>
            <w:tcBorders>
              <w:bottom w:val="single" w:sz="8" w:color="auto"/>
            </w:tcBorders>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840" w:type="dxa"/>
            <w:vAlign w:val="bottom"/>
            <w:tcBorders>
              <w:bottom w:val="single" w:sz="8" w:color="auto"/>
            </w:tcBorders>
            <w:shd w:val="clear" w:color="auto" w:fill="DCE2EF"/>
          </w:tcPr>
          <w:p>
            <w:pPr>
              <w:spacing w:after="0"/>
              <w:rPr>
                <w:sz w:val="24"/>
                <w:szCs w:val="24"/>
                <w:color w:val="auto"/>
              </w:rPr>
            </w:pPr>
          </w:p>
        </w:tc>
        <w:tc>
          <w:tcPr>
            <w:tcW w:w="1560" w:type="dxa"/>
            <w:vAlign w:val="bottom"/>
            <w:tcBorders>
              <w:bottom w:val="single" w:sz="8" w:color="auto"/>
            </w:tcBorders>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deferred tax liabilities</w:t>
            </w:r>
          </w:p>
        </w:tc>
        <w:tc>
          <w:tcPr>
            <w:tcW w:w="2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00" w:type="dxa"/>
            <w:vAlign w:val="bottom"/>
            <w:vMerge w:val="restart"/>
          </w:tcPr>
          <w:p>
            <w:pPr>
              <w:jc w:val="right"/>
              <w:ind w:right="590"/>
              <w:spacing w:after="0"/>
              <w:rPr>
                <w:sz w:val="20"/>
                <w:szCs w:val="20"/>
                <w:color w:val="auto"/>
              </w:rPr>
            </w:pPr>
            <w:r>
              <w:rPr>
                <w:rFonts w:ascii="Arial" w:cs="Arial" w:eastAsia="Arial" w:hAnsi="Arial"/>
                <w:sz w:val="18"/>
                <w:szCs w:val="18"/>
                <w:color w:val="auto"/>
              </w:rPr>
              <w:t>91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0046AD"/>
        </w:rPr>
        <w:t>Tax Loss Carryforwards and Tax Credits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State tax loss carryforwards totaling $255.0 million at October 31, 2018 are being carried forward in several state jurisdictions where we are permitted to use tax losses from prior periods to reduce future taxable income. These losses will expire between 2019 and 2038. Federal loss carryforwards totaling $25.7 million at October 31, 2018 are available to reduce future taxable income and will expire in 2037. Federal and state tax credits totaling $24.6 million are available to reduce future cash taxes and will expire between 2021 and 2038.</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valuation allowance represents the amount of tax benefits related to state net operating loss carryforwards that are not likely to be realized. We believe the remaining net deferred tax assets are more likely than not to be realizable based on estimates of future taxable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Changes to the Deferred Tax Asset Valuation Allowance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Valuation allowance at beginning of year</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5.5</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GCA acquisition</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0" w:type="dxa"/>
            <w:vAlign w:val="bottom"/>
            <w:shd w:val="clear" w:color="auto" w:fill="DCE2EF"/>
          </w:tcPr>
          <w:p>
            <w:pPr>
              <w:spacing w:after="0"/>
              <w:rPr>
                <w:sz w:val="24"/>
                <w:szCs w:val="24"/>
                <w:color w:val="auto"/>
              </w:rPr>
            </w:pPr>
          </w:p>
        </w:tc>
        <w:tc>
          <w:tcPr>
            <w:tcW w:w="6340" w:type="dxa"/>
            <w:vAlign w:val="bottom"/>
            <w:gridSpan w:val="2"/>
            <w:shd w:val="clear" w:color="auto" w:fill="DCE2EF"/>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DCE2EF"/>
          </w:tcPr>
          <w:p>
            <w:pPr>
              <w:spacing w:after="0"/>
              <w:rPr>
                <w:sz w:val="24"/>
                <w:szCs w:val="24"/>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CE2EF"/>
          </w:tcPr>
          <w:p>
            <w:pPr>
              <w:spacing w:after="0"/>
              <w:rPr>
                <w:sz w:val="24"/>
                <w:szCs w:val="24"/>
                <w:color w:val="auto"/>
              </w:rPr>
            </w:pPr>
          </w:p>
        </w:tc>
        <w:tc>
          <w:tcPr>
            <w:tcW w:w="360" w:type="dxa"/>
            <w:vAlign w:val="bottom"/>
            <w:tcBorders>
              <w:bottom w:val="single" w:sz="8" w:color="auto"/>
            </w:tcBorders>
            <w:shd w:val="clear" w:color="auto" w:fill="DCE2EF"/>
          </w:tcPr>
          <w:p>
            <w:pPr>
              <w:spacing w:after="0"/>
              <w:rPr>
                <w:sz w:val="24"/>
                <w:szCs w:val="24"/>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Valuation allowance at end of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Unrecognized Tax Benefits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2018, 2017, and 2016, there were $35.8 million, $50.5 million, and $52.0 million, respectively, of unrecognized tax benefits that if recognized in the future would impact our effective tax rate. We estimate that a decrease in unrecognized tax benefits of up to approximately $5.6 million is reasonably possible over the next twelve months due to the resolution of certain tax matters. At October 31, 2018 and 2017, accrued interest and penalties were $1.0 million and $1.9 million, respectively. For interest and penalties, we recognized a benefit of $1.0 million, $0.5 million, and $0.9 million in 2018, 2017, and 2016,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Reconciliation of Total Unrecognized Tax Benefits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740" w:type="dxa"/>
            <w:vAlign w:val="bottom"/>
            <w:tcBorders>
              <w:bottom w:val="single" w:sz="8" w:color="DCE2EF"/>
            </w:tcBorders>
          </w:tcPr>
          <w:p>
            <w:pPr>
              <w:spacing w:after="0" w:line="20" w:lineRule="exact"/>
              <w:rPr>
                <w:sz w:val="1"/>
                <w:szCs w:val="1"/>
                <w:color w:val="auto"/>
              </w:rPr>
            </w:pPr>
          </w:p>
        </w:tc>
        <w:tc>
          <w:tcPr>
            <w:tcW w:w="39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24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w w:val="98"/>
                <w:shd w:val="clear" w:color="auto" w:fill="DCE2EF"/>
              </w:rPr>
              <w:t>Balance at beginning of year</w:t>
            </w:r>
          </w:p>
        </w:tc>
        <w:tc>
          <w:tcPr>
            <w:tcW w:w="39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DCE2EF"/>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82.5</w:t>
            </w: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Additions for tax positions related to the current year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6340" w:type="dxa"/>
            <w:vAlign w:val="bottom"/>
            <w:tcBorders>
              <w:bottom w:val="single" w:sz="8" w:color="DCE2EF"/>
            </w:tcBorders>
            <w:gridSpan w:val="3"/>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Additions for tax positions related to prior years</w:t>
            </w:r>
          </w:p>
        </w:tc>
        <w:tc>
          <w:tcPr>
            <w:tcW w:w="360" w:type="dxa"/>
            <w:vAlign w:val="bottom"/>
            <w:tcBorders>
              <w:bottom w:val="single" w:sz="8" w:color="DCE2EF"/>
            </w:tcBorders>
            <w:shd w:val="clear" w:color="auto" w:fill="DCE2EF"/>
          </w:tcPr>
          <w:p>
            <w:pPr>
              <w:spacing w:after="0"/>
              <w:rPr>
                <w:sz w:val="22"/>
                <w:szCs w:val="22"/>
                <w:color w:val="auto"/>
              </w:rPr>
            </w:pPr>
          </w:p>
        </w:tc>
        <w:tc>
          <w:tcPr>
            <w:tcW w:w="1360" w:type="dxa"/>
            <w:vAlign w:val="bottom"/>
            <w:tcBorders>
              <w:bottom w:val="single" w:sz="8" w:color="DCE2EF"/>
            </w:tcBorders>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6340" w:type="dxa"/>
            <w:vAlign w:val="bottom"/>
            <w:tcBorders>
              <w:bottom w:val="single" w:sz="8" w:color="DCE2EF"/>
            </w:tcBorders>
            <w:gridSpan w:val="3"/>
            <w:shd w:val="clear" w:color="auto" w:fill="DCE2EF"/>
          </w:tcPr>
          <w:p>
            <w:pPr>
              <w:ind w:left="140"/>
              <w:spacing w:after="0"/>
              <w:rPr>
                <w:sz w:val="20"/>
                <w:szCs w:val="20"/>
                <w:color w:val="auto"/>
              </w:rPr>
            </w:pPr>
            <w:r>
              <w:rPr>
                <w:rFonts w:ascii="Arial" w:cs="Arial" w:eastAsia="Arial" w:hAnsi="Arial"/>
                <w:sz w:val="18"/>
                <w:szCs w:val="18"/>
                <w:color w:val="auto"/>
                <w:shd w:val="clear" w:color="auto" w:fill="DCE2EF"/>
              </w:rPr>
              <w:t>Reductions for lapse of statute of limitations</w:t>
            </w: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(21.9)</w:t>
            </w:r>
          </w:p>
        </w:tc>
      </w:tr>
      <w:tr>
        <w:trPr>
          <w:trHeight w:val="264"/>
        </w:trPr>
        <w:tc>
          <w:tcPr>
            <w:tcW w:w="40" w:type="dxa"/>
            <w:vAlign w:val="bottom"/>
            <w:tcBorders>
              <w:bottom w:val="single" w:sz="8" w:color="DCE2EF"/>
            </w:tcBorders>
          </w:tcPr>
          <w:p>
            <w:pPr>
              <w:spacing w:after="0"/>
              <w:rPr>
                <w:sz w:val="22"/>
                <w:szCs w:val="22"/>
                <w:color w:val="auto"/>
              </w:rPr>
            </w:pPr>
          </w:p>
        </w:tc>
        <w:tc>
          <w:tcPr>
            <w:tcW w:w="6340" w:type="dxa"/>
            <w:vAlign w:val="bottom"/>
            <w:tcBorders>
              <w:bottom w:val="single" w:sz="8" w:color="DCE2EF"/>
            </w:tcBorders>
            <w:gridSpan w:val="3"/>
          </w:tcPr>
          <w:p>
            <w:pPr>
              <w:ind w:left="140"/>
              <w:spacing w:after="0"/>
              <w:rPr>
                <w:sz w:val="20"/>
                <w:szCs w:val="20"/>
                <w:color w:val="auto"/>
              </w:rPr>
            </w:pPr>
            <w:r>
              <w:rPr>
                <w:rFonts w:ascii="Arial" w:cs="Arial" w:eastAsia="Arial" w:hAnsi="Arial"/>
                <w:sz w:val="18"/>
                <w:szCs w:val="18"/>
                <w:color w:val="auto"/>
              </w:rPr>
              <w:t>Settlements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6380" w:type="dxa"/>
            <w:vAlign w:val="bottom"/>
            <w:tcBorders>
              <w:bottom w:val="single" w:sz="8" w:color="DCE2EF"/>
            </w:tcBorders>
            <w:gridSpan w:val="4"/>
            <w:shd w:val="clear" w:color="auto" w:fill="DCE2EF"/>
          </w:tcPr>
          <w:p>
            <w:pPr>
              <w:ind w:left="40"/>
              <w:spacing w:after="0"/>
              <w:rPr>
                <w:sz w:val="20"/>
                <w:szCs w:val="20"/>
                <w:color w:val="auto"/>
              </w:rPr>
            </w:pPr>
            <w:r>
              <w:rPr>
                <w:rFonts w:ascii="Arial" w:cs="Arial" w:eastAsia="Arial" w:hAnsi="Arial"/>
                <w:sz w:val="18"/>
                <w:szCs w:val="18"/>
                <w:b w:val="1"/>
                <w:bCs w:val="1"/>
                <w:color w:val="auto"/>
              </w:rPr>
              <w:t>Balance at end of year</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57.2</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Jurisdictions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conduct business in all 50 states, significantly in California, Texas, and New York, as well as in various foreign jurisdictions. Our most significant income tax jurisdiction is the United States.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00" w:type="dxa"/>
            <w:vAlign w:val="bottom"/>
            <w:gridSpan w:val="2"/>
          </w:tcPr>
          <w:p>
            <w:pPr>
              <w:spacing w:after="0"/>
              <w:rPr>
                <w:sz w:val="20"/>
                <w:szCs w:val="20"/>
                <w:color w:val="auto"/>
              </w:rPr>
            </w:pPr>
            <w:r>
              <w:rPr>
                <w:rFonts w:ascii="Arial" w:cs="Arial" w:eastAsia="Arial" w:hAnsi="Arial"/>
                <w:sz w:val="18"/>
                <w:szCs w:val="18"/>
                <w:b w:val="1"/>
                <w:bCs w:val="1"/>
                <w:color w:val="0046AD"/>
              </w:rPr>
              <w:t>Tax Years Open for Examination, by Entity</w:t>
            </w:r>
          </w:p>
        </w:tc>
        <w:tc>
          <w:tcPr>
            <w:tcW w:w="2720" w:type="dxa"/>
            <w:vAlign w:val="bottom"/>
          </w:tcPr>
          <w:p>
            <w:pPr>
              <w:spacing w:after="0"/>
              <w:rPr>
                <w:sz w:val="20"/>
                <w:szCs w:val="20"/>
                <w:color w:val="auto"/>
              </w:rPr>
            </w:pPr>
          </w:p>
        </w:tc>
      </w:tr>
      <w:tr>
        <w:trPr>
          <w:trHeight w:val="399"/>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Entity</w:t>
            </w:r>
          </w:p>
        </w:tc>
        <w:tc>
          <w:tcPr>
            <w:tcW w:w="120" w:type="dxa"/>
            <w:vAlign w:val="bottom"/>
            <w:tcBorders>
              <w:bottom w:val="single" w:sz="8" w:color="DCE2EF"/>
            </w:tcBorders>
          </w:tcPr>
          <w:p>
            <w:pPr>
              <w:spacing w:after="0"/>
              <w:rPr>
                <w:sz w:val="24"/>
                <w:szCs w:val="24"/>
                <w:color w:val="auto"/>
              </w:rPr>
            </w:pPr>
          </w:p>
        </w:tc>
        <w:tc>
          <w:tcPr>
            <w:tcW w:w="27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Open by Statute</w:t>
            </w:r>
          </w:p>
        </w:tc>
      </w:tr>
      <w:tr>
        <w:trPr>
          <w:trHeight w:val="237"/>
        </w:trPr>
        <w:tc>
          <w:tcPr>
            <w:tcW w:w="8700" w:type="dxa"/>
            <w:vAlign w:val="bottom"/>
            <w:tcBorders>
              <w:bottom w:val="single" w:sz="8" w:color="DCE2EF"/>
            </w:tcBorders>
            <w:gridSpan w:val="2"/>
            <w:shd w:val="clear" w:color="auto" w:fill="DCE2EF"/>
          </w:tcPr>
          <w:p>
            <w:pPr>
              <w:ind w:left="40"/>
              <w:spacing w:after="0" w:line="230" w:lineRule="exact"/>
              <w:rPr>
                <w:sz w:val="20"/>
                <w:szCs w:val="20"/>
                <w:color w:val="auto"/>
              </w:rPr>
            </w:pPr>
            <w:r>
              <w:rPr>
                <w:rFonts w:ascii="Arial" w:cs="Arial" w:eastAsia="Arial" w:hAnsi="Arial"/>
                <w:sz w:val="18"/>
                <w:szCs w:val="18"/>
                <w:color w:val="auto"/>
              </w:rPr>
              <w:t>ABM state tax returns</w:t>
            </w:r>
            <w:r>
              <w:rPr>
                <w:rFonts w:ascii="Arial" w:cs="Arial" w:eastAsia="Arial" w:hAnsi="Arial"/>
                <w:sz w:val="21"/>
                <w:szCs w:val="21"/>
                <w:color w:val="auto"/>
                <w:vertAlign w:val="superscript"/>
              </w:rPr>
              <w:t>(1)</w:t>
            </w:r>
          </w:p>
        </w:tc>
        <w:tc>
          <w:tcPr>
            <w:tcW w:w="2720" w:type="dxa"/>
            <w:vAlign w:val="bottom"/>
            <w:tcBorders>
              <w:bottom w:val="single" w:sz="8" w:color="DCE2EF"/>
            </w:tcBorders>
            <w:shd w:val="clear" w:color="auto" w:fill="DCE2EF"/>
          </w:tcPr>
          <w:p>
            <w:pPr>
              <w:jc w:val="center"/>
              <w:spacing w:after="0"/>
              <w:rPr>
                <w:sz w:val="20"/>
                <w:szCs w:val="20"/>
                <w:color w:val="auto"/>
              </w:rPr>
            </w:pPr>
            <w:r>
              <w:rPr>
                <w:rFonts w:ascii="Arial" w:cs="Arial" w:eastAsia="Arial" w:hAnsi="Arial"/>
                <w:sz w:val="18"/>
                <w:szCs w:val="18"/>
                <w:color w:val="auto"/>
                <w:w w:val="99"/>
                <w:shd w:val="clear" w:color="auto" w:fill="DCE2EF"/>
              </w:rPr>
              <w:t>10/31/2014 – 10/31/2018</w:t>
            </w:r>
          </w:p>
        </w:tc>
      </w:tr>
      <w:tr>
        <w:trPr>
          <w:trHeight w:val="26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ABM federal tax returns</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10/31/2015 – 10/31/2018</w:t>
            </w:r>
          </w:p>
        </w:tc>
      </w:tr>
      <w:tr>
        <w:trPr>
          <w:trHeight w:val="277"/>
        </w:trPr>
        <w:tc>
          <w:tcPr>
            <w:tcW w:w="870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GCA state tax returns</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12/31/2014 – 9/1/2017</w:t>
            </w:r>
          </w:p>
        </w:tc>
      </w:tr>
      <w:tr>
        <w:trPr>
          <w:trHeight w:val="257"/>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GCA federal tax returns</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12/31/2015 – 9/1/2017</w:t>
            </w:r>
          </w:p>
        </w:tc>
      </w:tr>
    </w:tbl>
    <w:p>
      <w:pPr>
        <w:spacing w:after="0" w:line="13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We are currently being examined by the state tax authorities of California, Florida, Massachusetts, New Jersey, New York, and North Carolina.</w:t>
      </w:r>
    </w:p>
    <w:p>
      <w:pPr>
        <w:spacing w:after="0" w:line="396" w:lineRule="exact"/>
        <w:rPr>
          <w:rFonts w:ascii="Arial" w:cs="Arial" w:eastAsia="Arial" w:hAnsi="Arial"/>
          <w:sz w:val="21"/>
          <w:szCs w:val="21"/>
          <w:color w:val="auto"/>
          <w:vertAlign w:val="superscript"/>
        </w:rPr>
      </w:pPr>
    </w:p>
    <w:p>
      <w:pPr>
        <w:ind w:left="5620"/>
        <w:spacing w:after="0"/>
        <w:rPr>
          <w:rFonts w:ascii="Arial" w:cs="Arial" w:eastAsia="Arial" w:hAnsi="Arial"/>
          <w:sz w:val="21"/>
          <w:szCs w:val="21"/>
          <w:color w:val="auto"/>
          <w:vertAlign w:val="superscript"/>
        </w:rPr>
      </w:pPr>
      <w:r>
        <w:rPr>
          <w:rFonts w:ascii="Arial" w:cs="Arial" w:eastAsia="Arial" w:hAnsi="Arial"/>
          <w:sz w:val="18"/>
          <w:szCs w:val="18"/>
          <w:color w:val="auto"/>
        </w:rPr>
        <w:t>92</w:t>
      </w:r>
    </w:p>
    <w:p>
      <w:pPr>
        <w:sectPr>
          <w:pgSz w:w="11900" w:h="16838" w:orient="portrait"/>
          <w:cols w:equalWidth="0" w:num="1">
            <w:col w:w="11420"/>
          </w:cols>
          <w:pgMar w:left="240" w:top="522"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0046AD"/>
        </w:rPr>
        <w:t>Reinvestment of Foreign Earnings</w:t>
      </w:r>
    </w:p>
    <w:p>
      <w:pPr>
        <w:spacing w:after="0" w:line="19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We plan to reinvest our foreign earnings to fund future non-U.S. growth and expansion. As a result, we do not anticipate remitting such earnings to the United States and have not provided for federal and state income taxes or foreign withholding taxes that may result if such earnings of our foreign subsidiaries are remitted to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18. SEGMENT AND GEOGRAPHIC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862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Segment Information</w:t>
      </w:r>
    </w:p>
    <w:p>
      <w:pPr>
        <w:spacing w:after="0" w:line="193"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Effective November 1, 2017, we reorganized our reportable segments to reflect the integration of GCA into our industry group model. Our reportable segments consist of Business &amp; Industry (“B&amp;I”), Aviation, Technology &amp; Manufacturing (“T&amp;M”), Education, Technical Solutions, and Healthcare, as further described below. Refer to Note 2, “Basis of Presentation and Significant Accounting Policies,” for information related to our former Government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54875" cy="2881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881630"/>
                    </a:xfrm>
                    <a:prstGeom prst="rect">
                      <a:avLst/>
                    </a:prstGeom>
                    <a:noFill/>
                  </pic:spPr>
                </pic:pic>
              </a:graphicData>
            </a:graphic>
          </wp:anchor>
        </w:drawing>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46AD"/>
          <w:shd w:val="clear" w:color="auto" w:fill="DCE2EF"/>
        </w:rPr>
        <w:t>REPORTABLE SEGMENTS AND DESCRIPTIONS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Borders>
              <w:top w:val="single" w:sz="8" w:color="auto"/>
              <w:right w:val="single" w:sz="8" w:color="auto"/>
            </w:tcBorders>
          </w:tcPr>
          <w:p>
            <w:pPr>
              <w:spacing w:after="0"/>
              <w:rPr>
                <w:sz w:val="20"/>
                <w:szCs w:val="20"/>
                <w:color w:val="auto"/>
              </w:rPr>
            </w:pPr>
          </w:p>
        </w:tc>
        <w:tc>
          <w:tcPr>
            <w:tcW w:w="8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B&amp;I, our largest reportable segment, encompasses janitorial, facilities engineering, and parking</w:t>
            </w:r>
          </w:p>
        </w:tc>
        <w:tc>
          <w:tcPr>
            <w:tcW w:w="0" w:type="dxa"/>
            <w:vAlign w:val="bottom"/>
          </w:tcPr>
          <w:p>
            <w:pPr>
              <w:spacing w:after="0"/>
              <w:rPr>
                <w:sz w:val="1"/>
                <w:szCs w:val="1"/>
                <w:color w:val="auto"/>
              </w:rPr>
            </w:pPr>
          </w:p>
        </w:tc>
      </w:tr>
      <w:tr>
        <w:trPr>
          <w:trHeight w:val="203"/>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B&amp;I</w:t>
            </w:r>
          </w:p>
        </w:tc>
        <w:tc>
          <w:tcPr>
            <w:tcW w:w="8080" w:type="dxa"/>
            <w:vAlign w:val="bottom"/>
          </w:tcPr>
          <w:p>
            <w:pPr>
              <w:ind w:left="20"/>
              <w:spacing w:after="0" w:line="202" w:lineRule="exact"/>
              <w:rPr>
                <w:sz w:val="20"/>
                <w:szCs w:val="20"/>
                <w:color w:val="auto"/>
              </w:rPr>
            </w:pPr>
            <w:r>
              <w:rPr>
                <w:rFonts w:ascii="Arial" w:cs="Arial" w:eastAsia="Arial" w:hAnsi="Arial"/>
                <w:sz w:val="18"/>
                <w:szCs w:val="18"/>
                <w:color w:val="auto"/>
              </w:rPr>
              <w:t>services for commercial real estate properties and sports and entertainment venues. B&amp;I also</w:t>
            </w:r>
          </w:p>
        </w:tc>
        <w:tc>
          <w:tcPr>
            <w:tcW w:w="0" w:type="dxa"/>
            <w:vAlign w:val="bottom"/>
          </w:tcPr>
          <w:p>
            <w:pPr>
              <w:spacing w:after="0"/>
              <w:rPr>
                <w:sz w:val="1"/>
                <w:szCs w:val="1"/>
                <w:color w:val="auto"/>
              </w:rPr>
            </w:pPr>
          </w:p>
        </w:tc>
      </w:tr>
      <w:tr>
        <w:trPr>
          <w:trHeight w:val="109"/>
        </w:trPr>
        <w:tc>
          <w:tcPr>
            <w:tcW w:w="3360" w:type="dxa"/>
            <w:vAlign w:val="bottom"/>
            <w:tcBorders>
              <w:right w:val="single" w:sz="8" w:color="auto"/>
            </w:tcBorders>
            <w:vMerge w:val="continue"/>
          </w:tcPr>
          <w:p>
            <w:pPr>
              <w:spacing w:after="0"/>
              <w:rPr>
                <w:sz w:val="9"/>
                <w:szCs w:val="9"/>
                <w:color w:val="auto"/>
              </w:rPr>
            </w:pPr>
          </w:p>
        </w:tc>
        <w:tc>
          <w:tcPr>
            <w:tcW w:w="80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provides  vehicle  maintenance  and  other  services  to  rental  car  providers  (“Vehicle  Services</w:t>
            </w:r>
          </w:p>
        </w:tc>
        <w:tc>
          <w:tcPr>
            <w:tcW w:w="0" w:type="dxa"/>
            <w:vAlign w:val="bottom"/>
          </w:tcPr>
          <w:p>
            <w:pPr>
              <w:spacing w:after="0"/>
              <w:rPr>
                <w:sz w:val="1"/>
                <w:szCs w:val="1"/>
                <w:color w:val="auto"/>
              </w:rPr>
            </w:pPr>
          </w:p>
        </w:tc>
      </w:tr>
      <w:tr>
        <w:trPr>
          <w:trHeight w:val="94"/>
        </w:trPr>
        <w:tc>
          <w:tcPr>
            <w:tcW w:w="336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Contracts”).</w:t>
            </w:r>
          </w:p>
        </w:tc>
        <w:tc>
          <w:tcPr>
            <w:tcW w:w="0" w:type="dxa"/>
            <w:vAlign w:val="bottom"/>
          </w:tcPr>
          <w:p>
            <w:pPr>
              <w:spacing w:after="0"/>
              <w:rPr>
                <w:sz w:val="1"/>
                <w:szCs w:val="1"/>
                <w:color w:val="auto"/>
              </w:rPr>
            </w:pPr>
          </w:p>
        </w:tc>
      </w:tr>
      <w:tr>
        <w:trPr>
          <w:trHeight w:val="229"/>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Aviation</w:t>
            </w:r>
          </w:p>
        </w:tc>
        <w:tc>
          <w:tcPr>
            <w:tcW w:w="8080" w:type="dxa"/>
            <w:vAlign w:val="bottom"/>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109"/>
        </w:trPr>
        <w:tc>
          <w:tcPr>
            <w:tcW w:w="3360" w:type="dxa"/>
            <w:vAlign w:val="bottom"/>
            <w:tcBorders>
              <w:right w:val="single" w:sz="8" w:color="auto"/>
            </w:tcBorders>
            <w:vMerge w:val="continue"/>
          </w:tcPr>
          <w:p>
            <w:pPr>
              <w:spacing w:after="0"/>
              <w:rPr>
                <w:sz w:val="9"/>
                <w:szCs w:val="9"/>
                <w:color w:val="auto"/>
              </w:rPr>
            </w:pPr>
          </w:p>
        </w:tc>
        <w:tc>
          <w:tcPr>
            <w:tcW w:w="8080" w:type="dxa"/>
            <w:vAlign w:val="bottom"/>
            <w:vMerge w:val="restart"/>
          </w:tcPr>
          <w:p>
            <w:pPr>
              <w:ind w:left="20"/>
              <w:spacing w:after="0"/>
              <w:rPr>
                <w:sz w:val="20"/>
                <w:szCs w:val="20"/>
                <w:color w:val="auto"/>
              </w:rPr>
            </w:pPr>
            <w:r>
              <w:rPr>
                <w:rFonts w:ascii="Arial" w:cs="Arial" w:eastAsia="Arial" w:hAnsi="Arial"/>
                <w:sz w:val="18"/>
                <w:szCs w:val="18"/>
                <w:color w:val="auto"/>
              </w:rPr>
              <w:t>assistance, catering logistics, air cabin maintenance, and transportation.</w:t>
            </w: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right w:val="single" w:sz="8" w:color="auto"/>
            </w:tcBorders>
          </w:tcPr>
          <w:p>
            <w:pPr>
              <w:spacing w:after="0"/>
              <w:rPr>
                <w:sz w:val="10"/>
                <w:szCs w:val="10"/>
                <w:color w:val="auto"/>
              </w:rPr>
            </w:pPr>
          </w:p>
        </w:tc>
        <w:tc>
          <w:tcPr>
            <w:tcW w:w="8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360" w:type="dxa"/>
            <w:vAlign w:val="bottom"/>
            <w:tcBorders>
              <w:right w:val="single" w:sz="8" w:color="auto"/>
            </w:tcBorders>
          </w:tcPr>
          <w:p>
            <w:pPr>
              <w:spacing w:after="0"/>
              <w:rPr>
                <w:sz w:val="19"/>
                <w:szCs w:val="19"/>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T&amp;M combines our legacy Industrial &amp; Manufacturing business, which was previously included in our</w:t>
            </w:r>
          </w:p>
        </w:tc>
        <w:tc>
          <w:tcPr>
            <w:tcW w:w="0" w:type="dxa"/>
            <w:vAlign w:val="bottom"/>
          </w:tcPr>
          <w:p>
            <w:pPr>
              <w:spacing w:after="0"/>
              <w:rPr>
                <w:sz w:val="1"/>
                <w:szCs w:val="1"/>
                <w:color w:val="auto"/>
              </w:rPr>
            </w:pPr>
          </w:p>
        </w:tc>
      </w:tr>
      <w:tr>
        <w:trPr>
          <w:trHeight w:val="203"/>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T&amp;M</w:t>
            </w:r>
          </w:p>
        </w:tc>
        <w:tc>
          <w:tcPr>
            <w:tcW w:w="8080" w:type="dxa"/>
            <w:vAlign w:val="bottom"/>
          </w:tcPr>
          <w:p>
            <w:pPr>
              <w:ind w:left="20"/>
              <w:spacing w:after="0" w:line="202" w:lineRule="exact"/>
              <w:rPr>
                <w:sz w:val="20"/>
                <w:szCs w:val="20"/>
                <w:color w:val="auto"/>
              </w:rPr>
            </w:pPr>
            <w:r>
              <w:rPr>
                <w:rFonts w:ascii="Arial" w:cs="Arial" w:eastAsia="Arial" w:hAnsi="Arial"/>
                <w:sz w:val="18"/>
                <w:szCs w:val="18"/>
                <w:color w:val="auto"/>
              </w:rPr>
              <w:t>B&amp;I segment, with our legacy High Tech industry group, which was previously reported as part of our</w:t>
            </w:r>
          </w:p>
        </w:tc>
        <w:tc>
          <w:tcPr>
            <w:tcW w:w="0" w:type="dxa"/>
            <w:vAlign w:val="bottom"/>
          </w:tcPr>
          <w:p>
            <w:pPr>
              <w:spacing w:after="0"/>
              <w:rPr>
                <w:sz w:val="1"/>
                <w:szCs w:val="1"/>
                <w:color w:val="auto"/>
              </w:rPr>
            </w:pPr>
          </w:p>
        </w:tc>
      </w:tr>
      <w:tr>
        <w:trPr>
          <w:trHeight w:val="109"/>
        </w:trPr>
        <w:tc>
          <w:tcPr>
            <w:tcW w:w="3360" w:type="dxa"/>
            <w:vAlign w:val="bottom"/>
            <w:tcBorders>
              <w:right w:val="single" w:sz="8" w:color="auto"/>
            </w:tcBorders>
            <w:vMerge w:val="continue"/>
          </w:tcPr>
          <w:p>
            <w:pPr>
              <w:spacing w:after="0"/>
              <w:rPr>
                <w:sz w:val="9"/>
                <w:szCs w:val="9"/>
                <w:color w:val="auto"/>
              </w:rPr>
            </w:pPr>
          </w:p>
        </w:tc>
        <w:tc>
          <w:tcPr>
            <w:tcW w:w="80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legacy Emerging Industries Group. T&amp;M provides janitorial, facilities engineering, and parking</w:t>
            </w:r>
          </w:p>
        </w:tc>
        <w:tc>
          <w:tcPr>
            <w:tcW w:w="0" w:type="dxa"/>
            <w:vAlign w:val="bottom"/>
          </w:tcPr>
          <w:p>
            <w:pPr>
              <w:spacing w:after="0"/>
              <w:rPr>
                <w:sz w:val="1"/>
                <w:szCs w:val="1"/>
                <w:color w:val="auto"/>
              </w:rPr>
            </w:pPr>
          </w:p>
        </w:tc>
      </w:tr>
      <w:tr>
        <w:trPr>
          <w:trHeight w:val="94"/>
        </w:trPr>
        <w:tc>
          <w:tcPr>
            <w:tcW w:w="336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29"/>
        </w:trPr>
        <w:tc>
          <w:tcPr>
            <w:tcW w:w="3360" w:type="dxa"/>
            <w:vAlign w:val="bottom"/>
            <w:tcBorders>
              <w:right w:val="single" w:sz="8" w:color="auto"/>
            </w:tcBorders>
          </w:tcPr>
          <w:p>
            <w:pPr>
              <w:spacing w:after="0"/>
              <w:rPr>
                <w:sz w:val="19"/>
                <w:szCs w:val="19"/>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Education delivers janitorial, custodial, landscaping and grounds, facilities engineering, and parking</w:t>
            </w:r>
          </w:p>
        </w:tc>
        <w:tc>
          <w:tcPr>
            <w:tcW w:w="0" w:type="dxa"/>
            <w:vAlign w:val="bottom"/>
          </w:tcPr>
          <w:p>
            <w:pPr>
              <w:spacing w:after="0"/>
              <w:rPr>
                <w:sz w:val="1"/>
                <w:szCs w:val="1"/>
                <w:color w:val="auto"/>
              </w:rPr>
            </w:pPr>
          </w:p>
        </w:tc>
      </w:tr>
      <w:tr>
        <w:trPr>
          <w:trHeight w:val="203"/>
        </w:trPr>
        <w:tc>
          <w:tcPr>
            <w:tcW w:w="3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Education</w:t>
            </w:r>
          </w:p>
        </w:tc>
        <w:tc>
          <w:tcPr>
            <w:tcW w:w="8080" w:type="dxa"/>
            <w:vAlign w:val="bottom"/>
          </w:tcPr>
          <w:p>
            <w:pPr>
              <w:ind w:left="20"/>
              <w:spacing w:after="0" w:line="202" w:lineRule="exact"/>
              <w:rPr>
                <w:sz w:val="20"/>
                <w:szCs w:val="20"/>
                <w:color w:val="auto"/>
              </w:rPr>
            </w:pPr>
            <w:r>
              <w:rPr>
                <w:rFonts w:ascii="Arial" w:cs="Arial" w:eastAsia="Arial" w:hAnsi="Arial"/>
                <w:sz w:val="18"/>
                <w:szCs w:val="18"/>
                <w:color w:val="auto"/>
              </w:rPr>
              <w:t>services for public school districts, private schools, colleges, and universities. This business was</w:t>
            </w:r>
          </w:p>
        </w:tc>
        <w:tc>
          <w:tcPr>
            <w:tcW w:w="0" w:type="dxa"/>
            <w:vAlign w:val="bottom"/>
          </w:tcPr>
          <w:p>
            <w:pPr>
              <w:spacing w:after="0"/>
              <w:rPr>
                <w:sz w:val="1"/>
                <w:szCs w:val="1"/>
                <w:color w:val="auto"/>
              </w:rPr>
            </w:pPr>
          </w:p>
        </w:tc>
      </w:tr>
      <w:tr>
        <w:trPr>
          <w:trHeight w:val="224"/>
        </w:trPr>
        <w:tc>
          <w:tcPr>
            <w:tcW w:w="336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previously reported as part of our legacy Emerging Industries Group.</w:t>
            </w:r>
          </w:p>
        </w:tc>
        <w:tc>
          <w:tcPr>
            <w:tcW w:w="0" w:type="dxa"/>
            <w:vAlign w:val="bottom"/>
          </w:tcPr>
          <w:p>
            <w:pPr>
              <w:spacing w:after="0"/>
              <w:rPr>
                <w:sz w:val="1"/>
                <w:szCs w:val="1"/>
                <w:color w:val="auto"/>
              </w:rPr>
            </w:pPr>
          </w:p>
        </w:tc>
      </w:tr>
      <w:tr>
        <w:trPr>
          <w:trHeight w:val="229"/>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8080" w:type="dxa"/>
            <w:vAlign w:val="bottom"/>
          </w:tcPr>
          <w:p>
            <w:pPr>
              <w:ind w:left="20"/>
              <w:spacing w:after="0"/>
              <w:rPr>
                <w:sz w:val="20"/>
                <w:szCs w:val="20"/>
                <w:color w:val="auto"/>
              </w:rPr>
            </w:pPr>
            <w:r>
              <w:rPr>
                <w:rFonts w:ascii="Arial" w:cs="Arial" w:eastAsia="Arial" w:hAnsi="Arial"/>
                <w:sz w:val="18"/>
                <w:szCs w:val="18"/>
                <w:color w:val="auto"/>
              </w:rPr>
              <w:t>Technical Solutions specializes in mechanical and electrical services. These services can also be</w:t>
            </w:r>
          </w:p>
        </w:tc>
        <w:tc>
          <w:tcPr>
            <w:tcW w:w="0" w:type="dxa"/>
            <w:vAlign w:val="bottom"/>
          </w:tcPr>
          <w:p>
            <w:pPr>
              <w:spacing w:after="0"/>
              <w:rPr>
                <w:sz w:val="1"/>
                <w:szCs w:val="1"/>
                <w:color w:val="auto"/>
              </w:rPr>
            </w:pPr>
          </w:p>
        </w:tc>
      </w:tr>
      <w:tr>
        <w:trPr>
          <w:trHeight w:val="109"/>
        </w:trPr>
        <w:tc>
          <w:tcPr>
            <w:tcW w:w="3360" w:type="dxa"/>
            <w:vAlign w:val="bottom"/>
            <w:tcBorders>
              <w:right w:val="single" w:sz="8" w:color="auto"/>
            </w:tcBorders>
            <w:vMerge w:val="continue"/>
          </w:tcPr>
          <w:p>
            <w:pPr>
              <w:spacing w:after="0"/>
              <w:rPr>
                <w:sz w:val="9"/>
                <w:szCs w:val="9"/>
                <w:color w:val="auto"/>
              </w:rPr>
            </w:pPr>
          </w:p>
        </w:tc>
        <w:tc>
          <w:tcPr>
            <w:tcW w:w="8080" w:type="dxa"/>
            <w:vAlign w:val="bottom"/>
            <w:vMerge w:val="restart"/>
          </w:tcPr>
          <w:p>
            <w:pPr>
              <w:ind w:left="20"/>
              <w:spacing w:after="0"/>
              <w:rPr>
                <w:sz w:val="20"/>
                <w:szCs w:val="20"/>
                <w:color w:val="auto"/>
              </w:rPr>
            </w:pPr>
            <w:r>
              <w:rPr>
                <w:rFonts w:ascii="Arial" w:cs="Arial" w:eastAsia="Arial" w:hAnsi="Arial"/>
                <w:sz w:val="18"/>
                <w:szCs w:val="18"/>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right w:val="single" w:sz="8" w:color="auto"/>
            </w:tcBorders>
          </w:tcPr>
          <w:p>
            <w:pPr>
              <w:spacing w:after="0"/>
              <w:rPr>
                <w:sz w:val="10"/>
                <w:szCs w:val="10"/>
                <w:color w:val="auto"/>
              </w:rPr>
            </w:pPr>
          </w:p>
        </w:tc>
        <w:tc>
          <w:tcPr>
            <w:tcW w:w="8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360" w:type="dxa"/>
            <w:vAlign w:val="bottom"/>
            <w:tcBorders>
              <w:right w:val="single" w:sz="8" w:color="auto"/>
            </w:tcBorders>
          </w:tcPr>
          <w:p>
            <w:pPr>
              <w:spacing w:after="0"/>
              <w:rPr>
                <w:sz w:val="19"/>
                <w:szCs w:val="19"/>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Healthcare offers janitorial, facilities management, clinical engineering, food and nutrition, laundry</w:t>
            </w:r>
          </w:p>
        </w:tc>
        <w:tc>
          <w:tcPr>
            <w:tcW w:w="0" w:type="dxa"/>
            <w:vAlign w:val="bottom"/>
          </w:tcPr>
          <w:p>
            <w:pPr>
              <w:spacing w:after="0"/>
              <w:rPr>
                <w:sz w:val="1"/>
                <w:szCs w:val="1"/>
                <w:color w:val="auto"/>
              </w:rPr>
            </w:pPr>
          </w:p>
        </w:tc>
      </w:tr>
      <w:tr>
        <w:trPr>
          <w:trHeight w:val="203"/>
        </w:trPr>
        <w:tc>
          <w:tcPr>
            <w:tcW w:w="3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Healthcare</w:t>
            </w:r>
          </w:p>
        </w:tc>
        <w:tc>
          <w:tcPr>
            <w:tcW w:w="8080" w:type="dxa"/>
            <w:vAlign w:val="bottom"/>
          </w:tcPr>
          <w:p>
            <w:pPr>
              <w:ind w:left="20"/>
              <w:spacing w:after="0" w:line="202" w:lineRule="exact"/>
              <w:rPr>
                <w:sz w:val="20"/>
                <w:szCs w:val="20"/>
                <w:color w:val="auto"/>
              </w:rPr>
            </w:pPr>
            <w:r>
              <w:rPr>
                <w:rFonts w:ascii="Arial" w:cs="Arial" w:eastAsia="Arial" w:hAnsi="Arial"/>
                <w:sz w:val="18"/>
                <w:szCs w:val="18"/>
                <w:color w:val="auto"/>
              </w:rPr>
              <w:t>and linen, parking and guest services, and patient transportation services at traditional hospitals and</w:t>
            </w:r>
          </w:p>
        </w:tc>
        <w:tc>
          <w:tcPr>
            <w:tcW w:w="0" w:type="dxa"/>
            <w:vAlign w:val="bottom"/>
          </w:tcPr>
          <w:p>
            <w:pPr>
              <w:spacing w:after="0"/>
              <w:rPr>
                <w:sz w:val="1"/>
                <w:szCs w:val="1"/>
                <w:color w:val="auto"/>
              </w:rPr>
            </w:pPr>
          </w:p>
        </w:tc>
      </w:tr>
      <w:tr>
        <w:trPr>
          <w:trHeight w:val="109"/>
        </w:trPr>
        <w:tc>
          <w:tcPr>
            <w:tcW w:w="3360" w:type="dxa"/>
            <w:vAlign w:val="bottom"/>
            <w:tcBorders>
              <w:right w:val="single" w:sz="8" w:color="auto"/>
            </w:tcBorders>
            <w:vMerge w:val="continue"/>
          </w:tcPr>
          <w:p>
            <w:pPr>
              <w:spacing w:after="0"/>
              <w:rPr>
                <w:sz w:val="9"/>
                <w:szCs w:val="9"/>
                <w:color w:val="auto"/>
              </w:rPr>
            </w:pPr>
          </w:p>
        </w:tc>
        <w:tc>
          <w:tcPr>
            <w:tcW w:w="80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non-acute facilities. This business was previously reported as part of our legacy Emerging Industries</w:t>
            </w:r>
          </w:p>
        </w:tc>
        <w:tc>
          <w:tcPr>
            <w:tcW w:w="0" w:type="dxa"/>
            <w:vAlign w:val="bottom"/>
          </w:tcPr>
          <w:p>
            <w:pPr>
              <w:spacing w:after="0"/>
              <w:rPr>
                <w:sz w:val="1"/>
                <w:szCs w:val="1"/>
                <w:color w:val="auto"/>
              </w:rPr>
            </w:pPr>
          </w:p>
        </w:tc>
      </w:tr>
      <w:tr>
        <w:trPr>
          <w:trHeight w:val="94"/>
        </w:trPr>
        <w:tc>
          <w:tcPr>
            <w:tcW w:w="336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Group.</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adjustments resulting from actuarial developments of self-insurance reserves, and direct acquisition costs. Management does not review asset information by segment, therefore we do not present assets in this note.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40"/>
          </w:cols>
          <w:pgMar w:left="240" w:top="522" w:right="2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63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shd w:val="clear" w:color="auto" w:fill="DCE2EF"/>
              </w:rPr>
              <w:t>Revenues</w:t>
            </w:r>
          </w:p>
        </w:tc>
        <w:tc>
          <w:tcPr>
            <w:tcW w:w="360" w:type="dxa"/>
            <w:vAlign w:val="bottom"/>
            <w:tcBorders>
              <w:bottom w:val="single" w:sz="8" w:color="DCE2EF"/>
            </w:tcBorders>
            <w:shd w:val="clear" w:color="auto" w:fill="DCE2EF"/>
          </w:tcPr>
          <w:p>
            <w:pPr>
              <w:spacing w:after="0"/>
              <w:rPr>
                <w:sz w:val="21"/>
                <w:szCs w:val="21"/>
                <w:color w:val="auto"/>
              </w:rPr>
            </w:pPr>
          </w:p>
        </w:tc>
        <w:tc>
          <w:tcPr>
            <w:tcW w:w="124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DCE2EF"/>
            </w:tcBorders>
            <w:shd w:val="clear" w:color="auto" w:fill="DCE2EF"/>
          </w:tcPr>
          <w:p>
            <w:pPr>
              <w:spacing w:after="0"/>
              <w:rPr>
                <w:sz w:val="21"/>
                <w:szCs w:val="21"/>
                <w:color w:val="auto"/>
              </w:rPr>
            </w:pPr>
          </w:p>
        </w:tc>
        <w:tc>
          <w:tcPr>
            <w:tcW w:w="1240" w:type="dxa"/>
            <w:vAlign w:val="bottom"/>
            <w:tcBorders>
              <w:bottom w:val="single" w:sz="8" w:color="DCE2EF"/>
            </w:tcBorders>
            <w:shd w:val="clear" w:color="auto" w:fill="DCE2EF"/>
          </w:tcPr>
          <w:p>
            <w:pPr>
              <w:spacing w:after="0"/>
              <w:rPr>
                <w:sz w:val="21"/>
                <w:szCs w:val="21"/>
                <w:color w:val="auto"/>
              </w:rPr>
            </w:pPr>
          </w:p>
        </w:tc>
        <w:tc>
          <w:tcPr>
            <w:tcW w:w="12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DCE2EF"/>
            </w:tcBorders>
            <w:shd w:val="clear" w:color="auto" w:fill="DCE2EF"/>
          </w:tcPr>
          <w:p>
            <w:pPr>
              <w:spacing w:after="0"/>
              <w:rPr>
                <w:sz w:val="21"/>
                <w:szCs w:val="21"/>
                <w:color w:val="auto"/>
              </w:rPr>
            </w:pPr>
          </w:p>
        </w:tc>
        <w:tc>
          <w:tcPr>
            <w:tcW w:w="1220" w:type="dxa"/>
            <w:vAlign w:val="bottom"/>
            <w:tcBorders>
              <w:bottom w:val="single" w:sz="8" w:color="DCE2EF"/>
            </w:tcBorders>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Business &amp; Industry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2,917.6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2,629.1</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2,557.1</w:t>
            </w:r>
          </w:p>
        </w:tc>
        <w:tc>
          <w:tcPr>
            <w:tcW w:w="0" w:type="dxa"/>
            <w:vAlign w:val="bottom"/>
          </w:tcPr>
          <w:p>
            <w:pPr>
              <w:spacing w:after="0"/>
              <w:rPr>
                <w:sz w:val="1"/>
                <w:szCs w:val="1"/>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70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shd w:val="clear" w:color="auto" w:fill="DCE2EF"/>
              </w:rPr>
              <w:t>Aviation</w:t>
            </w:r>
          </w:p>
        </w:tc>
        <w:tc>
          <w:tcPr>
            <w:tcW w:w="564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1,023.8</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DCE2EF"/>
            </w:tcBorders>
            <w:shd w:val="clear" w:color="auto" w:fill="DCE2EF"/>
          </w:tcPr>
          <w:p>
            <w:pPr>
              <w:spacing w:after="0"/>
              <w:rPr>
                <w:sz w:val="22"/>
                <w:szCs w:val="22"/>
                <w:color w:val="auto"/>
              </w:rPr>
            </w:pPr>
          </w:p>
        </w:tc>
        <w:tc>
          <w:tcPr>
            <w:tcW w:w="124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990.4</w:t>
            </w:r>
          </w:p>
        </w:tc>
        <w:tc>
          <w:tcPr>
            <w:tcW w:w="120" w:type="dxa"/>
            <w:vAlign w:val="bottom"/>
            <w:tcBorders>
              <w:bottom w:val="single" w:sz="8" w:color="DCE2EF"/>
            </w:tcBorders>
            <w:shd w:val="clear" w:color="auto" w:fill="DCE2EF"/>
          </w:tcPr>
          <w:p>
            <w:pPr>
              <w:spacing w:after="0"/>
              <w:rPr>
                <w:sz w:val="22"/>
                <w:szCs w:val="22"/>
                <w:color w:val="auto"/>
              </w:rPr>
            </w:pPr>
          </w:p>
        </w:tc>
        <w:tc>
          <w:tcPr>
            <w:tcW w:w="380" w:type="dxa"/>
            <w:vAlign w:val="bottom"/>
            <w:tcBorders>
              <w:bottom w:val="single" w:sz="8" w:color="DCE2EF"/>
            </w:tcBorders>
            <w:shd w:val="clear" w:color="auto" w:fill="DCE2EF"/>
          </w:tcPr>
          <w:p>
            <w:pPr>
              <w:spacing w:after="0"/>
              <w:rPr>
                <w:sz w:val="22"/>
                <w:szCs w:val="22"/>
                <w:color w:val="auto"/>
              </w:rPr>
            </w:pPr>
          </w:p>
        </w:tc>
        <w:tc>
          <w:tcPr>
            <w:tcW w:w="12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Technology &amp; Manufacturing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924.5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Education</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837.5</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Technical Solutions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Healthcare</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273.3</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247.5</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64"/>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Government Services</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50"/>
        </w:trPr>
        <w:tc>
          <w:tcPr>
            <w:tcW w:w="40" w:type="dxa"/>
            <w:vAlign w:val="bottom"/>
            <w:tcBorders>
              <w:top w:val="single" w:sz="8" w:color="DCE2EF"/>
              <w:bottom w:val="single" w:sz="8" w:color="DCE2EF"/>
            </w:tcBorders>
            <w:shd w:val="clear" w:color="auto" w:fill="DCE2EF"/>
          </w:tcPr>
          <w:p>
            <w:pPr>
              <w:spacing w:after="0"/>
              <w:rPr>
                <w:sz w:val="21"/>
                <w:szCs w:val="21"/>
                <w:color w:val="auto"/>
              </w:rPr>
            </w:pPr>
          </w:p>
        </w:tc>
        <w:tc>
          <w:tcPr>
            <w:tcW w:w="700" w:type="dxa"/>
            <w:vAlign w:val="bottom"/>
            <w:tcBorders>
              <w:top w:val="single" w:sz="8" w:color="DCE2EF"/>
              <w:bottom w:val="single" w:sz="8" w:color="DCE2EF"/>
            </w:tcBorders>
            <w:shd w:val="clear" w:color="auto" w:fill="DCE2EF"/>
          </w:tcPr>
          <w:p>
            <w:pPr>
              <w:spacing w:after="0"/>
              <w:rPr>
                <w:sz w:val="21"/>
                <w:szCs w:val="21"/>
                <w:color w:val="auto"/>
              </w:rPr>
            </w:pPr>
          </w:p>
        </w:tc>
        <w:tc>
          <w:tcPr>
            <w:tcW w:w="5640" w:type="dxa"/>
            <w:vAlign w:val="bottom"/>
            <w:tcBorders>
              <w:top w:val="single" w:sz="8" w:color="DCE2EF"/>
              <w:bottom w:val="single" w:sz="8" w:color="DCE2EF"/>
            </w:tcBorders>
            <w:shd w:val="clear" w:color="auto" w:fill="DCE2EF"/>
          </w:tcPr>
          <w:p>
            <w:pPr>
              <w:spacing w:after="0"/>
              <w:rPr>
                <w:sz w:val="21"/>
                <w:szCs w:val="21"/>
                <w:color w:val="auto"/>
              </w:rPr>
            </w:pPr>
          </w:p>
        </w:tc>
        <w:tc>
          <w:tcPr>
            <w:tcW w:w="360" w:type="dxa"/>
            <w:vAlign w:val="bottom"/>
            <w:tcBorders>
              <w:top w:val="single" w:sz="8" w:color="auto"/>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6,442.2</w:t>
            </w:r>
          </w:p>
        </w:tc>
        <w:tc>
          <w:tcPr>
            <w:tcW w:w="120" w:type="dxa"/>
            <w:vAlign w:val="bottom"/>
            <w:tcBorders>
              <w:top w:val="single" w:sz="8" w:color="DCE2EF"/>
              <w:bottom w:val="single" w:sz="8" w:color="DCE2EF"/>
            </w:tcBorders>
            <w:shd w:val="clear" w:color="auto" w:fill="DCE2EF"/>
          </w:tcPr>
          <w:p>
            <w:pPr>
              <w:spacing w:after="0"/>
              <w:rPr>
                <w:sz w:val="21"/>
                <w:szCs w:val="21"/>
                <w:color w:val="auto"/>
              </w:rPr>
            </w:pPr>
          </w:p>
        </w:tc>
        <w:tc>
          <w:tcPr>
            <w:tcW w:w="360" w:type="dxa"/>
            <w:vAlign w:val="bottom"/>
            <w:tcBorders>
              <w:top w:val="single" w:sz="8" w:color="auto"/>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5,453.6</w:t>
            </w:r>
          </w:p>
        </w:tc>
        <w:tc>
          <w:tcPr>
            <w:tcW w:w="120" w:type="dxa"/>
            <w:vAlign w:val="bottom"/>
            <w:tcBorders>
              <w:top w:val="single" w:sz="8" w:color="DCE2EF"/>
              <w:bottom w:val="single" w:sz="8" w:color="DCE2EF"/>
            </w:tcBorders>
            <w:shd w:val="clear" w:color="auto" w:fill="DCE2EF"/>
          </w:tcPr>
          <w:p>
            <w:pPr>
              <w:spacing w:after="0"/>
              <w:rPr>
                <w:sz w:val="21"/>
                <w:szCs w:val="21"/>
                <w:color w:val="auto"/>
              </w:rPr>
            </w:pPr>
          </w:p>
        </w:tc>
        <w:tc>
          <w:tcPr>
            <w:tcW w:w="380" w:type="dxa"/>
            <w:vAlign w:val="bottom"/>
            <w:tcBorders>
              <w:top w:val="single" w:sz="8" w:color="auto"/>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5,144.7</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Aviation</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Technology &amp; Manufacturing</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Education</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Technical Solutions</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Healthcare</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Government Services</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35"/>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Adjustment for income from unconsolidated affiliates, net, included in Aviation</w:t>
            </w: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380" w:type="dxa"/>
            <w:vAlign w:val="bottom"/>
            <w:shd w:val="clear" w:color="auto" w:fill="DCE2EF"/>
          </w:tcPr>
          <w:p>
            <w:pPr>
              <w:spacing w:after="0"/>
              <w:rPr>
                <w:sz w:val="20"/>
                <w:szCs w:val="20"/>
                <w:color w:val="auto"/>
              </w:rPr>
            </w:pPr>
          </w:p>
        </w:tc>
        <w:tc>
          <w:tcPr>
            <w:tcW w:w="122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CE2EF"/>
          </w:tcPr>
          <w:p>
            <w:pPr>
              <w:spacing w:after="0"/>
              <w:rPr>
                <w:sz w:val="20"/>
                <w:szCs w:val="20"/>
                <w:color w:val="auto"/>
              </w:rPr>
            </w:pPr>
          </w:p>
        </w:tc>
        <w:tc>
          <w:tcPr>
            <w:tcW w:w="6340" w:type="dxa"/>
            <w:vAlign w:val="bottom"/>
            <w:gridSpan w:val="2"/>
            <w:shd w:val="clear" w:color="auto" w:fill="DCE2EF"/>
          </w:tcPr>
          <w:p>
            <w:pPr>
              <w:ind w:left="160"/>
              <w:spacing w:after="0"/>
              <w:rPr>
                <w:sz w:val="20"/>
                <w:szCs w:val="20"/>
                <w:color w:val="auto"/>
              </w:rPr>
            </w:pPr>
            <w:r>
              <w:rPr>
                <w:rFonts w:ascii="Arial" w:cs="Arial" w:eastAsia="Arial" w:hAnsi="Arial"/>
                <w:sz w:val="18"/>
                <w:szCs w:val="18"/>
                <w:color w:val="auto"/>
              </w:rPr>
              <w:t>and Government Services</w:t>
            </w: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CE2EF"/>
          </w:tcPr>
          <w:p>
            <w:pPr>
              <w:spacing w:after="0"/>
              <w:rPr>
                <w:sz w:val="20"/>
                <w:szCs w:val="20"/>
                <w:color w:val="auto"/>
              </w:rPr>
            </w:pPr>
          </w:p>
        </w:tc>
        <w:tc>
          <w:tcPr>
            <w:tcW w:w="360" w:type="dxa"/>
            <w:vAlign w:val="bottom"/>
            <w:shd w:val="clear" w:color="auto" w:fill="DCE2EF"/>
          </w:tcPr>
          <w:p>
            <w:pPr>
              <w:spacing w:after="0"/>
              <w:rPr>
                <w:sz w:val="20"/>
                <w:szCs w:val="20"/>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DCE2EF"/>
          </w:tcPr>
          <w:p>
            <w:pPr>
              <w:spacing w:after="0"/>
              <w:rPr>
                <w:sz w:val="20"/>
                <w:szCs w:val="20"/>
                <w:color w:val="auto"/>
              </w:rPr>
            </w:pPr>
          </w:p>
        </w:tc>
        <w:tc>
          <w:tcPr>
            <w:tcW w:w="380" w:type="dxa"/>
            <w:vAlign w:val="bottom"/>
            <w:shd w:val="clear" w:color="auto" w:fill="DCE2EF"/>
          </w:tcPr>
          <w:p>
            <w:pPr>
              <w:spacing w:after="0"/>
              <w:rPr>
                <w:sz w:val="20"/>
                <w:szCs w:val="20"/>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Adjustment for tax deductions for energy efficient government buildings,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DCE2EF"/>
            </w:tcBorders>
          </w:tcPr>
          <w:p>
            <w:pPr>
              <w:spacing w:after="0"/>
              <w:rPr>
                <w:sz w:val="19"/>
                <w:szCs w:val="19"/>
                <w:color w:val="auto"/>
              </w:rPr>
            </w:pPr>
          </w:p>
        </w:tc>
        <w:tc>
          <w:tcPr>
            <w:tcW w:w="6340" w:type="dxa"/>
            <w:vAlign w:val="bottom"/>
            <w:tcBorders>
              <w:bottom w:val="single" w:sz="8" w:color="DCE2EF"/>
            </w:tcBorders>
            <w:gridSpan w:val="2"/>
          </w:tcPr>
          <w:p>
            <w:pPr>
              <w:ind w:left="160"/>
              <w:spacing w:after="0"/>
              <w:rPr>
                <w:sz w:val="20"/>
                <w:szCs w:val="20"/>
                <w:color w:val="auto"/>
              </w:rPr>
            </w:pPr>
            <w:r>
              <w:rPr>
                <w:rFonts w:ascii="Arial" w:cs="Arial" w:eastAsia="Arial" w:hAnsi="Arial"/>
                <w:sz w:val="18"/>
                <w:szCs w:val="18"/>
                <w:color w:val="auto"/>
              </w:rPr>
              <w:t>included in Technical Solutions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40" w:type="dxa"/>
            <w:vAlign w:val="bottom"/>
            <w:shd w:val="clear" w:color="auto" w:fill="DCE2EF"/>
          </w:tcPr>
          <w:p>
            <w:pPr>
              <w:spacing w:after="0"/>
              <w:rPr>
                <w:sz w:val="21"/>
                <w:szCs w:val="21"/>
                <w:color w:val="auto"/>
              </w:rPr>
            </w:pPr>
          </w:p>
        </w:tc>
        <w:tc>
          <w:tcPr>
            <w:tcW w:w="700" w:type="dxa"/>
            <w:vAlign w:val="bottom"/>
            <w:shd w:val="clear" w:color="auto" w:fill="DCE2EF"/>
          </w:tcPr>
          <w:p>
            <w:pPr>
              <w:spacing w:after="0"/>
              <w:rPr>
                <w:sz w:val="21"/>
                <w:szCs w:val="21"/>
                <w:color w:val="auto"/>
              </w:rPr>
            </w:pPr>
          </w:p>
        </w:tc>
        <w:tc>
          <w:tcPr>
            <w:tcW w:w="5640" w:type="dxa"/>
            <w:vAlign w:val="bottom"/>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spacing w:after="0"/>
              <w:rPr>
                <w:sz w:val="21"/>
                <w:szCs w:val="21"/>
                <w:color w:val="auto"/>
              </w:rPr>
            </w:pP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21"/>
                <w:szCs w:val="21"/>
                <w:b w:val="1"/>
                <w:bCs w:val="1"/>
                <w:color w:val="auto"/>
                <w:vertAlign w:val="superscript"/>
              </w:rPr>
              <w:t>(1)</w:t>
            </w: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2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Business &amp; Industry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Technology &amp; Manufacturing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Education</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Technical Solutions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Healthcare</w:t>
            </w: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Government Services</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Excludes amortization related to income from unconsolidated affiliates.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Geographic Information Based on the Country in Which the Sale Originated</w:t>
      </w:r>
      <w:r>
        <w:rPr>
          <w:rFonts w:ascii="Arial" w:cs="Arial" w:eastAsia="Arial" w:hAnsi="Arial"/>
          <w:sz w:val="21"/>
          <w:szCs w:val="21"/>
          <w:color w:val="0046AD"/>
          <w:vertAlign w:val="superscript"/>
        </w:rPr>
        <w:t>(1)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20" w:type="dxa"/>
            <w:vAlign w:val="bottom"/>
            <w:shd w:val="clear" w:color="auto" w:fill="DCE2E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5,997.4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5,126.8</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4,845.3</w:t>
            </w:r>
          </w:p>
        </w:tc>
      </w:tr>
      <w:tr>
        <w:trPr>
          <w:trHeight w:val="270"/>
        </w:trPr>
        <w:tc>
          <w:tcPr>
            <w:tcW w:w="63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All other countries</w:t>
            </w: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444.8</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326.8</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299.4</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6,442.2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5,453.6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5,144.7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Substantially all of our long-lived assets are related to United States operations.</w:t>
      </w:r>
    </w:p>
    <w:p>
      <w:pPr>
        <w:sectPr>
          <w:pgSz w:w="11900" w:h="16838" w:orient="portrait"/>
          <w:cols w:equalWidth="0" w:num="1">
            <w:col w:w="11420"/>
          </w:cols>
          <w:pgMar w:left="240" w:top="522" w:right="2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522"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7"/>
          <w:szCs w:val="17"/>
          <w:b w:val="1"/>
          <w:bCs w:val="1"/>
          <w:color w:val="0046AD"/>
        </w:rPr>
        <w:t>19.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862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ectPr>
          <w:pgSz w:w="11900" w:h="16838" w:orient="portrait"/>
          <w:cols w:equalWidth="0" w:num="1">
            <w:col w:w="11240"/>
          </w:cols>
          <w:pgMar w:left="240" w:top="522" w:right="419" w:bottom="1440" w:gutter="0" w:footer="0" w:header="0"/>
        </w:sect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Fiscal Quarter</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59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First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Fourth</w:t>
            </w:r>
          </w:p>
        </w:tc>
        <w:tc>
          <w:tcPr>
            <w:tcW w:w="16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36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Year ended October 31, 2018</w:t>
            </w:r>
          </w:p>
        </w:tc>
        <w:tc>
          <w:tcPr>
            <w:tcW w:w="240" w:type="dxa"/>
            <w:vAlign w:val="bottom"/>
            <w:shd w:val="clear" w:color="auto" w:fill="DCE2EF"/>
          </w:tcPr>
          <w:p>
            <w:pPr>
              <w:spacing w:after="0"/>
              <w:rPr>
                <w:sz w:val="22"/>
                <w:szCs w:val="22"/>
                <w:color w:val="auto"/>
              </w:rPr>
            </w:pPr>
          </w:p>
        </w:tc>
        <w:tc>
          <w:tcPr>
            <w:tcW w:w="80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160" w:type="dxa"/>
            <w:vAlign w:val="bottom"/>
          </w:tcPr>
          <w:p>
            <w:pPr>
              <w:spacing w:after="0"/>
              <w:rPr>
                <w:sz w:val="22"/>
                <w:szCs w:val="22"/>
                <w:color w:val="auto"/>
              </w:rPr>
            </w:pPr>
          </w:p>
        </w:tc>
      </w:tr>
      <w:tr>
        <w:trPr>
          <w:trHeight w:val="26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1,588.3</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1,580.8</w:t>
            </w:r>
          </w:p>
        </w:tc>
        <w:tc>
          <w:tcPr>
            <w:tcW w:w="3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1,624.3</w:t>
            </w:r>
          </w:p>
        </w:tc>
        <w:tc>
          <w:tcPr>
            <w:tcW w:w="3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1,648.8</w:t>
            </w:r>
          </w:p>
        </w:tc>
        <w:tc>
          <w:tcPr>
            <w:tcW w:w="160" w:type="dxa"/>
            <w:vAlign w:val="bottom"/>
          </w:tcPr>
          <w:p>
            <w:pPr>
              <w:spacing w:after="0"/>
              <w:rPr>
                <w:sz w:val="22"/>
                <w:szCs w:val="22"/>
                <w:color w:val="auto"/>
              </w:rPr>
            </w:pPr>
          </w:p>
        </w:tc>
      </w:tr>
      <w:tr>
        <w:trPr>
          <w:trHeight w:val="257"/>
        </w:trPr>
        <w:tc>
          <w:tcPr>
            <w:tcW w:w="40" w:type="dxa"/>
            <w:vAlign w:val="bottom"/>
            <w:tcBorders>
              <w:bottom w:val="single" w:sz="8" w:color="DCE2EF"/>
            </w:tcBorders>
            <w:shd w:val="clear" w:color="auto" w:fill="DCE2EF"/>
          </w:tcPr>
          <w:p>
            <w:pPr>
              <w:spacing w:after="0"/>
              <w:rPr>
                <w:sz w:val="22"/>
                <w:szCs w:val="22"/>
                <w:color w:val="auto"/>
              </w:rPr>
            </w:pPr>
          </w:p>
        </w:tc>
        <w:tc>
          <w:tcPr>
            <w:tcW w:w="224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shd w:val="clear" w:color="auto" w:fill="DCE2EF"/>
              </w:rPr>
              <w:t>Gross profit</w:t>
            </w:r>
          </w:p>
        </w:tc>
        <w:tc>
          <w:tcPr>
            <w:tcW w:w="3620" w:type="dxa"/>
            <w:vAlign w:val="bottom"/>
            <w:tcBorders>
              <w:bottom w:val="single" w:sz="8" w:color="DCE2EF"/>
            </w:tcBorders>
            <w:shd w:val="clear" w:color="auto" w:fill="DCE2EF"/>
          </w:tcPr>
          <w:p>
            <w:pPr>
              <w:spacing w:after="0"/>
              <w:rPr>
                <w:sz w:val="22"/>
                <w:szCs w:val="22"/>
                <w:color w:val="auto"/>
              </w:rPr>
            </w:pPr>
          </w:p>
        </w:tc>
        <w:tc>
          <w:tcPr>
            <w:tcW w:w="240" w:type="dxa"/>
            <w:vAlign w:val="bottom"/>
            <w:tcBorders>
              <w:bottom w:val="single" w:sz="8" w:color="DCE2EF"/>
            </w:tcBorders>
            <w:shd w:val="clear" w:color="auto" w:fill="DCE2EF"/>
          </w:tcPr>
          <w:p>
            <w:pPr>
              <w:spacing w:after="0"/>
              <w:rPr>
                <w:sz w:val="22"/>
                <w:szCs w:val="22"/>
                <w:color w:val="auto"/>
              </w:rPr>
            </w:pPr>
          </w:p>
        </w:tc>
        <w:tc>
          <w:tcPr>
            <w:tcW w:w="80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159.0</w:t>
            </w:r>
          </w:p>
        </w:tc>
        <w:tc>
          <w:tcPr>
            <w:tcW w:w="340" w:type="dxa"/>
            <w:vAlign w:val="bottom"/>
            <w:tcBorders>
              <w:bottom w:val="single" w:sz="8" w:color="DCE2EF"/>
            </w:tcBorders>
            <w:shd w:val="clear" w:color="auto" w:fill="DCE2EF"/>
          </w:tcPr>
          <w:p>
            <w:pPr>
              <w:spacing w:after="0"/>
              <w:rPr>
                <w:sz w:val="22"/>
                <w:szCs w:val="22"/>
                <w:color w:val="auto"/>
              </w:rPr>
            </w:pPr>
          </w:p>
        </w:tc>
        <w:tc>
          <w:tcPr>
            <w:tcW w:w="160" w:type="dxa"/>
            <w:vAlign w:val="bottom"/>
            <w:tcBorders>
              <w:bottom w:val="single" w:sz="8" w:color="DCE2EF"/>
            </w:tcBorders>
            <w:shd w:val="clear" w:color="auto" w:fill="DCE2EF"/>
          </w:tcPr>
          <w:p>
            <w:pPr>
              <w:spacing w:after="0"/>
              <w:rPr>
                <w:sz w:val="22"/>
                <w:szCs w:val="22"/>
                <w:color w:val="auto"/>
              </w:rPr>
            </w:pPr>
          </w:p>
        </w:tc>
        <w:tc>
          <w:tcPr>
            <w:tcW w:w="88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175.0</w:t>
            </w:r>
          </w:p>
        </w:tc>
        <w:tc>
          <w:tcPr>
            <w:tcW w:w="340" w:type="dxa"/>
            <w:vAlign w:val="bottom"/>
            <w:tcBorders>
              <w:bottom w:val="single" w:sz="8" w:color="DCE2EF"/>
            </w:tcBorders>
            <w:shd w:val="clear" w:color="auto" w:fill="DCE2EF"/>
          </w:tcPr>
          <w:p>
            <w:pPr>
              <w:spacing w:after="0"/>
              <w:rPr>
                <w:sz w:val="22"/>
                <w:szCs w:val="22"/>
                <w:color w:val="auto"/>
              </w:rPr>
            </w:pPr>
          </w:p>
        </w:tc>
        <w:tc>
          <w:tcPr>
            <w:tcW w:w="22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177.6</w:t>
            </w:r>
          </w:p>
        </w:tc>
        <w:tc>
          <w:tcPr>
            <w:tcW w:w="340" w:type="dxa"/>
            <w:vAlign w:val="bottom"/>
            <w:tcBorders>
              <w:bottom w:val="single" w:sz="8" w:color="DCE2EF"/>
            </w:tcBorders>
            <w:shd w:val="clear" w:color="auto" w:fill="DCE2EF"/>
          </w:tcPr>
          <w:p>
            <w:pPr>
              <w:spacing w:after="0"/>
              <w:rPr>
                <w:sz w:val="22"/>
                <w:szCs w:val="22"/>
                <w:color w:val="auto"/>
              </w:rPr>
            </w:pPr>
          </w:p>
        </w:tc>
        <w:tc>
          <w:tcPr>
            <w:tcW w:w="180" w:type="dxa"/>
            <w:vAlign w:val="bottom"/>
            <w:tcBorders>
              <w:bottom w:val="single" w:sz="8" w:color="DCE2EF"/>
            </w:tcBorders>
            <w:shd w:val="clear" w:color="auto" w:fill="DCE2EF"/>
          </w:tcPr>
          <w:p>
            <w:pPr>
              <w:spacing w:after="0"/>
              <w:rPr>
                <w:sz w:val="22"/>
                <w:szCs w:val="22"/>
                <w:color w:val="auto"/>
              </w:rPr>
            </w:pPr>
          </w:p>
        </w:tc>
        <w:tc>
          <w:tcPr>
            <w:tcW w:w="86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183.1</w:t>
            </w:r>
          </w:p>
        </w:tc>
        <w:tc>
          <w:tcPr>
            <w:tcW w:w="160" w:type="dxa"/>
            <w:vAlign w:val="bottom"/>
          </w:tcPr>
          <w:p>
            <w:pPr>
              <w:spacing w:after="0"/>
              <w:rPr>
                <w:sz w:val="22"/>
                <w:szCs w:val="22"/>
                <w:color w:val="auto"/>
              </w:rPr>
            </w:pPr>
          </w:p>
        </w:tc>
      </w:tr>
      <w:tr>
        <w:trPr>
          <w:trHeight w:val="26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2"/>
                <w:szCs w:val="22"/>
                <w:color w:val="auto"/>
              </w:rPr>
            </w:pPr>
          </w:p>
        </w:tc>
      </w:tr>
      <w:tr>
        <w:trPr>
          <w:trHeight w:val="270"/>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(Loss) income from discontinued operations, net of taxes</w:t>
            </w:r>
          </w:p>
        </w:tc>
        <w:tc>
          <w:tcPr>
            <w:tcW w:w="240" w:type="dxa"/>
            <w:vAlign w:val="bottom"/>
            <w:tcBorders>
              <w:bottom w:val="single" w:sz="8" w:color="auto"/>
            </w:tcBorders>
            <w:shd w:val="clear" w:color="auto" w:fill="DCE2EF"/>
          </w:tcPr>
          <w:p>
            <w:pPr>
              <w:spacing w:after="0"/>
              <w:rPr>
                <w:sz w:val="23"/>
                <w:szCs w:val="23"/>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DCE2EF"/>
          </w:tcPr>
          <w:p>
            <w:pPr>
              <w:spacing w:after="0"/>
              <w:rPr>
                <w:sz w:val="23"/>
                <w:szCs w:val="23"/>
                <w:color w:val="auto"/>
              </w:rPr>
            </w:pPr>
          </w:p>
        </w:tc>
        <w:tc>
          <w:tcPr>
            <w:tcW w:w="160" w:type="dxa"/>
            <w:vAlign w:val="bottom"/>
            <w:tcBorders>
              <w:bottom w:val="single" w:sz="8" w:color="auto"/>
            </w:tcBorders>
            <w:shd w:val="clear" w:color="auto" w:fill="DCE2EF"/>
          </w:tcPr>
          <w:p>
            <w:pPr>
              <w:spacing w:after="0"/>
              <w:rPr>
                <w:sz w:val="23"/>
                <w:szCs w:val="23"/>
                <w:color w:val="auto"/>
              </w:rPr>
            </w:pPr>
          </w:p>
        </w:tc>
        <w:tc>
          <w:tcPr>
            <w:tcW w:w="8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8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3"/>
                <w:szCs w:val="23"/>
                <w:color w:val="auto"/>
              </w:rPr>
            </w:pPr>
          </w:p>
        </w:tc>
      </w:tr>
      <w:tr>
        <w:trPr>
          <w:trHeight w:val="297"/>
        </w:trPr>
        <w:tc>
          <w:tcPr>
            <w:tcW w:w="59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340" w:type="dxa"/>
            <w:vAlign w:val="bottom"/>
            <w:tcBorders>
              <w:bottom w:val="single" w:sz="8" w:color="DCE2EF"/>
            </w:tcBorders>
          </w:tcPr>
          <w:p>
            <w:pPr>
              <w:jc w:val="right"/>
              <w:ind w:right="126"/>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340" w:type="dxa"/>
            <w:vAlign w:val="bottom"/>
            <w:tcBorders>
              <w:bottom w:val="single" w:sz="8" w:color="DCE2E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DCE2E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278"/>
        </w:trPr>
        <w:tc>
          <w:tcPr>
            <w:tcW w:w="40" w:type="dxa"/>
            <w:vAlign w:val="bottom"/>
            <w:shd w:val="clear" w:color="auto" w:fill="DCE2EF"/>
          </w:tcPr>
          <w:p>
            <w:pPr>
              <w:spacing w:after="0"/>
              <w:rPr>
                <w:sz w:val="24"/>
                <w:szCs w:val="24"/>
                <w:color w:val="auto"/>
              </w:rPr>
            </w:pPr>
          </w:p>
        </w:tc>
        <w:tc>
          <w:tcPr>
            <w:tcW w:w="2240" w:type="dxa"/>
            <w:vAlign w:val="bottom"/>
            <w:shd w:val="clear" w:color="auto" w:fill="DCE2EF"/>
          </w:tcPr>
          <w:p>
            <w:pPr>
              <w:spacing w:after="0"/>
              <w:rPr>
                <w:sz w:val="24"/>
                <w:szCs w:val="24"/>
                <w:color w:val="auto"/>
              </w:rPr>
            </w:pPr>
          </w:p>
        </w:tc>
        <w:tc>
          <w:tcPr>
            <w:tcW w:w="362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88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 — Basic</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5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0.42</w:t>
            </w: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0.38</w:t>
            </w: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0.51</w:t>
            </w: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r>
      <w:tr>
        <w:trPr>
          <w:trHeight w:val="257"/>
        </w:trPr>
        <w:tc>
          <w:tcPr>
            <w:tcW w:w="40" w:type="dxa"/>
            <w:vAlign w:val="bottom"/>
            <w:tcBorders>
              <w:top w:val="single" w:sz="8" w:color="DCE2EF"/>
              <w:bottom w:val="single" w:sz="8" w:color="DCE2EF"/>
            </w:tcBorders>
            <w:shd w:val="clear" w:color="auto" w:fill="DCE2EF"/>
          </w:tcPr>
          <w:p>
            <w:pPr>
              <w:spacing w:after="0"/>
              <w:rPr>
                <w:sz w:val="22"/>
                <w:szCs w:val="22"/>
                <w:color w:val="auto"/>
              </w:rPr>
            </w:pPr>
          </w:p>
        </w:tc>
        <w:tc>
          <w:tcPr>
            <w:tcW w:w="586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0.42</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0.40</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2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0.51</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income per common share — Diluted</w:t>
            </w:r>
          </w:p>
        </w:tc>
        <w:tc>
          <w:tcPr>
            <w:tcW w:w="24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8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60" w:type="dxa"/>
            <w:vAlign w:val="bottom"/>
            <w:shd w:val="clear" w:color="auto" w:fill="DCE2EF"/>
          </w:tcPr>
          <w:p>
            <w:pPr>
              <w:spacing w:after="0"/>
              <w:rPr>
                <w:sz w:val="23"/>
                <w:szCs w:val="23"/>
                <w:color w:val="auto"/>
              </w:rPr>
            </w:pPr>
          </w:p>
        </w:tc>
        <w:tc>
          <w:tcPr>
            <w:tcW w:w="16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3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3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22"/>
                <w:szCs w:val="22"/>
                <w:color w:val="auto"/>
              </w:rPr>
            </w:pPr>
          </w:p>
        </w:tc>
      </w:tr>
      <w:tr>
        <w:trPr>
          <w:trHeight w:val="270"/>
        </w:trPr>
        <w:tc>
          <w:tcPr>
            <w:tcW w:w="40" w:type="dxa"/>
            <w:vAlign w:val="bottom"/>
            <w:shd w:val="clear" w:color="auto" w:fill="DCE2EF"/>
          </w:tcPr>
          <w:p>
            <w:pPr>
              <w:spacing w:after="0"/>
              <w:rPr>
                <w:sz w:val="23"/>
                <w:szCs w:val="23"/>
                <w:color w:val="auto"/>
              </w:rPr>
            </w:pPr>
          </w:p>
        </w:tc>
        <w:tc>
          <w:tcPr>
            <w:tcW w:w="5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160" w:type="dxa"/>
            <w:vAlign w:val="bottom"/>
            <w:gridSpan w:val="2"/>
            <w:shd w:val="clear" w:color="auto" w:fill="DCE2E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3"/>
                <w:szCs w:val="23"/>
                <w:color w:val="auto"/>
              </w:rPr>
            </w:pPr>
          </w:p>
        </w:tc>
      </w:tr>
      <w:tr>
        <w:trPr>
          <w:trHeight w:val="297"/>
        </w:trPr>
        <w:tc>
          <w:tcPr>
            <w:tcW w:w="40" w:type="dxa"/>
            <w:vAlign w:val="bottom"/>
            <w:tcBorders>
              <w:bottom w:val="single" w:sz="8" w:color="DCE2EF"/>
            </w:tcBorders>
          </w:tcPr>
          <w:p>
            <w:pPr>
              <w:spacing w:after="0"/>
              <w:rPr>
                <w:sz w:val="24"/>
                <w:szCs w:val="24"/>
                <w:color w:val="auto"/>
              </w:rPr>
            </w:pPr>
          </w:p>
        </w:tc>
        <w:tc>
          <w:tcPr>
            <w:tcW w:w="58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340" w:type="dxa"/>
            <w:vAlign w:val="bottom"/>
            <w:tcBorders>
              <w:bottom w:val="single" w:sz="8" w:color="DCE2EF"/>
            </w:tcBorders>
          </w:tcPr>
          <w:p>
            <w:pPr>
              <w:jc w:val="right"/>
              <w:ind w:right="126"/>
              <w:spacing w:after="0"/>
              <w:rPr>
                <w:sz w:val="20"/>
                <w:szCs w:val="20"/>
                <w:color w:val="auto"/>
              </w:rPr>
            </w:pPr>
            <w:r>
              <w:rPr>
                <w:rFonts w:ascii="Arial" w:cs="Arial" w:eastAsia="Arial" w:hAnsi="Arial"/>
                <w:sz w:val="11"/>
                <w:szCs w:val="11"/>
                <w:color w:val="auto"/>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340" w:type="dxa"/>
            <w:vAlign w:val="bottom"/>
            <w:tcBorders>
              <w:bottom w:val="single" w:sz="8" w:color="DCE2EF"/>
            </w:tcBorders>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0.51</w:t>
            </w:r>
          </w:p>
        </w:tc>
        <w:tc>
          <w:tcPr>
            <w:tcW w:w="340" w:type="dxa"/>
            <w:vAlign w:val="bottom"/>
            <w:tcBorders>
              <w:bottom w:val="single" w:sz="8" w:color="DCE2E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278"/>
        </w:trPr>
        <w:tc>
          <w:tcPr>
            <w:tcW w:w="40" w:type="dxa"/>
            <w:vAlign w:val="bottom"/>
            <w:shd w:val="clear" w:color="auto" w:fill="DCE2EF"/>
          </w:tcPr>
          <w:p>
            <w:pPr>
              <w:spacing w:after="0"/>
              <w:rPr>
                <w:sz w:val="24"/>
                <w:szCs w:val="24"/>
                <w:color w:val="auto"/>
              </w:rPr>
            </w:pPr>
          </w:p>
        </w:tc>
        <w:tc>
          <w:tcPr>
            <w:tcW w:w="2240" w:type="dxa"/>
            <w:vAlign w:val="bottom"/>
            <w:shd w:val="clear" w:color="auto" w:fill="DCE2EF"/>
          </w:tcPr>
          <w:p>
            <w:pPr>
              <w:spacing w:after="0"/>
              <w:rPr>
                <w:sz w:val="24"/>
                <w:szCs w:val="24"/>
                <w:color w:val="auto"/>
              </w:rPr>
            </w:pPr>
          </w:p>
        </w:tc>
        <w:tc>
          <w:tcPr>
            <w:tcW w:w="362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88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90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October 31, 2017</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7"/>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1,326.7</w:t>
            </w: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1,310.5</w:t>
            </w: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1,318.4</w:t>
            </w: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1,497.9</w:t>
            </w:r>
          </w:p>
        </w:tc>
        <w:tc>
          <w:tcPr>
            <w:tcW w:w="160" w:type="dxa"/>
            <w:vAlign w:val="bottom"/>
          </w:tcPr>
          <w:p>
            <w:pPr>
              <w:spacing w:after="0"/>
              <w:rPr>
                <w:sz w:val="24"/>
                <w:szCs w:val="24"/>
                <w:color w:val="auto"/>
              </w:rPr>
            </w:pPr>
          </w:p>
        </w:tc>
      </w:tr>
      <w:tr>
        <w:trPr>
          <w:trHeight w:val="26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131.6</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145.9</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134.0</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22"/>
                <w:szCs w:val="22"/>
                <w:color w:val="auto"/>
              </w:rPr>
            </w:pPr>
          </w:p>
        </w:tc>
      </w:tr>
      <w:tr>
        <w:trPr>
          <w:trHeight w:val="277"/>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shd w:val="clear" w:color="auto" w:fill="DCE2EF"/>
          </w:tcPr>
          <w:p>
            <w:pPr>
              <w:spacing w:after="0"/>
              <w:rPr>
                <w:sz w:val="24"/>
                <w:szCs w:val="24"/>
                <w:color w:val="auto"/>
              </w:rPr>
            </w:pP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r>
      <w:tr>
        <w:trPr>
          <w:trHeight w:val="264"/>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(72.9)</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2"/>
                <w:szCs w:val="22"/>
                <w:color w:val="auto"/>
              </w:rPr>
            </w:pPr>
          </w:p>
        </w:tc>
      </w:tr>
      <w:tr>
        <w:trPr>
          <w:trHeight w:val="257"/>
        </w:trPr>
        <w:tc>
          <w:tcPr>
            <w:tcW w:w="5900" w:type="dxa"/>
            <w:vAlign w:val="bottom"/>
            <w:tcBorders>
              <w:top w:val="single" w:sz="8" w:color="DCE2EF"/>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(56.8)</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31.3</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2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32.9</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5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(loss) income per common share — Basic</w:t>
            </w:r>
          </w:p>
        </w:tc>
        <w:tc>
          <w:tcPr>
            <w:tcW w:w="240" w:type="dxa"/>
            <w:vAlign w:val="bottom"/>
            <w:shd w:val="clear" w:color="auto" w:fill="DCE2EF"/>
          </w:tcPr>
          <w:p>
            <w:pPr>
              <w:spacing w:after="0"/>
              <w:rPr>
                <w:sz w:val="23"/>
                <w:szCs w:val="23"/>
                <w:color w:val="auto"/>
              </w:rPr>
            </w:pPr>
          </w:p>
        </w:tc>
        <w:tc>
          <w:tcPr>
            <w:tcW w:w="8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8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860" w:type="dxa"/>
            <w:vAlign w:val="bottom"/>
            <w:shd w:val="clear" w:color="auto" w:fill="DCE2EF"/>
          </w:tcPr>
          <w:p>
            <w:pPr>
              <w:spacing w:after="0"/>
              <w:rPr>
                <w:sz w:val="23"/>
                <w:szCs w:val="23"/>
                <w:color w:val="auto"/>
              </w:rPr>
            </w:pPr>
          </w:p>
        </w:tc>
        <w:tc>
          <w:tcPr>
            <w:tcW w:w="16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3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3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2"/>
                <w:szCs w:val="22"/>
                <w:color w:val="auto"/>
              </w:rPr>
            </w:pPr>
          </w:p>
        </w:tc>
      </w:tr>
      <w:tr>
        <w:trPr>
          <w:trHeight w:val="270"/>
        </w:trPr>
        <w:tc>
          <w:tcPr>
            <w:tcW w:w="40" w:type="dxa"/>
            <w:vAlign w:val="bottom"/>
            <w:shd w:val="clear" w:color="auto" w:fill="DCE2EF"/>
          </w:tcPr>
          <w:p>
            <w:pPr>
              <w:spacing w:after="0"/>
              <w:rPr>
                <w:sz w:val="23"/>
                <w:szCs w:val="23"/>
                <w:color w:val="auto"/>
              </w:rPr>
            </w:pPr>
          </w:p>
        </w:tc>
        <w:tc>
          <w:tcPr>
            <w:tcW w:w="5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shd w:val="clear" w:color="auto" w:fill="DCE2EF"/>
          </w:tcPr>
          <w:p>
            <w:pPr>
              <w:spacing w:after="0"/>
              <w:rPr>
                <w:sz w:val="23"/>
                <w:szCs w:val="23"/>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160" w:type="dxa"/>
            <w:vAlign w:val="bottom"/>
            <w:gridSpan w:val="2"/>
            <w:shd w:val="clear" w:color="auto" w:fill="DCE2E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CE2EF"/>
          </w:tcPr>
          <w:p>
            <w:pPr>
              <w:spacing w:after="0"/>
              <w:rPr>
                <w:sz w:val="23"/>
                <w:szCs w:val="23"/>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3"/>
                <w:szCs w:val="23"/>
                <w:color w:val="auto"/>
              </w:rPr>
            </w:pPr>
          </w:p>
        </w:tc>
      </w:tr>
      <w:tr>
        <w:trPr>
          <w:trHeight w:val="297"/>
        </w:trPr>
        <w:tc>
          <w:tcPr>
            <w:tcW w:w="40" w:type="dxa"/>
            <w:vAlign w:val="bottom"/>
            <w:tcBorders>
              <w:bottom w:val="single" w:sz="8" w:color="DCE2EF"/>
            </w:tcBorders>
          </w:tcPr>
          <w:p>
            <w:pPr>
              <w:spacing w:after="0"/>
              <w:rPr>
                <w:sz w:val="24"/>
                <w:szCs w:val="24"/>
                <w:color w:val="auto"/>
              </w:rPr>
            </w:pPr>
          </w:p>
        </w:tc>
        <w:tc>
          <w:tcPr>
            <w:tcW w:w="58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DCE2E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0.56</w:t>
            </w:r>
          </w:p>
        </w:tc>
        <w:tc>
          <w:tcPr>
            <w:tcW w:w="340" w:type="dxa"/>
            <w:vAlign w:val="bottom"/>
            <w:tcBorders>
              <w:bottom w:val="single" w:sz="8" w:color="DCE2EF"/>
            </w:tcBorders>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0.59</w:t>
            </w:r>
          </w:p>
        </w:tc>
        <w:tc>
          <w:tcPr>
            <w:tcW w:w="340" w:type="dxa"/>
            <w:vAlign w:val="bottom"/>
            <w:tcBorders>
              <w:bottom w:val="single" w:sz="8" w:color="DCE2E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4"/>
                <w:szCs w:val="24"/>
                <w:color w:val="auto"/>
              </w:rPr>
            </w:pPr>
          </w:p>
        </w:tc>
      </w:tr>
      <w:tr>
        <w:trPr>
          <w:trHeight w:val="278"/>
        </w:trPr>
        <w:tc>
          <w:tcPr>
            <w:tcW w:w="40" w:type="dxa"/>
            <w:vAlign w:val="bottom"/>
            <w:shd w:val="clear" w:color="auto" w:fill="DCE2EF"/>
          </w:tcPr>
          <w:p>
            <w:pPr>
              <w:spacing w:after="0"/>
              <w:rPr>
                <w:sz w:val="24"/>
                <w:szCs w:val="24"/>
                <w:color w:val="auto"/>
              </w:rPr>
            </w:pPr>
          </w:p>
        </w:tc>
        <w:tc>
          <w:tcPr>
            <w:tcW w:w="2240" w:type="dxa"/>
            <w:vAlign w:val="bottom"/>
            <w:shd w:val="clear" w:color="auto" w:fill="DCE2EF"/>
          </w:tcPr>
          <w:p>
            <w:pPr>
              <w:spacing w:after="0"/>
              <w:rPr>
                <w:sz w:val="24"/>
                <w:szCs w:val="24"/>
                <w:color w:val="auto"/>
              </w:rPr>
            </w:pPr>
          </w:p>
        </w:tc>
        <w:tc>
          <w:tcPr>
            <w:tcW w:w="362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8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88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8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Net (loss) income per common share — Diluted</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5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0.28</w:t>
            </w:r>
          </w:p>
        </w:tc>
        <w:tc>
          <w:tcPr>
            <w:tcW w:w="340" w:type="dxa"/>
            <w:vAlign w:val="bottom"/>
            <w:shd w:val="clear" w:color="auto" w:fill="DCE2EF"/>
          </w:tcPr>
          <w:p>
            <w:pPr>
              <w:spacing w:after="0"/>
              <w:rPr>
                <w:sz w:val="24"/>
                <w:szCs w:val="24"/>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0.56</w:t>
            </w:r>
          </w:p>
        </w:tc>
        <w:tc>
          <w:tcPr>
            <w:tcW w:w="340" w:type="dxa"/>
            <w:vAlign w:val="bottom"/>
            <w:shd w:val="clear" w:color="auto" w:fill="DCE2EF"/>
          </w:tcPr>
          <w:p>
            <w:pPr>
              <w:spacing w:after="0"/>
              <w:rPr>
                <w:sz w:val="24"/>
                <w:szCs w:val="24"/>
                <w:color w:val="auto"/>
              </w:rPr>
            </w:pP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0.58</w:t>
            </w:r>
          </w:p>
        </w:tc>
        <w:tc>
          <w:tcPr>
            <w:tcW w:w="340" w:type="dxa"/>
            <w:vAlign w:val="bottom"/>
            <w:shd w:val="clear" w:color="auto" w:fill="DCE2EF"/>
          </w:tcPr>
          <w:p>
            <w:pPr>
              <w:spacing w:after="0"/>
              <w:rPr>
                <w:sz w:val="24"/>
                <w:szCs w:val="24"/>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2"/>
                <w:szCs w:val="22"/>
                <w:color w:val="auto"/>
              </w:rPr>
            </w:pPr>
          </w:p>
        </w:tc>
      </w:tr>
      <w:tr>
        <w:trPr>
          <w:trHeight w:val="257"/>
        </w:trPr>
        <w:tc>
          <w:tcPr>
            <w:tcW w:w="40" w:type="dxa"/>
            <w:vAlign w:val="bottom"/>
            <w:tcBorders>
              <w:top w:val="single" w:sz="8" w:color="DCE2EF"/>
              <w:bottom w:val="single" w:sz="8" w:color="DCE2EF"/>
            </w:tcBorders>
            <w:shd w:val="clear" w:color="auto" w:fill="DCE2EF"/>
          </w:tcPr>
          <w:p>
            <w:pPr>
              <w:spacing w:after="0"/>
              <w:rPr>
                <w:sz w:val="22"/>
                <w:szCs w:val="22"/>
                <w:color w:val="auto"/>
              </w:rPr>
            </w:pPr>
          </w:p>
        </w:tc>
        <w:tc>
          <w:tcPr>
            <w:tcW w:w="586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0.55</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2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0.58</w:t>
            </w:r>
          </w:p>
        </w:tc>
        <w:tc>
          <w:tcPr>
            <w:tcW w:w="340" w:type="dxa"/>
            <w:vAlign w:val="bottom"/>
            <w:tcBorders>
              <w:top w:val="single" w:sz="8" w:color="DCE2EF"/>
              <w:bottom w:val="single" w:sz="8" w:color="DCE2EF"/>
            </w:tcBorders>
            <w:shd w:val="clear" w:color="auto" w:fill="DCE2EF"/>
          </w:tcPr>
          <w:p>
            <w:pPr>
              <w:spacing w:after="0"/>
              <w:rPr>
                <w:sz w:val="22"/>
                <w:szCs w:val="22"/>
                <w:color w:val="auto"/>
              </w:rPr>
            </w:pP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sz w:val="20"/>
          <w:szCs w:val="20"/>
          <w:color w:val="auto"/>
        </w:rPr>
      </w:pPr>
    </w:p>
    <w:p>
      <w:pPr>
        <w:ind w:left="240" w:hanging="178"/>
        <w:spacing w:after="0"/>
        <w:tabs>
          <w:tab w:leader="none" w:pos="24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Includes a one-time net tax benefit of $22.6 million, or $0.34 per diluted share, related to the Tax Act.</w:t>
      </w:r>
    </w:p>
    <w:p>
      <w:pPr>
        <w:spacing w:after="0" w:line="109" w:lineRule="exact"/>
        <w:rPr>
          <w:rFonts w:ascii="Arial" w:cs="Arial" w:eastAsia="Arial" w:hAnsi="Arial"/>
          <w:sz w:val="21"/>
          <w:szCs w:val="21"/>
          <w:color w:val="auto"/>
          <w:vertAlign w:val="superscript"/>
        </w:rPr>
      </w:pPr>
    </w:p>
    <w:p>
      <w:pPr>
        <w:ind w:left="240" w:hanging="178"/>
        <w:spacing w:after="0"/>
        <w:tabs>
          <w:tab w:leader="none" w:pos="24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Includes goodwill and asset impairment charges of $26.5 million, or $0.40 per diluted share.</w:t>
      </w:r>
    </w:p>
    <w:p>
      <w:pPr>
        <w:spacing w:after="0" w:line="109" w:lineRule="exact"/>
        <w:rPr>
          <w:rFonts w:ascii="Arial" w:cs="Arial" w:eastAsia="Arial" w:hAnsi="Arial"/>
          <w:sz w:val="21"/>
          <w:szCs w:val="21"/>
          <w:color w:val="auto"/>
          <w:vertAlign w:val="superscript"/>
        </w:rPr>
      </w:pPr>
    </w:p>
    <w:p>
      <w:pPr>
        <w:ind w:left="240" w:hanging="178"/>
        <w:spacing w:after="0"/>
        <w:tabs>
          <w:tab w:leader="none" w:pos="24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Includes transaction expenses of $22.0 million, or $0.38 per diluted share, related to the GCA acquisition.</w:t>
      </w: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240" w:top="522" w:right="41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b w:val="1"/>
          <w:bCs w:val="1"/>
          <w:color w:val="0046AD"/>
        </w:rPr>
        <w:t>ITEM 9. CHANGES IN AND DISAGREEMENTS WITH ACCOUNTANTS ON ACCOUNTING AND FINANCIAL DISCLOSURE.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Management’s Report on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that evaluation, our management concluded that our internal control over financial reporting was effective as of October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Audit Report on Internal Controls over Financial Reporting of the Registered Public Accounting Firm</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 Changes in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continue to migrate many of our financial reporting and other processes to the ABM enterprise service center along with integrating GCA. These are enhancements of ongoing activities to support the growth of our financial shared service capabilities and standardize our financial systems. We also continue to update several key platforms, including our human resources information systems, enterprise resource planning system, and labor management system. Both the migration of GCA’s back-office functions to the ABM enterprise service center and the implementation of several key platforms involves changes in the systems that include internal controls. Although the transitions have proceeded to date without material adverse effects, the possibility exists that it could adversely affect our internal controls over financial reporting and procedures.</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changes in our internal control over financial reporting during the fourth fiscal quarter of 2018 identified in connection with the evaluation required by Rules 13a-15(d) and 15d-15(d) of the Exchange Act that has materially affected, or is reasonably likely to materially affect, our internal control over financial reporting.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22"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0046AD"/>
        </w:rPr>
        <w:t>ITEM 9B.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New Form of Indemnification Agreement for Directors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December 18, 2018, each of our directors entered into a new indemnification agreement with ABM that replaces the existing indemnification agreement for directors, which form agreement had been put in place in September of 2015.</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general, the director indemnification agreement provides that, subject to the procedures, limitations, and exceptions set forth therein, ABM will indemnify and hold harmless the applicable director indemnitee against all expenses, damages, losses, liabilities, judgments, fines, penalties, and other charges relating to, arising out of, or resulting from: (1) any actual, alleged, or suspected act or failure to act by the indemnitee in his or her capacity as a director, officer, employee, or agent of ABM or as a director, officer, employee, member, manager, trustee, or agent of any other entity as to which the indemnitee is or was serving at the request of the Company; (2) any actual, alleged, or suspected act or failure to act by the indemnitee in respect of any business, transaction, communication, filing, disclosure, or other activity of ABM or any other entity referred to in clause (1) of this sentence; or (3) the indemnitee’s status as a current or former director, officer, employee, or agent of ABM or as a current or former director, officer, employee, member, manager, trust, or agent of ABM or any other entity referred to in clause (1) of this sentence or any actual, alleged, or suspected act or failure to act by the indemnitee in connection with any obligation or restriction imposed upon the indemnitee by reason of such status.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Each director indemnitee will also have the right to advancement by ABM of any and all reasonable expenses relating to, arising out of, or resulting from any claim covered by the director indemnification agreement paid or incurred by the indemnitee or which the indemnitee determines in good faith are reasonably likely to be paid or incurred.</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foregoing description of the director indemnification agreement does not purport to be complete and is qualified in its entirety by reference to the form director indemnification agreement, which is filed as Exhibit 10.9 hereto and incorporated herein by reference.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22" w:right="239" w:bottom="1440" w:gutter="0" w:footer="0" w:header="0"/>
        </w:sectPr>
      </w:pPr>
    </w:p>
    <w:bookmarkStart w:id="101" w:name="page102"/>
    <w:bookmarkEnd w:id="101"/>
    <w:p>
      <w:pPr>
        <w:ind w:left="5380"/>
        <w:spacing w:after="0"/>
        <w:rPr>
          <w:sz w:val="20"/>
          <w:szCs w:val="20"/>
          <w:color w:val="auto"/>
        </w:rPr>
      </w:pPr>
      <w:r>
        <w:rPr>
          <w:rFonts w:ascii="Arial" w:cs="Arial" w:eastAsia="Arial" w:hAnsi="Arial"/>
          <w:sz w:val="18"/>
          <w:szCs w:val="18"/>
          <w:b w:val="1"/>
          <w:bCs w:val="1"/>
          <w:color w:val="0046AD"/>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10. DIRECTORS, EXECUTIVE OFFICERS AND CORPORATE GOVERNANCE.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Information about our executive officers is found in Part I, Item 1 of this Annual Report on Form 10-K under “Executive Officers of Registrant.” Additional information required by this Item will be set forth under the captions “Proposal No. 1—Election of Directors,” “Corporate Governance and Board Matters,” “Audit-Related Matters,” and “Section 16(a) Beneficial Ownership Reporting Compliance” in our Definitive Proxy Statement for our 2019 Annual Meeting of Stockholders (the “2019 Proxy Statement”). Such information is incorporated herein by reference. Our 2019 Proxy Statement will be filed with the Securities and Exchange Commission within 120 days after the conclusion of our fiscal year ended October 31, 2018.</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28, 2018, we filed our Annual CEO Certification as required by Section 303A.12 of the NYSE Listed Company Manual.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Code of Business Conduct</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adopted and posted on our website (</w:t>
      </w:r>
      <w:r>
        <w:rPr>
          <w:rFonts w:ascii="Arial" w:cs="Arial" w:eastAsia="Arial" w:hAnsi="Arial"/>
          <w:sz w:val="18"/>
          <w:szCs w:val="18"/>
          <w:u w:val="single" w:color="auto"/>
          <w:color w:val="auto"/>
        </w:rPr>
        <w:t>www.abm.com</w:t>
      </w:r>
      <w:r>
        <w:rPr>
          <w:rFonts w:ascii="Arial" w:cs="Arial" w:eastAsia="Arial" w:hAnsi="Arial"/>
          <w:sz w:val="18"/>
          <w:szCs w:val="18"/>
          <w:color w:val="auto"/>
        </w:rPr>
        <w:t>) the ABM Code of Business Conduct. Our Code of Business Conduct qualifies as a “code of ethics” within the meaning of Item 406 of Regulation S-K. Our Code of Business Conduct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11. EXECUTIVE COMPENSATION.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executive compensation required by this Item will be set forth under the captions “Director Compensation for Fiscal Year 2018,” “Executive Compensation,” and “Corporate Governance and Board Matters—Compensation Committee Interlocks and Insider Participation” in our 2019 Proxy Statement and is incorporated herein by reference.</w:t>
      </w:r>
    </w:p>
    <w:p>
      <w:pPr>
        <w:spacing w:after="0" w:line="126"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0046AD"/>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Information with respect to security ownership of certain beneficial owners and management and equity compensation plan information and related stockholder matters required by this Item will be set forth under the captions “General Information—Security Ownership of Certain Beneficial Owners,” “General Information—Security Ownership of Directors and Executive Officers,” and “General Information—Equity Compensation Plan Information” in our 2019 Proxy Statement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13. CERTAIN RELATIONSHIPS AND RELATED TRANSACTIONS, AND DIRECTOR INDEPENDENCE.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with respect to certain relationships and related transactions and with respect to director independence required by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will be set forth under the captions “General Information—Certain Relationships and Transactions with Related Persons” and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and Board Matters” in our 2019 Proxy Statement and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14. PRINCIPAL ACCOUNTING FEES AND SERVICES.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our Audit Committee’s pre-approval policy for audit services and our principal accounting fees and services required by this Item will be set forth under the caption “Audit-Related Matters” in our 2019 Proxy Statement and is incorporated herein by reference.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22"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10420" w:type="dxa"/>
            <w:vAlign w:val="bottom"/>
          </w:tcPr>
          <w:p>
            <w:pPr>
              <w:ind w:left="4640"/>
              <w:spacing w:after="0"/>
              <w:rPr>
                <w:sz w:val="20"/>
                <w:szCs w:val="20"/>
                <w:color w:val="auto"/>
              </w:rPr>
            </w:pPr>
            <w:r>
              <w:rPr>
                <w:rFonts w:ascii="Arial" w:cs="Arial" w:eastAsia="Arial" w:hAnsi="Arial"/>
                <w:sz w:val="18"/>
                <w:szCs w:val="18"/>
                <w:b w:val="1"/>
                <w:bCs w:val="1"/>
                <w:color w:val="0046AD"/>
              </w:rPr>
              <w:t>PART IV</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1120" w:type="dxa"/>
            <w:vAlign w:val="bottom"/>
            <w:gridSpan w:val="2"/>
          </w:tcPr>
          <w:p>
            <w:pPr>
              <w:spacing w:after="0"/>
              <w:rPr>
                <w:sz w:val="20"/>
                <w:szCs w:val="20"/>
                <w:color w:val="auto"/>
              </w:rPr>
            </w:pPr>
            <w:r>
              <w:rPr>
                <w:rFonts w:ascii="Arial" w:cs="Arial" w:eastAsia="Arial" w:hAnsi="Arial"/>
                <w:sz w:val="18"/>
                <w:szCs w:val="18"/>
                <w:b w:val="1"/>
                <w:bCs w:val="1"/>
                <w:color w:val="0046AD"/>
              </w:rPr>
              <w:t>ITEM 15. EXHIBITS, FINANCIAL STATEMENT SCHEDULES.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3"/>
        </w:trPr>
        <w:tc>
          <w:tcPr>
            <w:tcW w:w="700" w:type="dxa"/>
            <w:vAlign w:val="bottom"/>
          </w:tcPr>
          <w:p>
            <w:pPr>
              <w:ind w:left="340"/>
              <w:spacing w:after="0"/>
              <w:rPr>
                <w:sz w:val="20"/>
                <w:szCs w:val="20"/>
                <w:color w:val="auto"/>
              </w:rPr>
            </w:pPr>
            <w:r>
              <w:rPr>
                <w:rFonts w:ascii="Arial" w:cs="Arial" w:eastAsia="Arial" w:hAnsi="Arial"/>
                <w:sz w:val="17"/>
                <w:szCs w:val="17"/>
                <w:color w:val="auto"/>
              </w:rPr>
              <w:t>(a)</w:t>
            </w:r>
          </w:p>
        </w:tc>
        <w:tc>
          <w:tcPr>
            <w:tcW w:w="10420" w:type="dxa"/>
            <w:vAlign w:val="bottom"/>
          </w:tcPr>
          <w:p>
            <w:pPr>
              <w:ind w:left="160"/>
              <w:spacing w:after="0"/>
              <w:rPr>
                <w:sz w:val="20"/>
                <w:szCs w:val="20"/>
                <w:color w:val="auto"/>
              </w:rPr>
            </w:pPr>
            <w:r>
              <w:rPr>
                <w:rFonts w:ascii="Arial" w:cs="Arial" w:eastAsia="Arial" w:hAnsi="Arial"/>
                <w:sz w:val="17"/>
                <w:szCs w:val="17"/>
                <w:color w:val="auto"/>
              </w:rPr>
              <w:t>The following documents are filed as part of this report: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3"/>
        </w:trPr>
        <w:tc>
          <w:tcPr>
            <w:tcW w:w="11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120" w:type="dxa"/>
            <w:vAlign w:val="bottom"/>
            <w:gridSpan w:val="2"/>
            <w:shd w:val="clear" w:color="auto" w:fill="DCE2EF"/>
          </w:tcPr>
          <w:p>
            <w:pPr>
              <w:ind w:left="4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p>
        </w:tc>
        <w:tc>
          <w:tcPr>
            <w:tcW w:w="8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r>
      <w:tr>
        <w:trPr>
          <w:trHeight w:val="203"/>
        </w:trPr>
        <w:tc>
          <w:tcPr>
            <w:tcW w:w="11120" w:type="dxa"/>
            <w:vAlign w:val="bottom"/>
            <w:gridSpan w:val="2"/>
          </w:tcPr>
          <w:p>
            <w:pPr>
              <w:ind w:left="320"/>
              <w:spacing w:after="0"/>
              <w:rPr>
                <w:sz w:val="20"/>
                <w:szCs w:val="20"/>
                <w:color w:val="auto"/>
              </w:rPr>
            </w:pPr>
            <w:r>
              <w:rPr>
                <w:rFonts w:ascii="Arial" w:cs="Arial" w:eastAsia="Arial" w:hAnsi="Arial"/>
                <w:sz w:val="17"/>
                <w:szCs w:val="17"/>
                <w:color w:val="auto"/>
              </w:rPr>
              <w:t>Report of Independent Registered Public Accounting Firm</w:t>
            </w:r>
          </w:p>
        </w:tc>
        <w:tc>
          <w:tcPr>
            <w:tcW w:w="280" w:type="dxa"/>
            <w:vAlign w:val="bottom"/>
            <w:gridSpan w:val="2"/>
          </w:tcPr>
          <w:p>
            <w:pPr>
              <w:jc w:val="right"/>
              <w:spacing w:after="0"/>
              <w:rPr>
                <w:rFonts w:ascii="Arial" w:cs="Arial" w:eastAsia="Arial" w:hAnsi="Arial"/>
                <w:sz w:val="17"/>
                <w:szCs w:val="17"/>
                <w:color w:val="0000EE"/>
              </w:rPr>
            </w:pPr>
            <w:hyperlink w:anchor="page53">
              <w:r>
                <w:rPr>
                  <w:rFonts w:ascii="Arial" w:cs="Arial" w:eastAsia="Arial" w:hAnsi="Arial"/>
                  <w:sz w:val="17"/>
                  <w:szCs w:val="17"/>
                  <w:color w:val="0000EE"/>
                </w:rPr>
                <w:t>50</w:t>
              </w:r>
            </w:hyperlink>
          </w:p>
        </w:tc>
        <w:tc>
          <w:tcPr>
            <w:tcW w:w="20" w:type="dxa"/>
            <w:vAlign w:val="bottom"/>
          </w:tcPr>
          <w:p>
            <w:pPr>
              <w:spacing w:after="0"/>
              <w:rPr>
                <w:sz w:val="17"/>
                <w:szCs w:val="17"/>
                <w:color w:val="auto"/>
              </w:rPr>
            </w:pPr>
          </w:p>
        </w:tc>
      </w:tr>
      <w:tr>
        <w:trPr>
          <w:trHeight w:val="34"/>
        </w:trPr>
        <w:tc>
          <w:tcPr>
            <w:tcW w:w="70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12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7"/>
                <w:szCs w:val="17"/>
                <w:color w:val="auto"/>
              </w:rPr>
              <w:t>Consolidated Balance Sheets at October 31, 2018 and 2017</w:t>
            </w:r>
          </w:p>
        </w:tc>
        <w:tc>
          <w:tcPr>
            <w:tcW w:w="8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0000EE"/>
            </w:tcBorders>
            <w:shd w:val="clear" w:color="auto" w:fill="DCE2EF"/>
          </w:tcPr>
          <w:p>
            <w:pPr>
              <w:jc w:val="right"/>
              <w:spacing w:after="0"/>
              <w:rPr>
                <w:rFonts w:ascii="Arial" w:cs="Arial" w:eastAsia="Arial" w:hAnsi="Arial"/>
                <w:sz w:val="17"/>
                <w:szCs w:val="17"/>
                <w:color w:val="0000EE"/>
                <w:w w:val="94"/>
              </w:rPr>
            </w:pPr>
            <w:hyperlink w:anchor="page55">
              <w:r>
                <w:rPr>
                  <w:rFonts w:ascii="Arial" w:cs="Arial" w:eastAsia="Arial" w:hAnsi="Arial"/>
                  <w:sz w:val="17"/>
                  <w:szCs w:val="17"/>
                  <w:color w:val="0000EE"/>
                  <w:w w:val="94"/>
                </w:rPr>
                <w:t>52</w:t>
              </w:r>
            </w:hyperlink>
          </w:p>
        </w:tc>
        <w:tc>
          <w:tcPr>
            <w:tcW w:w="20" w:type="dxa"/>
            <w:vAlign w:val="bottom"/>
            <w:tcBorders>
              <w:bottom w:val="single" w:sz="8" w:color="DCE2EF"/>
            </w:tcBorders>
            <w:shd w:val="clear" w:color="auto" w:fill="DCE2EF"/>
          </w:tcPr>
          <w:p>
            <w:pPr>
              <w:spacing w:after="0"/>
              <w:rPr>
                <w:sz w:val="20"/>
                <w:szCs w:val="20"/>
                <w:color w:val="auto"/>
              </w:rPr>
            </w:pPr>
          </w:p>
        </w:tc>
      </w:tr>
      <w:tr>
        <w:trPr>
          <w:trHeight w:val="203"/>
        </w:trPr>
        <w:tc>
          <w:tcPr>
            <w:tcW w:w="11120" w:type="dxa"/>
            <w:vAlign w:val="bottom"/>
            <w:gridSpan w:val="2"/>
          </w:tcPr>
          <w:p>
            <w:pPr>
              <w:ind w:left="320"/>
              <w:spacing w:after="0"/>
              <w:rPr>
                <w:sz w:val="20"/>
                <w:szCs w:val="20"/>
                <w:color w:val="auto"/>
              </w:rPr>
            </w:pPr>
            <w:r>
              <w:rPr>
                <w:rFonts w:ascii="Arial" w:cs="Arial" w:eastAsia="Arial" w:hAnsi="Arial"/>
                <w:sz w:val="17"/>
                <w:szCs w:val="17"/>
                <w:color w:val="auto"/>
              </w:rPr>
              <w:t>Consolidated Statements of Comprehensive Income for the Years Ended October 31, 2018, 2017, and 2016</w:t>
            </w:r>
          </w:p>
        </w:tc>
        <w:tc>
          <w:tcPr>
            <w:tcW w:w="280" w:type="dxa"/>
            <w:vAlign w:val="bottom"/>
            <w:gridSpan w:val="2"/>
          </w:tcPr>
          <w:p>
            <w:pPr>
              <w:jc w:val="right"/>
              <w:spacing w:after="0"/>
              <w:rPr>
                <w:rFonts w:ascii="Arial" w:cs="Arial" w:eastAsia="Arial" w:hAnsi="Arial"/>
                <w:sz w:val="17"/>
                <w:szCs w:val="17"/>
                <w:color w:val="0000EE"/>
              </w:rPr>
            </w:pPr>
            <w:hyperlink w:anchor="page56">
              <w:r>
                <w:rPr>
                  <w:rFonts w:ascii="Arial" w:cs="Arial" w:eastAsia="Arial" w:hAnsi="Arial"/>
                  <w:sz w:val="17"/>
                  <w:szCs w:val="17"/>
                  <w:color w:val="0000EE"/>
                </w:rPr>
                <w:t>53</w:t>
              </w:r>
            </w:hyperlink>
          </w:p>
        </w:tc>
        <w:tc>
          <w:tcPr>
            <w:tcW w:w="20" w:type="dxa"/>
            <w:vAlign w:val="bottom"/>
          </w:tcPr>
          <w:p>
            <w:pPr>
              <w:spacing w:after="0"/>
              <w:rPr>
                <w:sz w:val="17"/>
                <w:szCs w:val="17"/>
                <w:color w:val="auto"/>
              </w:rPr>
            </w:pPr>
          </w:p>
        </w:tc>
      </w:tr>
      <w:tr>
        <w:trPr>
          <w:trHeight w:val="34"/>
        </w:trPr>
        <w:tc>
          <w:tcPr>
            <w:tcW w:w="70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12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7"/>
                <w:szCs w:val="17"/>
                <w:color w:val="auto"/>
              </w:rPr>
              <w:t>Consolidated Statements of Stockholders’ Equity for the Years Ended October 31, 2018, 2017, and 2016</w:t>
            </w:r>
          </w:p>
        </w:tc>
        <w:tc>
          <w:tcPr>
            <w:tcW w:w="8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0000EE"/>
            </w:tcBorders>
            <w:shd w:val="clear" w:color="auto" w:fill="DCE2EF"/>
          </w:tcPr>
          <w:p>
            <w:pPr>
              <w:jc w:val="right"/>
              <w:spacing w:after="0"/>
              <w:rPr>
                <w:rFonts w:ascii="Arial" w:cs="Arial" w:eastAsia="Arial" w:hAnsi="Arial"/>
                <w:sz w:val="17"/>
                <w:szCs w:val="17"/>
                <w:color w:val="0000EE"/>
                <w:w w:val="94"/>
              </w:rPr>
            </w:pPr>
            <w:hyperlink w:anchor="page57">
              <w:r>
                <w:rPr>
                  <w:rFonts w:ascii="Arial" w:cs="Arial" w:eastAsia="Arial" w:hAnsi="Arial"/>
                  <w:sz w:val="17"/>
                  <w:szCs w:val="17"/>
                  <w:color w:val="0000EE"/>
                  <w:w w:val="94"/>
                </w:rPr>
                <w:t>54</w:t>
              </w:r>
            </w:hyperlink>
          </w:p>
        </w:tc>
        <w:tc>
          <w:tcPr>
            <w:tcW w:w="20" w:type="dxa"/>
            <w:vAlign w:val="bottom"/>
            <w:tcBorders>
              <w:bottom w:val="single" w:sz="8" w:color="DCE2EF"/>
            </w:tcBorders>
            <w:shd w:val="clear" w:color="auto" w:fill="DCE2EF"/>
          </w:tcPr>
          <w:p>
            <w:pPr>
              <w:spacing w:after="0"/>
              <w:rPr>
                <w:sz w:val="20"/>
                <w:szCs w:val="20"/>
                <w:color w:val="auto"/>
              </w:rPr>
            </w:pPr>
          </w:p>
        </w:tc>
      </w:tr>
      <w:tr>
        <w:trPr>
          <w:trHeight w:val="203"/>
        </w:trPr>
        <w:tc>
          <w:tcPr>
            <w:tcW w:w="11120" w:type="dxa"/>
            <w:vAlign w:val="bottom"/>
            <w:gridSpan w:val="2"/>
          </w:tcPr>
          <w:p>
            <w:pPr>
              <w:ind w:left="320"/>
              <w:spacing w:after="0"/>
              <w:rPr>
                <w:sz w:val="20"/>
                <w:szCs w:val="20"/>
                <w:color w:val="auto"/>
              </w:rPr>
            </w:pPr>
            <w:r>
              <w:rPr>
                <w:rFonts w:ascii="Arial" w:cs="Arial" w:eastAsia="Arial" w:hAnsi="Arial"/>
                <w:sz w:val="17"/>
                <w:szCs w:val="17"/>
                <w:color w:val="auto"/>
              </w:rPr>
              <w:t>Consolidated Statements of Cash Flows for the Years Ended October 31, 2018, 2017, and 2016</w:t>
            </w:r>
          </w:p>
        </w:tc>
        <w:tc>
          <w:tcPr>
            <w:tcW w:w="280" w:type="dxa"/>
            <w:vAlign w:val="bottom"/>
            <w:gridSpan w:val="2"/>
          </w:tcPr>
          <w:p>
            <w:pPr>
              <w:jc w:val="right"/>
              <w:spacing w:after="0"/>
              <w:rPr>
                <w:rFonts w:ascii="Arial" w:cs="Arial" w:eastAsia="Arial" w:hAnsi="Arial"/>
                <w:sz w:val="17"/>
                <w:szCs w:val="17"/>
                <w:color w:val="0000EE"/>
              </w:rPr>
            </w:pPr>
            <w:hyperlink w:anchor="page58">
              <w:r>
                <w:rPr>
                  <w:rFonts w:ascii="Arial" w:cs="Arial" w:eastAsia="Arial" w:hAnsi="Arial"/>
                  <w:sz w:val="17"/>
                  <w:szCs w:val="17"/>
                  <w:color w:val="0000EE"/>
                </w:rPr>
                <w:t>55</w:t>
              </w:r>
            </w:hyperlink>
          </w:p>
        </w:tc>
        <w:tc>
          <w:tcPr>
            <w:tcW w:w="20" w:type="dxa"/>
            <w:vAlign w:val="bottom"/>
          </w:tcPr>
          <w:p>
            <w:pPr>
              <w:spacing w:after="0"/>
              <w:rPr>
                <w:sz w:val="17"/>
                <w:szCs w:val="17"/>
                <w:color w:val="auto"/>
              </w:rPr>
            </w:pPr>
          </w:p>
        </w:tc>
      </w:tr>
      <w:tr>
        <w:trPr>
          <w:trHeight w:val="34"/>
        </w:trPr>
        <w:tc>
          <w:tcPr>
            <w:tcW w:w="70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11120" w:type="dxa"/>
            <w:vAlign w:val="bottom"/>
            <w:gridSpan w:val="2"/>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r>
      <w:tr>
        <w:trPr>
          <w:trHeight w:val="262"/>
        </w:trPr>
        <w:tc>
          <w:tcPr>
            <w:tcW w:w="11120" w:type="dxa"/>
            <w:vAlign w:val="bottom"/>
            <w:gridSpan w:val="2"/>
          </w:tcPr>
          <w:p>
            <w:pPr>
              <w:ind w:left="4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Exhibits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9"/>
        </w:trPr>
        <w:tc>
          <w:tcPr>
            <w:tcW w:w="1112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7"/>
                <w:szCs w:val="17"/>
                <w:color w:val="auto"/>
              </w:rPr>
              <w:t>See Exhibit Index immediately following the signature page of this Annual Report on Form 10-K.</w:t>
            </w:r>
          </w:p>
        </w:tc>
        <w:tc>
          <w:tcPr>
            <w:tcW w:w="280" w:type="dxa"/>
            <w:vAlign w:val="bottom"/>
            <w:tcBorders>
              <w:bottom w:val="single" w:sz="8" w:color="0000EE"/>
            </w:tcBorders>
            <w:gridSpan w:val="2"/>
            <w:shd w:val="clear" w:color="auto" w:fill="DCE2EF"/>
          </w:tcPr>
          <w:p>
            <w:pPr>
              <w:jc w:val="right"/>
              <w:spacing w:after="0"/>
              <w:rPr>
                <w:rFonts w:ascii="Arial" w:cs="Arial" w:eastAsia="Arial" w:hAnsi="Arial"/>
                <w:sz w:val="17"/>
                <w:szCs w:val="17"/>
                <w:color w:val="0000EE"/>
                <w:w w:val="91"/>
              </w:rPr>
            </w:pPr>
            <w:hyperlink w:anchor="page105">
              <w:r>
                <w:rPr>
                  <w:rFonts w:ascii="Arial" w:cs="Arial" w:eastAsia="Arial" w:hAnsi="Arial"/>
                  <w:sz w:val="17"/>
                  <w:szCs w:val="17"/>
                  <w:color w:val="0000EE"/>
                  <w:w w:val="91"/>
                </w:rPr>
                <w:t>101</w:t>
              </w:r>
            </w:hyperlink>
          </w:p>
        </w:tc>
        <w:tc>
          <w:tcPr>
            <w:tcW w:w="20" w:type="dxa"/>
            <w:vAlign w:val="bottom"/>
            <w:tcBorders>
              <w:bottom w:val="single" w:sz="8" w:color="DCE2EF"/>
            </w:tcBorders>
            <w:shd w:val="clear" w:color="auto" w:fill="DCE2EF"/>
          </w:tcPr>
          <w:p>
            <w:pPr>
              <w:spacing w:after="0"/>
              <w:rPr>
                <w:sz w:val="21"/>
                <w:szCs w:val="21"/>
                <w:color w:val="auto"/>
              </w:rPr>
            </w:pPr>
          </w:p>
        </w:tc>
      </w:tr>
      <w:tr>
        <w:trPr>
          <w:trHeight w:val="284"/>
        </w:trPr>
        <w:tc>
          <w:tcPr>
            <w:tcW w:w="11120" w:type="dxa"/>
            <w:vAlign w:val="bottom"/>
            <w:tcBorders>
              <w:top w:val="single" w:sz="8" w:color="DCE2EF"/>
            </w:tcBorders>
            <w:gridSpan w:val="2"/>
          </w:tcPr>
          <w:p>
            <w:pPr>
              <w:spacing w:after="0"/>
              <w:rPr>
                <w:sz w:val="24"/>
                <w:szCs w:val="24"/>
                <w:color w:val="auto"/>
              </w:rPr>
            </w:pPr>
          </w:p>
        </w:tc>
        <w:tc>
          <w:tcPr>
            <w:tcW w:w="80" w:type="dxa"/>
            <w:vAlign w:val="bottom"/>
            <w:tcBorders>
              <w:top w:val="single" w:sz="8" w:color="DCE2EF"/>
            </w:tcBorders>
          </w:tcPr>
          <w:p>
            <w:pPr>
              <w:spacing w:after="0"/>
              <w:rPr>
                <w:sz w:val="24"/>
                <w:szCs w:val="24"/>
                <w:color w:val="auto"/>
              </w:rPr>
            </w:pPr>
          </w:p>
        </w:tc>
        <w:tc>
          <w:tcPr>
            <w:tcW w:w="200" w:type="dxa"/>
            <w:vAlign w:val="bottom"/>
            <w:tcBorders>
              <w:top w:val="single" w:sz="8" w:color="DCE2EF"/>
            </w:tcBorders>
          </w:tcPr>
          <w:p>
            <w:pPr>
              <w:spacing w:after="0"/>
              <w:rPr>
                <w:sz w:val="24"/>
                <w:szCs w:val="24"/>
                <w:color w:val="auto"/>
              </w:rPr>
            </w:pPr>
          </w:p>
        </w:tc>
        <w:tc>
          <w:tcPr>
            <w:tcW w:w="20" w:type="dxa"/>
            <w:vAlign w:val="bottom"/>
            <w:tcBorders>
              <w:top w:val="single" w:sz="8" w:color="DCE2EF"/>
            </w:tcBorders>
          </w:tcPr>
          <w:p>
            <w:pPr>
              <w:spacing w:after="0"/>
              <w:rPr>
                <w:sz w:val="24"/>
                <w:szCs w:val="24"/>
                <w:color w:val="auto"/>
              </w:rPr>
            </w:pPr>
          </w:p>
        </w:tc>
      </w:tr>
      <w:tr>
        <w:trPr>
          <w:trHeight w:val="270"/>
        </w:trPr>
        <w:tc>
          <w:tcPr>
            <w:tcW w:w="11120" w:type="dxa"/>
            <w:vAlign w:val="bottom"/>
            <w:gridSpan w:val="2"/>
            <w:shd w:val="clear" w:color="auto" w:fill="DCE2EF"/>
          </w:tcPr>
          <w:p>
            <w:pPr>
              <w:ind w:left="4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i w:val="1"/>
                <w:iCs w:val="1"/>
                <w:color w:val="auto"/>
              </w:rPr>
              <w:t>Financial Statement Schedule</w:t>
            </w:r>
          </w:p>
        </w:tc>
        <w:tc>
          <w:tcPr>
            <w:tcW w:w="8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r>
      <w:tr>
        <w:trPr>
          <w:trHeight w:val="203"/>
        </w:trPr>
        <w:tc>
          <w:tcPr>
            <w:tcW w:w="11120" w:type="dxa"/>
            <w:vAlign w:val="bottom"/>
            <w:gridSpan w:val="2"/>
          </w:tcPr>
          <w:p>
            <w:pPr>
              <w:ind w:left="380"/>
              <w:spacing w:after="0"/>
              <w:rPr>
                <w:sz w:val="20"/>
                <w:szCs w:val="20"/>
                <w:color w:val="auto"/>
              </w:rPr>
            </w:pPr>
            <w:r>
              <w:rPr>
                <w:rFonts w:ascii="Arial" w:cs="Arial" w:eastAsia="Arial" w:hAnsi="Arial"/>
                <w:sz w:val="17"/>
                <w:szCs w:val="17"/>
                <w:color w:val="auto"/>
              </w:rPr>
              <w:t>Valuation and Qualifying Accounts for the Years Ended October 31, 2018, 2017, and 2016</w:t>
            </w:r>
          </w:p>
        </w:tc>
        <w:tc>
          <w:tcPr>
            <w:tcW w:w="280" w:type="dxa"/>
            <w:vAlign w:val="bottom"/>
            <w:tcBorders>
              <w:bottom w:val="single" w:sz="8" w:color="0000EE"/>
            </w:tcBorders>
            <w:gridSpan w:val="2"/>
          </w:tcPr>
          <w:p>
            <w:pPr>
              <w:jc w:val="right"/>
              <w:spacing w:after="0"/>
              <w:rPr>
                <w:rFonts w:ascii="Arial" w:cs="Arial" w:eastAsia="Arial" w:hAnsi="Arial"/>
                <w:sz w:val="17"/>
                <w:szCs w:val="17"/>
                <w:color w:val="0000EE"/>
                <w:w w:val="91"/>
              </w:rPr>
            </w:pPr>
            <w:hyperlink w:anchor="page109">
              <w:r>
                <w:rPr>
                  <w:rFonts w:ascii="Arial" w:cs="Arial" w:eastAsia="Arial" w:hAnsi="Arial"/>
                  <w:sz w:val="17"/>
                  <w:szCs w:val="17"/>
                  <w:color w:val="0000EE"/>
                  <w:w w:val="91"/>
                </w:rPr>
                <w:t>105</w:t>
              </w:r>
            </w:hyperlink>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900"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w:t>
      </w:r>
    </w:p>
    <w:p>
      <w:pPr>
        <w:spacing w:after="0" w:line="355"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5624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Scott Salmirs</w:t>
      </w:r>
    </w:p>
    <w:p>
      <w:pPr>
        <w:jc w:val="center"/>
        <w:ind w:right="-139"/>
        <w:spacing w:after="0"/>
        <w:rPr>
          <w:sz w:val="20"/>
          <w:szCs w:val="20"/>
          <w:color w:val="auto"/>
        </w:rPr>
      </w:pPr>
      <w:r>
        <w:rPr>
          <w:rFonts w:ascii="Arial" w:cs="Arial" w:eastAsia="Arial" w:hAnsi="Arial"/>
          <w:sz w:val="18"/>
          <w:szCs w:val="18"/>
          <w:color w:val="auto"/>
        </w:rPr>
        <w:t>President and Chief Executive Officer and Director</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21, 2018</w:t>
      </w:r>
    </w:p>
    <w:p>
      <w:pPr>
        <w:spacing w:after="0" w:line="17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ABM Industries and in the capacities and on the dates indicated.</w:t>
      </w:r>
    </w:p>
    <w:p>
      <w:pPr>
        <w:spacing w:after="0" w:line="304"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5624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Scott Salmirs</w:t>
      </w:r>
    </w:p>
    <w:p>
      <w:pPr>
        <w:jc w:val="center"/>
        <w:ind w:right="-139"/>
        <w:spacing w:after="0" w:line="234" w:lineRule="auto"/>
        <w:rPr>
          <w:sz w:val="20"/>
          <w:szCs w:val="20"/>
          <w:color w:val="auto"/>
        </w:rPr>
      </w:pPr>
      <w:r>
        <w:rPr>
          <w:rFonts w:ascii="Arial" w:cs="Arial" w:eastAsia="Arial" w:hAnsi="Arial"/>
          <w:sz w:val="18"/>
          <w:szCs w:val="18"/>
          <w:color w:val="auto"/>
        </w:rPr>
        <w:t>President and Chief Executive Officer and Director</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(Principal Executive Officer)</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21, 2018</w:t>
      </w:r>
    </w:p>
    <w:p>
      <w:pPr>
        <w:sectPr>
          <w:pgSz w:w="11900" w:h="16838" w:orient="portrait"/>
          <w:cols w:equalWidth="0" w:num="1">
            <w:col w:w="11420"/>
          </w:cols>
          <w:pgMar w:left="240" w:top="522" w:right="239"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D. 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 Anthony Scaglione</w:t>
      </w:r>
    </w:p>
    <w:p>
      <w:pPr>
        <w:jc w:val="center"/>
        <w:ind w:right="1200"/>
        <w:spacing w:after="0" w:line="234" w:lineRule="auto"/>
        <w:rPr>
          <w:sz w:val="20"/>
          <w:szCs w:val="20"/>
          <w:color w:val="auto"/>
        </w:rPr>
      </w:pPr>
      <w:r>
        <w:rPr>
          <w:rFonts w:ascii="Arial" w:cs="Arial" w:eastAsia="Arial" w:hAnsi="Arial"/>
          <w:sz w:val="18"/>
          <w:szCs w:val="18"/>
          <w:color w:val="auto"/>
        </w:rPr>
        <w:t>Executive Vice President and Chief</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Financial Officer</w:t>
      </w:r>
    </w:p>
    <w:p>
      <w:pPr>
        <w:spacing w:after="0" w:line="26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(Principal Financial Officer)</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21, 2018</w:t>
      </w: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1216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Sudhakar Kesavan</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Chairman of the Board and Director</w:t>
      </w:r>
    </w:p>
    <w:p>
      <w:pPr>
        <w:spacing w:after="0" w:line="6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21, 2018</w:t>
      </w: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Linda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1216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Linda Chavez, Director</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21, 2018</w:t>
      </w:r>
    </w:p>
    <w:p>
      <w:pPr>
        <w:spacing w:after="0" w:line="3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J. Philip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 Philip Ferguson,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21, 2018</w:t>
      </w:r>
    </w:p>
    <w:p>
      <w:pPr>
        <w:spacing w:after="0" w:line="38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Art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216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Art A. Garcia,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Lauralee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Lauralee E. Martin, Director</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0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Winifred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Winifred M. Webb,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31813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Dean A. Chin</w:t>
      </w:r>
    </w:p>
    <w:p>
      <w:pPr>
        <w:jc w:val="center"/>
        <w:ind w:right="420"/>
        <w:spacing w:after="0"/>
        <w:rPr>
          <w:sz w:val="20"/>
          <w:szCs w:val="20"/>
          <w:color w:val="auto"/>
        </w:rPr>
      </w:pPr>
      <w:r>
        <w:rPr>
          <w:rFonts w:ascii="Arial" w:cs="Arial" w:eastAsia="Arial" w:hAnsi="Arial"/>
          <w:sz w:val="17"/>
          <w:szCs w:val="17"/>
          <w:color w:val="auto"/>
        </w:rPr>
        <w:t>Senior Vice President, Chief Accounting Officer, and</w:t>
      </w:r>
    </w:p>
    <w:p>
      <w:pPr>
        <w:spacing w:after="0" w:line="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Corporate Controller</w:t>
      </w:r>
    </w:p>
    <w:p>
      <w:pPr>
        <w:spacing w:after="0" w:line="26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(Principal Accounting Officer)</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December 21, 2018</w:t>
      </w:r>
    </w:p>
    <w:p>
      <w:pPr>
        <w:spacing w:after="0" w:line="38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LeighAnne G. Baker</w:t>
      </w:r>
    </w:p>
    <w:p>
      <w:pPr>
        <w:jc w:val="center"/>
        <w:ind w:right="380"/>
        <w:spacing w:after="0"/>
        <w:rPr>
          <w:sz w:val="20"/>
          <w:szCs w:val="20"/>
          <w:color w:val="auto"/>
        </w:rPr>
      </w:pPr>
      <w:r>
        <w:rPr>
          <w:rFonts w:ascii="Arial" w:cs="Arial" w:eastAsia="Arial" w:hAnsi="Arial"/>
          <w:sz w:val="18"/>
          <w:szCs w:val="18"/>
          <w:color w:val="auto"/>
        </w:rPr>
        <w:t>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31813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LeighAnne G. Baker, Director</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Donald F. Colleran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143510</wp:posOffset>
            </wp:positionV>
            <wp:extent cx="31813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4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Donald F. Colleran, Director</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December 21, 2018</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Anthony G.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31813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Anthony G. Fernandes, Director</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Thomas M.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31813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Thomas M. Gartland, Director</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Filippo Passerini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31813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Filippo Passerini, Director</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December 21, 2018</w:t>
      </w:r>
    </w:p>
    <w:p>
      <w:pPr>
        <w:spacing w:after="0" w:line="1334" w:lineRule="exact"/>
        <w:rPr>
          <w:sz w:val="20"/>
          <w:szCs w:val="20"/>
          <w:color w:val="auto"/>
        </w:rPr>
      </w:pPr>
    </w:p>
    <w:p>
      <w:pPr>
        <w:sectPr>
          <w:pgSz w:w="11900" w:h="16838" w:orient="portrait"/>
          <w:cols w:equalWidth="0" w:num="2">
            <w:col w:w="6120" w:space="720"/>
            <w:col w:w="4580"/>
          </w:cols>
          <w:pgMar w:left="240" w:top="522" w:right="239" w:bottom="543"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522" w:right="239" w:bottom="543"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9"/>
        </w:trPr>
        <w:tc>
          <w:tcPr>
            <w:tcW w:w="6080" w:type="dxa"/>
            <w:vAlign w:val="bottom"/>
            <w:gridSpan w:val="34"/>
          </w:tcPr>
          <w:p>
            <w:pPr>
              <w:spacing w:after="0"/>
              <w:rPr>
                <w:sz w:val="20"/>
                <w:szCs w:val="20"/>
                <w:color w:val="auto"/>
              </w:rPr>
            </w:pPr>
            <w:r>
              <w:rPr>
                <w:rFonts w:ascii="Arial" w:cs="Arial" w:eastAsia="Arial" w:hAnsi="Arial"/>
                <w:sz w:val="18"/>
                <w:szCs w:val="18"/>
                <w:b w:val="1"/>
                <w:bCs w:val="1"/>
                <w:color w:val="0046AD"/>
              </w:rPr>
              <w:t>EXHIBIT INDEX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31"/>
          </w:tcPr>
          <w:p>
            <w:pPr>
              <w:ind w:left="1500"/>
              <w:spacing w:after="0"/>
              <w:rPr>
                <w:sz w:val="20"/>
                <w:szCs w:val="20"/>
                <w:color w:val="auto"/>
              </w:rPr>
            </w:pPr>
            <w:r>
              <w:rPr>
                <w:rFonts w:ascii="Arial" w:cs="Arial" w:eastAsia="Arial" w:hAnsi="Arial"/>
                <w:sz w:val="18"/>
                <w:szCs w:val="18"/>
                <w:b w:val="1"/>
                <w:bCs w:val="1"/>
                <w:color w:val="auto"/>
              </w:rPr>
              <w:t>Exhibit Description</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5"/>
          </w:tcPr>
          <w:p>
            <w:pPr>
              <w:ind w:left="7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7"/>
        </w:trPr>
        <w:tc>
          <w:tcPr>
            <w:tcW w:w="11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Form</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File No.</w:t>
            </w: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40"/>
              <w:spacing w:after="0" w:line="196"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31"/>
          </w:tcPr>
          <w:p>
            <w:pPr>
              <w:spacing w:after="0" w:line="196" w:lineRule="exact"/>
              <w:rPr>
                <w:rFonts w:ascii="Arial" w:cs="Arial" w:eastAsia="Arial" w:hAnsi="Arial"/>
                <w:sz w:val="18"/>
                <w:szCs w:val="18"/>
                <w:color w:val="0000FF"/>
              </w:rPr>
            </w:pPr>
            <w:hyperlink r:id="rId150">
              <w:r>
                <w:rPr>
                  <w:rFonts w:ascii="Arial" w:cs="Arial" w:eastAsia="Arial" w:hAnsi="Arial"/>
                  <w:sz w:val="18"/>
                  <w:szCs w:val="18"/>
                  <w:color w:val="0000FF"/>
                </w:rPr>
                <w:t>Underwriting Agreement, dated March 14, 2018, among</w:t>
              </w:r>
            </w:hyperlink>
          </w:p>
        </w:tc>
        <w:tc>
          <w:tcPr>
            <w:tcW w:w="82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17"/>
                <w:szCs w:val="17"/>
                <w:color w:val="auto"/>
              </w:rPr>
            </w:pP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99"/>
              </w:rPr>
              <w:t>March 19, 2018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ABM Industries Incorporated, Goldman Sachs &amp; Co LLC,</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and UBS Securities LLC</w:t>
              </w:r>
            </w:hyperlink>
          </w:p>
        </w:tc>
        <w:tc>
          <w:tcPr>
            <w:tcW w:w="240" w:type="dxa"/>
            <w:vAlign w:val="bottom"/>
            <w:gridSpan w:val="6"/>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14"/>
          </w:tcPr>
          <w:p>
            <w:pPr>
              <w:spacing w:after="0"/>
              <w:rPr>
                <w:rFonts w:ascii="Arial" w:cs="Arial" w:eastAsia="Arial" w:hAnsi="Arial"/>
                <w:sz w:val="18"/>
                <w:szCs w:val="18"/>
                <w:color w:val="0000FF"/>
                <w:w w:val="99"/>
              </w:rPr>
            </w:pPr>
            <w:hyperlink r:id="rId151">
              <w:r>
                <w:rPr>
                  <w:rFonts w:ascii="Arial" w:cs="Arial" w:eastAsia="Arial" w:hAnsi="Arial"/>
                  <w:sz w:val="18"/>
                  <w:szCs w:val="18"/>
                  <w:color w:val="0000FF"/>
                  <w:w w:val="99"/>
                </w:rPr>
                <w:t>Agreement and Plan of Merger, dated July 11, 2017,</w:t>
              </w:r>
            </w:hyperlink>
          </w:p>
        </w:tc>
        <w:tc>
          <w:tcPr>
            <w:tcW w:w="580" w:type="dxa"/>
            <w:vAlign w:val="bottom"/>
            <w:gridSpan w:val="17"/>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July 14, 2017</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among GCA Holding Corp., ABM Industries Incorporated,</w:t>
              </w:r>
            </w:hyperlink>
          </w:p>
        </w:tc>
        <w:tc>
          <w:tcPr>
            <w:tcW w:w="20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Grade Sub One, Inc., Grade Sub Two, LLC and Thomas</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H. Lee Equity Fund VII, L.P. and Broad Street Principal</w:t>
              </w:r>
            </w:hyperlink>
          </w:p>
        </w:tc>
        <w:tc>
          <w:tcPr>
            <w:tcW w:w="100" w:type="dxa"/>
            <w:vAlign w:val="bottom"/>
            <w:tcBorders>
              <w:top w:val="single" w:sz="8" w:color="0000FF"/>
            </w:tcBorders>
            <w:gridSpan w:val="3"/>
          </w:tcPr>
          <w:p>
            <w:pPr>
              <w:spacing w:after="0"/>
              <w:rPr>
                <w:sz w:val="15"/>
                <w:szCs w:val="15"/>
                <w:color w:val="auto"/>
              </w:rPr>
            </w:pPr>
          </w:p>
        </w:tc>
        <w:tc>
          <w:tcPr>
            <w:tcW w:w="30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Investments Holdings, L.P., acting jointly as the</w:t>
              </w:r>
            </w:hyperlink>
          </w:p>
        </w:tc>
        <w:tc>
          <w:tcPr>
            <w:tcW w:w="1020" w:type="dxa"/>
            <w:vAlign w:val="bottom"/>
            <w:gridSpan w:val="24"/>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Securityholder Representative</w:t>
              </w:r>
            </w:hyperlink>
          </w:p>
        </w:tc>
        <w:tc>
          <w:tcPr>
            <w:tcW w:w="2360" w:type="dxa"/>
            <w:vAlign w:val="bottom"/>
            <w:gridSpan w:val="27"/>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Borders>
              <w:bottom w:val="single" w:sz="8" w:color="0000FF"/>
            </w:tcBorders>
            <w:gridSpan w:val="19"/>
          </w:tcPr>
          <w:p>
            <w:pPr>
              <w:spacing w:after="0"/>
              <w:rPr>
                <w:rFonts w:ascii="Arial" w:cs="Arial" w:eastAsia="Arial" w:hAnsi="Arial"/>
                <w:sz w:val="18"/>
                <w:szCs w:val="18"/>
                <w:color w:val="0000FF"/>
                <w:w w:val="99"/>
              </w:rPr>
            </w:pPr>
            <w:hyperlink r:id="rId152">
              <w:r>
                <w:rPr>
                  <w:rFonts w:ascii="Arial" w:cs="Arial" w:eastAsia="Arial" w:hAnsi="Arial"/>
                  <w:sz w:val="18"/>
                  <w:szCs w:val="18"/>
                  <w:color w:val="0000FF"/>
                  <w:w w:val="99"/>
                </w:rPr>
                <w:t>Restated Certificate of Incorporation of ABM Industries</w:t>
              </w:r>
            </w:hyperlink>
          </w:p>
        </w:tc>
        <w:tc>
          <w:tcPr>
            <w:tcW w:w="420" w:type="dxa"/>
            <w:vAlign w:val="bottom"/>
            <w:gridSpan w:val="12"/>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January 14, 2004</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52">
              <w:r>
                <w:rPr>
                  <w:rFonts w:ascii="Arial" w:cs="Arial" w:eastAsia="Arial" w:hAnsi="Arial"/>
                  <w:sz w:val="18"/>
                  <w:szCs w:val="18"/>
                  <w:color w:val="0000FF"/>
                  <w:w w:val="99"/>
                </w:rPr>
                <w:t>Incorporated, dated November 25, 2003</w:t>
              </w:r>
            </w:hyperlink>
          </w:p>
        </w:tc>
        <w:tc>
          <w:tcPr>
            <w:tcW w:w="1580" w:type="dxa"/>
            <w:vAlign w:val="bottom"/>
            <w:gridSpan w:val="25"/>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31"/>
          </w:tcPr>
          <w:p>
            <w:pPr>
              <w:spacing w:after="0"/>
              <w:rPr>
                <w:rFonts w:ascii="Arial" w:cs="Arial" w:eastAsia="Arial" w:hAnsi="Arial"/>
                <w:sz w:val="18"/>
                <w:szCs w:val="18"/>
                <w:color w:val="0000FF"/>
              </w:rPr>
            </w:pPr>
            <w:hyperlink r:id="rId153">
              <w:r>
                <w:rPr>
                  <w:rFonts w:ascii="Arial" w:cs="Arial" w:eastAsia="Arial" w:hAnsi="Arial"/>
                  <w:sz w:val="18"/>
                  <w:szCs w:val="18"/>
                  <w:color w:val="0000FF"/>
                </w:rPr>
                <w:t>Amended and Restated Bylaws of ABM Industries</w:t>
              </w:r>
            </w:hyperlink>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10, 2018</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Incorporated, dated December 4, 2018</w:t>
              </w:r>
            </w:hyperlink>
          </w:p>
        </w:tc>
        <w:tc>
          <w:tcPr>
            <w:tcW w:w="880" w:type="dxa"/>
            <w:vAlign w:val="bottom"/>
            <w:tcBorders>
              <w:top w:val="single" w:sz="8" w:color="0000FF"/>
            </w:tcBorders>
            <w:gridSpan w:val="6"/>
          </w:tcPr>
          <w:p>
            <w:pPr>
              <w:spacing w:after="0"/>
              <w:rPr>
                <w:sz w:val="15"/>
                <w:szCs w:val="15"/>
                <w:color w:val="auto"/>
              </w:rPr>
            </w:pPr>
          </w:p>
        </w:tc>
        <w:tc>
          <w:tcPr>
            <w:tcW w:w="800" w:type="dxa"/>
            <w:vAlign w:val="bottom"/>
            <w:gridSpan w:val="20"/>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16"/>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Shareholders’ Agreement, dated September 1, 2017,</w:t>
              </w:r>
            </w:hyperlink>
          </w:p>
        </w:tc>
        <w:tc>
          <w:tcPr>
            <w:tcW w:w="540" w:type="dxa"/>
            <w:vAlign w:val="bottom"/>
            <w:gridSpan w:val="15"/>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8, 2017</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among ABM Industries Incorporated, Thomas H. Lee</w:t>
              </w:r>
            </w:hyperlink>
          </w:p>
        </w:tc>
        <w:tc>
          <w:tcPr>
            <w:tcW w:w="560" w:type="dxa"/>
            <w:vAlign w:val="bottom"/>
            <w:gridSpan w:val="16"/>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4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Equity Fund VII, L.P., Thomas H. Lee Parallel Fund VII,</w:t>
              </w:r>
            </w:hyperlink>
          </w:p>
        </w:tc>
        <w:tc>
          <w:tcPr>
            <w:tcW w:w="340" w:type="dxa"/>
            <w:vAlign w:val="bottom"/>
            <w:gridSpan w:val="10"/>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bottom w:val="single" w:sz="8" w:color="0000FF"/>
            </w:tcBorders>
            <w:gridSpan w:val="18"/>
          </w:tcPr>
          <w:p>
            <w:pPr>
              <w:spacing w:after="0" w:line="182" w:lineRule="exact"/>
              <w:rPr>
                <w:rFonts w:ascii="Arial" w:cs="Arial" w:eastAsia="Arial" w:hAnsi="Arial"/>
                <w:sz w:val="18"/>
                <w:szCs w:val="18"/>
                <w:color w:val="0000FF"/>
                <w:w w:val="98"/>
              </w:rPr>
            </w:pPr>
            <w:hyperlink r:id="rId154">
              <w:r>
                <w:rPr>
                  <w:rFonts w:ascii="Arial" w:cs="Arial" w:eastAsia="Arial" w:hAnsi="Arial"/>
                  <w:sz w:val="18"/>
                  <w:szCs w:val="18"/>
                  <w:color w:val="0000FF"/>
                  <w:w w:val="98"/>
                </w:rPr>
                <w:t>L.P., Thomas H. Lee Parallel (Cayman) Fund VII, L.P.,</w:t>
              </w:r>
            </w:hyperlink>
          </w:p>
        </w:tc>
        <w:tc>
          <w:tcPr>
            <w:tcW w:w="480" w:type="dxa"/>
            <w:vAlign w:val="bottom"/>
            <w:gridSpan w:val="1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THL Executive Fund VII, L.P., THL Fund VII Coinvestment</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Partners, L.P., Broad Street Principal Investments</w:t>
              </w:r>
            </w:hyperlink>
          </w:p>
        </w:tc>
        <w:tc>
          <w:tcPr>
            <w:tcW w:w="660" w:type="dxa"/>
            <w:vAlign w:val="bottom"/>
            <w:tcBorders>
              <w:top w:val="single" w:sz="8" w:color="0000FF"/>
            </w:tcBorders>
            <w:gridSpan w:val="18"/>
          </w:tcPr>
          <w:p>
            <w:pPr>
              <w:spacing w:after="0"/>
              <w:rPr>
                <w:sz w:val="15"/>
                <w:szCs w:val="15"/>
                <w:color w:val="auto"/>
              </w:rPr>
            </w:pPr>
          </w:p>
        </w:tc>
        <w:tc>
          <w:tcPr>
            <w:tcW w:w="16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tcBorders>
              <w:bottom w:val="single" w:sz="8" w:color="0000FF"/>
            </w:tcBorders>
            <w:gridSpan w:val="24"/>
          </w:tcPr>
          <w:p>
            <w:pPr>
              <w:spacing w:after="0" w:line="182" w:lineRule="exact"/>
              <w:rPr>
                <w:rFonts w:ascii="Arial" w:cs="Arial" w:eastAsia="Arial" w:hAnsi="Arial"/>
                <w:sz w:val="18"/>
                <w:szCs w:val="18"/>
                <w:color w:val="0000FF"/>
                <w:w w:val="98"/>
              </w:rPr>
            </w:pPr>
            <w:hyperlink r:id="rId154">
              <w:r>
                <w:rPr>
                  <w:rFonts w:ascii="Arial" w:cs="Arial" w:eastAsia="Arial" w:hAnsi="Arial"/>
                  <w:sz w:val="18"/>
                  <w:szCs w:val="18"/>
                  <w:color w:val="0000FF"/>
                  <w:w w:val="98"/>
                </w:rPr>
                <w:t>Holdings, L.P., Bridge Street 2015, L.P., MBD 2015, L.P.,</w:t>
              </w:r>
            </w:hyperlink>
          </w:p>
        </w:tc>
        <w:tc>
          <w:tcPr>
            <w:tcW w:w="28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Stone Street 2015, L.P., 2015 Employee Offshore</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8"/>
              </w:rPr>
            </w:pPr>
            <w:hyperlink r:id="rId154">
              <w:r>
                <w:rPr>
                  <w:rFonts w:ascii="Arial" w:cs="Arial" w:eastAsia="Arial" w:hAnsi="Arial"/>
                  <w:sz w:val="18"/>
                  <w:szCs w:val="18"/>
                  <w:color w:val="0000FF"/>
                  <w:w w:val="98"/>
                </w:rPr>
                <w:t>Aggregator, L.P., and Goldman Sachs &amp; Co. LLC</w:t>
              </w:r>
            </w:hyperlink>
          </w:p>
        </w:tc>
        <w:tc>
          <w:tcPr>
            <w:tcW w:w="40" w:type="dxa"/>
            <w:vAlign w:val="bottom"/>
            <w:tcBorders>
              <w:top w:val="single" w:sz="8" w:color="0000FF"/>
            </w:tcBorders>
          </w:tcPr>
          <w:p>
            <w:pPr>
              <w:spacing w:after="0"/>
              <w:rPr>
                <w:sz w:val="15"/>
                <w:szCs w:val="15"/>
                <w:color w:val="auto"/>
              </w:rPr>
            </w:pPr>
          </w:p>
        </w:tc>
        <w:tc>
          <w:tcPr>
            <w:tcW w:w="840" w:type="dxa"/>
            <w:vAlign w:val="bottom"/>
            <w:gridSpan w:val="2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Borders>
              <w:bottom w:val="single" w:sz="8" w:color="0000FF"/>
            </w:tcBorders>
            <w:gridSpan w:val="29"/>
          </w:tcPr>
          <w:p>
            <w:pPr>
              <w:spacing w:after="0"/>
              <w:rPr>
                <w:rFonts w:ascii="Arial" w:cs="Arial" w:eastAsia="Arial" w:hAnsi="Arial"/>
                <w:sz w:val="18"/>
                <w:szCs w:val="18"/>
                <w:color w:val="0000FF"/>
                <w:w w:val="99"/>
              </w:rPr>
            </w:pPr>
            <w:hyperlink r:id="rId155">
              <w:r>
                <w:rPr>
                  <w:rFonts w:ascii="Arial" w:cs="Arial" w:eastAsia="Arial" w:hAnsi="Arial"/>
                  <w:sz w:val="18"/>
                  <w:szCs w:val="18"/>
                  <w:color w:val="0000FF"/>
                  <w:w w:val="99"/>
                </w:rPr>
                <w:t>Credit Agreement, dated as of September 1, 2017, by and</w:t>
              </w:r>
            </w:hyperlink>
          </w:p>
        </w:tc>
        <w:tc>
          <w:tcPr>
            <w:tcW w:w="140" w:type="dxa"/>
            <w:vAlign w:val="bottom"/>
            <w:gridSpan w:val="2"/>
          </w:tcPr>
          <w:p>
            <w:pPr>
              <w:spacing w:after="0"/>
              <w:rPr>
                <w:sz w:val="20"/>
                <w:szCs w:val="2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8, 2017</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among ABM Industries Incorporated, a Delaware</w:t>
              </w:r>
            </w:hyperlink>
          </w:p>
        </w:tc>
        <w:tc>
          <w:tcPr>
            <w:tcW w:w="880" w:type="dxa"/>
            <w:vAlign w:val="bottom"/>
            <w:gridSpan w:val="2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corporation, certain subsidiaries of ABM Industries</w:t>
              </w:r>
            </w:hyperlink>
          </w:p>
        </w:tc>
        <w:tc>
          <w:tcPr>
            <w:tcW w:w="760" w:type="dxa"/>
            <w:vAlign w:val="bottom"/>
            <w:gridSpan w:val="19"/>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Incorporated from time to time party thereto, the lenders</w:t>
              </w:r>
            </w:hyperlink>
          </w:p>
        </w:tc>
        <w:tc>
          <w:tcPr>
            <w:tcW w:w="320" w:type="dxa"/>
            <w:vAlign w:val="bottom"/>
            <w:gridSpan w:val="9"/>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from time to time party thereto and Bank of America, N.A.,</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as administrative agent</w:t>
              </w:r>
            </w:hyperlink>
          </w:p>
        </w:tc>
        <w:tc>
          <w:tcPr>
            <w:tcW w:w="2760" w:type="dxa"/>
            <w:vAlign w:val="bottom"/>
            <w:tcBorders>
              <w:top w:val="single" w:sz="8" w:color="0000FF"/>
            </w:tcBorders>
            <w:gridSpan w:val="26"/>
          </w:tcPr>
          <w:p>
            <w:pPr>
              <w:spacing w:after="0"/>
              <w:rPr>
                <w:sz w:val="15"/>
                <w:szCs w:val="15"/>
                <w:color w:val="auto"/>
              </w:rPr>
            </w:pPr>
          </w:p>
        </w:tc>
        <w:tc>
          <w:tcPr>
            <w:tcW w:w="16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Borders>
              <w:bottom w:val="single" w:sz="8" w:color="0000FF"/>
            </w:tcBorders>
            <w:gridSpan w:val="17"/>
          </w:tcPr>
          <w:p>
            <w:pPr>
              <w:spacing w:after="0"/>
              <w:rPr>
                <w:rFonts w:ascii="Arial" w:cs="Arial" w:eastAsia="Arial" w:hAnsi="Arial"/>
                <w:sz w:val="18"/>
                <w:szCs w:val="18"/>
                <w:color w:val="0000FF"/>
                <w:w w:val="99"/>
              </w:rPr>
            </w:pPr>
            <w:hyperlink r:id="rId156">
              <w:r>
                <w:rPr>
                  <w:rFonts w:ascii="Arial" w:cs="Arial" w:eastAsia="Arial" w:hAnsi="Arial"/>
                  <w:sz w:val="18"/>
                  <w:szCs w:val="18"/>
                  <w:color w:val="0000FF"/>
                  <w:w w:val="99"/>
                </w:rPr>
                <w:t>Letter Agreement, dated November 6, 2017, between</w:t>
              </w:r>
            </w:hyperlink>
          </w:p>
        </w:tc>
        <w:tc>
          <w:tcPr>
            <w:tcW w:w="520" w:type="dxa"/>
            <w:vAlign w:val="bottom"/>
            <w:gridSpan w:val="14"/>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22, 2017</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ABM Industries Incorporated and Bank of America, N.A.,</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56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as Swingline Lender with respect to the Credit Agreement</w:t>
              </w:r>
            </w:hyperlink>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40" w:type="dxa"/>
            <w:vAlign w:val="bottom"/>
            <w:tcBorders>
              <w:bottom w:val="single" w:sz="8" w:color="0000FF"/>
            </w:tcBorders>
            <w:gridSpan w:val="21"/>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dated as of September 1, 2017, among ABM Industries</w:t>
              </w:r>
            </w:hyperlink>
          </w:p>
        </w:tc>
        <w:tc>
          <w:tcPr>
            <w:tcW w:w="340" w:type="dxa"/>
            <w:vAlign w:val="bottom"/>
            <w:gridSpan w:val="10"/>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Incorporated, the Designated Borrowers party thereto, the</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Lenders party thereto and Bank of America, N.A., as</w:t>
              </w:r>
            </w:hyperlink>
          </w:p>
        </w:tc>
        <w:tc>
          <w:tcPr>
            <w:tcW w:w="420" w:type="dxa"/>
            <w:vAlign w:val="bottom"/>
            <w:tcBorders>
              <w:top w:val="single" w:sz="8" w:color="0000FF"/>
            </w:tcBorders>
            <w:gridSpan w:val="14"/>
          </w:tcPr>
          <w:p>
            <w:pPr>
              <w:spacing w:after="0"/>
              <w:rPr>
                <w:sz w:val="15"/>
                <w:szCs w:val="15"/>
                <w:color w:val="auto"/>
              </w:rPr>
            </w:pP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administrative agent</w:t>
              </w:r>
            </w:hyperlink>
          </w:p>
        </w:tc>
        <w:tc>
          <w:tcPr>
            <w:tcW w:w="3160" w:type="dxa"/>
            <w:vAlign w:val="bottom"/>
            <w:gridSpan w:val="30"/>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31"/>
          </w:tcPr>
          <w:p>
            <w:pPr>
              <w:spacing w:after="0"/>
              <w:rPr>
                <w:rFonts w:ascii="Arial" w:cs="Arial" w:eastAsia="Arial" w:hAnsi="Arial"/>
                <w:sz w:val="18"/>
                <w:szCs w:val="18"/>
                <w:color w:val="0000FF"/>
              </w:rPr>
            </w:pPr>
            <w:hyperlink r:id="rId157">
              <w:r>
                <w:rPr>
                  <w:rFonts w:ascii="Arial" w:cs="Arial" w:eastAsia="Arial" w:hAnsi="Arial"/>
                  <w:sz w:val="18"/>
                  <w:szCs w:val="18"/>
                  <w:color w:val="0000FF"/>
                </w:rPr>
                <w:t>First Amendment, dated as of July 3, 2018, to the Credit</w:t>
              </w:r>
            </w:hyperlink>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7, 2018</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Agreement dated September 1, 2017, by and among</w:t>
              </w:r>
            </w:hyperlink>
          </w:p>
        </w:tc>
        <w:tc>
          <w:tcPr>
            <w:tcW w:w="320" w:type="dxa"/>
            <w:vAlign w:val="bottom"/>
            <w:gridSpan w:val="9"/>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14"/>
            <w:shd w:val="clear" w:color="auto" w:fill="0000FF"/>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57">
              <w:r>
                <w:rPr>
                  <w:rFonts w:ascii="Arial" w:cs="Arial" w:eastAsia="Arial" w:hAnsi="Arial"/>
                  <w:sz w:val="18"/>
                  <w:szCs w:val="18"/>
                  <w:color w:val="0000FF"/>
                  <w:w w:val="99"/>
                </w:rPr>
                <w:t>ABM Industries Incorporated, a Delaware corporation, the</w:t>
              </w:r>
            </w:hyperlink>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30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Designated Borrowers identified on the signature pages</w:t>
        </w:r>
      </w:hyperlink>
    </w:p>
    <w:p>
      <w:pPr>
        <w:ind w:left="1300"/>
        <w:spacing w:after="0" w:line="234" w:lineRule="auto"/>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thereto, the Guarantors identified on the signature pages</w:t>
        </w:r>
      </w:hyperlink>
    </w:p>
    <w:p>
      <w:pPr>
        <w:ind w:left="1300"/>
        <w:spacing w:after="0" w:line="235" w:lineRule="auto"/>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thereto, the Lenders identified on the signature pages</w:t>
        </w:r>
      </w:hyperlink>
    </w:p>
    <w:p>
      <w:pPr>
        <w:ind w:left="1300"/>
        <w:spacing w:after="0" w:line="235" w:lineRule="auto"/>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thereto, and Bank of America, N.A., as administrative</w:t>
        </w:r>
      </w:hyperlink>
    </w:p>
    <w:p>
      <w:pPr>
        <w:spacing w:after="0" w:line="1" w:lineRule="exact"/>
        <w:rPr>
          <w:sz w:val="20"/>
          <w:szCs w:val="20"/>
          <w:color w:val="auto"/>
        </w:rPr>
      </w:pPr>
    </w:p>
    <w:p>
      <w:pPr>
        <w:ind w:left="130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agent</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22"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4460" w:type="dxa"/>
            <w:vAlign w:val="bottom"/>
            <w:tcBorders>
              <w:bottom w:val="single" w:sz="8" w:color="0000FF"/>
            </w:tcBorders>
            <w:gridSpan w:val="26"/>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Second Amendment, dated as of September 5, 2018, to</w:t>
              </w:r>
            </w:hyperlink>
          </w:p>
        </w:tc>
        <w:tc>
          <w:tcPr>
            <w:tcW w:w="160" w:type="dxa"/>
            <w:vAlign w:val="bottom"/>
            <w:gridSpan w:val="7"/>
          </w:tcPr>
          <w:p>
            <w:pPr>
              <w:spacing w:after="0"/>
              <w:rPr>
                <w:sz w:val="17"/>
                <w:szCs w:val="17"/>
                <w:color w:val="auto"/>
              </w:rPr>
            </w:pPr>
          </w:p>
        </w:tc>
      </w:tr>
      <w:tr>
        <w:trPr>
          <w:trHeight w:val="183"/>
        </w:trPr>
        <w:tc>
          <w:tcPr>
            <w:tcW w:w="1260" w:type="dxa"/>
            <w:vAlign w:val="bottom"/>
          </w:tcPr>
          <w:p>
            <w:pPr>
              <w:spacing w:after="0"/>
              <w:rPr>
                <w:sz w:val="15"/>
                <w:szCs w:val="15"/>
                <w:color w:val="auto"/>
              </w:rPr>
            </w:pPr>
          </w:p>
        </w:tc>
        <w:tc>
          <w:tcPr>
            <w:tcW w:w="444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the Credit Agreement dated September 1, 2017, by and</w:t>
              </w:r>
            </w:hyperlink>
          </w:p>
        </w:tc>
        <w:tc>
          <w:tcPr>
            <w:tcW w:w="180" w:type="dxa"/>
            <w:vAlign w:val="bottom"/>
            <w:gridSpan w:val="8"/>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among ABM Industries Incorporated, a Delaware</w:t>
              </w:r>
            </w:hyperlink>
          </w:p>
        </w:tc>
        <w:tc>
          <w:tcPr>
            <w:tcW w:w="720" w:type="dxa"/>
            <w:vAlign w:val="bottom"/>
            <w:gridSpan w:val="17"/>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42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corporation, the Designated Borrowers identified on the</w:t>
              </w:r>
            </w:hyperlink>
          </w:p>
        </w:tc>
        <w:tc>
          <w:tcPr>
            <w:tcW w:w="200" w:type="dxa"/>
            <w:vAlign w:val="bottom"/>
            <w:gridSpan w:val="9"/>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540" w:type="dxa"/>
            <w:vAlign w:val="bottom"/>
            <w:tcBorders>
              <w:bottom w:val="single" w:sz="8" w:color="0000FF"/>
            </w:tcBorders>
            <w:gridSpan w:val="30"/>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signature pages thereto, the Guarantors identified on the</w:t>
              </w:r>
            </w:hyperlink>
          </w:p>
        </w:tc>
        <w:tc>
          <w:tcPr>
            <w:tcW w:w="80" w:type="dxa"/>
            <w:vAlign w:val="bottom"/>
            <w:gridSpan w:val="3"/>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signature pages thereto, the Lenders identified on the</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42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signature pages thereto, and Bank of America, N.A., as</w:t>
              </w:r>
            </w:hyperlink>
          </w:p>
        </w:tc>
        <w:tc>
          <w:tcPr>
            <w:tcW w:w="200" w:type="dxa"/>
            <w:vAlign w:val="bottom"/>
            <w:gridSpan w:val="9"/>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62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administrative agent</w:t>
              </w:r>
            </w:hyperlink>
          </w:p>
        </w:tc>
        <w:tc>
          <w:tcPr>
            <w:tcW w:w="3000" w:type="dxa"/>
            <w:vAlign w:val="bottom"/>
            <w:gridSpan w:val="27"/>
          </w:tcPr>
          <w:p>
            <w:pPr>
              <w:spacing w:after="0"/>
              <w:rPr>
                <w:sz w:val="15"/>
                <w:szCs w:val="15"/>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4620" w:type="dxa"/>
            <w:vAlign w:val="bottom"/>
            <w:gridSpan w:val="33"/>
          </w:tcPr>
          <w:p>
            <w:pPr>
              <w:spacing w:after="0"/>
              <w:rPr>
                <w:rFonts w:ascii="Arial" w:cs="Arial" w:eastAsia="Arial" w:hAnsi="Arial"/>
                <w:sz w:val="18"/>
                <w:szCs w:val="18"/>
                <w:color w:val="0000FF"/>
              </w:rPr>
            </w:pPr>
            <w:hyperlink r:id="rId159">
              <w:r>
                <w:rPr>
                  <w:rFonts w:ascii="Arial" w:cs="Arial" w:eastAsia="Arial" w:hAnsi="Arial"/>
                  <w:sz w:val="18"/>
                  <w:szCs w:val="18"/>
                  <w:color w:val="0000FF"/>
                </w:rPr>
                <w:t>ABM Executive Retiree Healthcare and Dental Plan</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4380" w:type="dxa"/>
            <w:vAlign w:val="bottom"/>
            <w:tcBorders>
              <w:bottom w:val="single" w:sz="8" w:color="0000FF"/>
            </w:tcBorders>
            <w:gridSpan w:val="22"/>
          </w:tcPr>
          <w:p>
            <w:pPr>
              <w:spacing w:after="0"/>
              <w:rPr>
                <w:rFonts w:ascii="Arial" w:cs="Arial" w:eastAsia="Arial" w:hAnsi="Arial"/>
                <w:sz w:val="18"/>
                <w:szCs w:val="18"/>
                <w:color w:val="0000FF"/>
                <w:w w:val="99"/>
              </w:rPr>
            </w:pPr>
            <w:hyperlink r:id="rId160">
              <w:r>
                <w:rPr>
                  <w:rFonts w:ascii="Arial" w:cs="Arial" w:eastAsia="Arial" w:hAnsi="Arial"/>
                  <w:sz w:val="18"/>
                  <w:szCs w:val="18"/>
                  <w:color w:val="0000FF"/>
                  <w:w w:val="99"/>
                </w:rPr>
                <w:t>Director Retirement Plan Distribution Election Form, as</w:t>
              </w:r>
            </w:hyperlink>
          </w:p>
        </w:tc>
        <w:tc>
          <w:tcPr>
            <w:tcW w:w="240" w:type="dxa"/>
            <w:vAlign w:val="bottom"/>
            <w:gridSpan w:val="11"/>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17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revised June 16, 2006</w:t>
              </w:r>
            </w:hyperlink>
          </w:p>
        </w:tc>
        <w:tc>
          <w:tcPr>
            <w:tcW w:w="2840" w:type="dxa"/>
            <w:vAlign w:val="bottom"/>
            <w:gridSpan w:val="25"/>
          </w:tcPr>
          <w:p>
            <w:pPr>
              <w:spacing w:after="0"/>
              <w:rPr>
                <w:sz w:val="15"/>
                <w:szCs w:val="15"/>
                <w:color w:val="auto"/>
              </w:rPr>
            </w:pPr>
          </w:p>
        </w:tc>
      </w:tr>
      <w:tr>
        <w:trPr>
          <w:trHeight w:val="439"/>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4620" w:type="dxa"/>
            <w:vAlign w:val="bottom"/>
            <w:gridSpan w:val="33"/>
          </w:tcPr>
          <w:p>
            <w:pPr>
              <w:spacing w:after="0"/>
              <w:rPr>
                <w:rFonts w:ascii="Arial" w:cs="Arial" w:eastAsia="Arial" w:hAnsi="Arial"/>
                <w:sz w:val="18"/>
                <w:szCs w:val="18"/>
                <w:color w:val="0000FF"/>
              </w:rPr>
            </w:pPr>
            <w:hyperlink r:id="rId161">
              <w:r>
                <w:rPr>
                  <w:rFonts w:ascii="Arial" w:cs="Arial" w:eastAsia="Arial" w:hAnsi="Arial"/>
                  <w:sz w:val="18"/>
                  <w:szCs w:val="18"/>
                  <w:color w:val="0000FF"/>
                </w:rPr>
                <w:t>Deferred Compensation Plan for Non-Employee</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520" w:type="dxa"/>
            <w:vAlign w:val="bottom"/>
            <w:tcBorders>
              <w:bottom w:val="single" w:sz="8" w:color="0000FF"/>
            </w:tcBorders>
            <w:gridSpan w:val="29"/>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Directors, as amended and restated December 13, 2010</w:t>
              </w:r>
            </w:hyperlink>
          </w:p>
        </w:tc>
        <w:tc>
          <w:tcPr>
            <w:tcW w:w="100" w:type="dxa"/>
            <w:vAlign w:val="bottom"/>
            <w:gridSpan w:val="4"/>
          </w:tcPr>
          <w:p>
            <w:pPr>
              <w:spacing w:after="0"/>
              <w:rPr>
                <w:sz w:val="15"/>
                <w:szCs w:val="15"/>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4620" w:type="dxa"/>
            <w:vAlign w:val="bottom"/>
            <w:gridSpan w:val="33"/>
          </w:tcPr>
          <w:p>
            <w:pPr>
              <w:spacing w:after="0"/>
              <w:rPr>
                <w:sz w:val="20"/>
                <w:szCs w:val="20"/>
                <w:color w:val="auto"/>
              </w:rPr>
            </w:pPr>
            <w:r>
              <w:rPr>
                <w:rFonts w:ascii="Arial" w:cs="Arial" w:eastAsia="Arial" w:hAnsi="Arial"/>
                <w:sz w:val="18"/>
                <w:szCs w:val="18"/>
                <w:color w:val="0000FF"/>
              </w:rPr>
              <w:t>Form of Director’s Indemnification Agreement</w:t>
            </w: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4620" w:type="dxa"/>
            <w:vAlign w:val="bottom"/>
            <w:gridSpan w:val="33"/>
          </w:tcPr>
          <w:p>
            <w:pPr>
              <w:spacing w:after="0"/>
              <w:rPr>
                <w:rFonts w:ascii="Arial" w:cs="Arial" w:eastAsia="Arial" w:hAnsi="Arial"/>
                <w:sz w:val="18"/>
                <w:szCs w:val="18"/>
                <w:color w:val="0000FF"/>
              </w:rPr>
            </w:pPr>
            <w:hyperlink r:id="rId162">
              <w:r>
                <w:rPr>
                  <w:rFonts w:ascii="Arial" w:cs="Arial" w:eastAsia="Arial" w:hAnsi="Arial"/>
                  <w:sz w:val="18"/>
                  <w:szCs w:val="18"/>
                  <w:color w:val="0000FF"/>
                </w:rPr>
                <w:t>ABM Executive Officer Incentive Plan, as amended and</w:t>
              </w:r>
            </w:hyperlink>
          </w:p>
        </w:tc>
      </w:tr>
      <w:tr>
        <w:trPr>
          <w:trHeight w:val="183"/>
        </w:trPr>
        <w:tc>
          <w:tcPr>
            <w:tcW w:w="1260" w:type="dxa"/>
            <w:vAlign w:val="bottom"/>
          </w:tcPr>
          <w:p>
            <w:pPr>
              <w:spacing w:after="0"/>
              <w:rPr>
                <w:sz w:val="15"/>
                <w:szCs w:val="15"/>
                <w:color w:val="auto"/>
              </w:rPr>
            </w:pPr>
          </w:p>
        </w:tc>
        <w:tc>
          <w:tcPr>
            <w:tcW w:w="442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restated June 3, 2008</w:t>
              </w:r>
            </w:hyperlink>
          </w:p>
        </w:tc>
        <w:tc>
          <w:tcPr>
            <w:tcW w:w="200" w:type="dxa"/>
            <w:vAlign w:val="bottom"/>
            <w:gridSpan w:val="9"/>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4320" w:type="dxa"/>
            <w:vAlign w:val="bottom"/>
            <w:tcBorders>
              <w:bottom w:val="single" w:sz="8" w:color="0000FF"/>
            </w:tcBorders>
            <w:gridSpan w:val="21"/>
          </w:tcPr>
          <w:p>
            <w:pPr>
              <w:spacing w:after="0"/>
              <w:rPr>
                <w:rFonts w:ascii="Arial" w:cs="Arial" w:eastAsia="Arial" w:hAnsi="Arial"/>
                <w:sz w:val="18"/>
                <w:szCs w:val="18"/>
                <w:color w:val="0000FF"/>
              </w:rPr>
            </w:pPr>
            <w:hyperlink r:id="rId163">
              <w:r>
                <w:rPr>
                  <w:rFonts w:ascii="Arial" w:cs="Arial" w:eastAsia="Arial" w:hAnsi="Arial"/>
                  <w:sz w:val="18"/>
                  <w:szCs w:val="18"/>
                  <w:color w:val="0000FF"/>
                </w:rPr>
                <w:t>2006 Equity Incentive Plan, as amended and restated</w:t>
              </w:r>
            </w:hyperlink>
          </w:p>
        </w:tc>
        <w:tc>
          <w:tcPr>
            <w:tcW w:w="300" w:type="dxa"/>
            <w:vAlign w:val="bottom"/>
            <w:gridSpan w:val="12"/>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116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63">
              <w:r>
                <w:rPr>
                  <w:rFonts w:ascii="Arial" w:cs="Arial" w:eastAsia="Arial" w:hAnsi="Arial"/>
                  <w:sz w:val="18"/>
                  <w:szCs w:val="18"/>
                  <w:color w:val="0000FF"/>
                  <w:w w:val="99"/>
                </w:rPr>
                <w:t>March 7, 2018</w:t>
              </w:r>
            </w:hyperlink>
          </w:p>
        </w:tc>
        <w:tc>
          <w:tcPr>
            <w:tcW w:w="3460" w:type="dxa"/>
            <w:vAlign w:val="bottom"/>
            <w:gridSpan w:val="30"/>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4620" w:type="dxa"/>
            <w:vAlign w:val="bottom"/>
            <w:tcBorders>
              <w:bottom w:val="single" w:sz="8" w:color="0000FF"/>
            </w:tcBorders>
            <w:gridSpan w:val="33"/>
          </w:tcPr>
          <w:p>
            <w:pPr>
              <w:spacing w:after="0"/>
              <w:rPr>
                <w:rFonts w:ascii="Arial" w:cs="Arial" w:eastAsia="Arial" w:hAnsi="Arial"/>
                <w:sz w:val="18"/>
                <w:szCs w:val="18"/>
                <w:color w:val="0000FF"/>
                <w:w w:val="99"/>
              </w:rPr>
            </w:pPr>
            <w:hyperlink r:id="rId164">
              <w:r>
                <w:rPr>
                  <w:rFonts w:ascii="Arial" w:cs="Arial" w:eastAsia="Arial" w:hAnsi="Arial"/>
                  <w:sz w:val="18"/>
                  <w:szCs w:val="18"/>
                  <w:color w:val="0000FF"/>
                  <w:w w:val="99"/>
                </w:rPr>
                <w:t>Statement of Terms and Conditions Applicable to Options,</w:t>
              </w:r>
            </w:hyperlink>
          </w:p>
        </w:tc>
      </w:tr>
      <w:tr>
        <w:trPr>
          <w:trHeight w:val="183"/>
        </w:trPr>
        <w:tc>
          <w:tcPr>
            <w:tcW w:w="1260" w:type="dxa"/>
            <w:vAlign w:val="bottom"/>
          </w:tcPr>
          <w:p>
            <w:pPr>
              <w:spacing w:after="0"/>
              <w:rPr>
                <w:sz w:val="15"/>
                <w:szCs w:val="15"/>
                <w:color w:val="auto"/>
              </w:rPr>
            </w:pPr>
          </w:p>
        </w:tc>
        <w:tc>
          <w:tcPr>
            <w:tcW w:w="38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Restricted Stock and Restricted Stock Units and</w:t>
              </w:r>
            </w:hyperlink>
          </w:p>
        </w:tc>
        <w:tc>
          <w:tcPr>
            <w:tcW w:w="780" w:type="dxa"/>
            <w:vAlign w:val="bottom"/>
            <w:gridSpan w:val="18"/>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Performance Shares Granted to Employees Pursuant to</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580" w:type="dxa"/>
            <w:vAlign w:val="bottom"/>
            <w:tcBorders>
              <w:bottom w:val="single" w:sz="8" w:color="0000FF"/>
            </w:tcBorders>
            <w:gridSpan w:val="32"/>
          </w:tcPr>
          <w:p>
            <w:pPr>
              <w:spacing w:after="0" w:line="182"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the 2006 Equity Incentive Plan, as amended and restated</w:t>
              </w:r>
            </w:hyperlink>
          </w:p>
        </w:tc>
        <w:tc>
          <w:tcPr>
            <w:tcW w:w="4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December 9, 2013</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4620" w:type="dxa"/>
            <w:vAlign w:val="bottom"/>
            <w:tcBorders>
              <w:bottom w:val="single" w:sz="8" w:color="0000FF"/>
            </w:tcBorders>
            <w:gridSpan w:val="33"/>
          </w:tcPr>
          <w:p>
            <w:pPr>
              <w:spacing w:after="0"/>
              <w:rPr>
                <w:rFonts w:ascii="Arial" w:cs="Arial" w:eastAsia="Arial" w:hAnsi="Arial"/>
                <w:sz w:val="18"/>
                <w:szCs w:val="18"/>
                <w:color w:val="0000FF"/>
                <w:w w:val="99"/>
              </w:rPr>
            </w:pPr>
            <w:hyperlink r:id="rId165">
              <w:r>
                <w:rPr>
                  <w:rFonts w:ascii="Arial" w:cs="Arial" w:eastAsia="Arial" w:hAnsi="Arial"/>
                  <w:sz w:val="18"/>
                  <w:szCs w:val="18"/>
                  <w:color w:val="0000FF"/>
                  <w:w w:val="99"/>
                </w:rPr>
                <w:t>Statement of Terms and Conditions Applicable to Options,</w:t>
              </w:r>
            </w:hyperlink>
          </w:p>
        </w:tc>
      </w:tr>
      <w:tr>
        <w:trPr>
          <w:trHeight w:val="183"/>
        </w:trPr>
        <w:tc>
          <w:tcPr>
            <w:tcW w:w="1260" w:type="dxa"/>
            <w:vAlign w:val="bottom"/>
          </w:tcPr>
          <w:p>
            <w:pPr>
              <w:spacing w:after="0"/>
              <w:rPr>
                <w:sz w:val="15"/>
                <w:szCs w:val="15"/>
                <w:color w:val="auto"/>
              </w:rPr>
            </w:pPr>
          </w:p>
        </w:tc>
        <w:tc>
          <w:tcPr>
            <w:tcW w:w="38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65">
              <w:r>
                <w:rPr>
                  <w:rFonts w:ascii="Arial" w:cs="Arial" w:eastAsia="Arial" w:hAnsi="Arial"/>
                  <w:sz w:val="18"/>
                  <w:szCs w:val="18"/>
                  <w:color w:val="0000FF"/>
                  <w:w w:val="99"/>
                </w:rPr>
                <w:t>Restricted Stock and Restricted Stock Units and</w:t>
              </w:r>
            </w:hyperlink>
          </w:p>
        </w:tc>
        <w:tc>
          <w:tcPr>
            <w:tcW w:w="780" w:type="dxa"/>
            <w:vAlign w:val="bottom"/>
            <w:gridSpan w:val="18"/>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Performance Shares Granted to Employees Pursuant to</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56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165">
              <w:r>
                <w:rPr>
                  <w:rFonts w:ascii="Arial" w:cs="Arial" w:eastAsia="Arial" w:hAnsi="Arial"/>
                  <w:sz w:val="18"/>
                  <w:szCs w:val="18"/>
                  <w:color w:val="0000FF"/>
                  <w:w w:val="99"/>
                </w:rPr>
                <w:t>the 2006 Equity Incentive Plan, for Awards Granted on or</w:t>
              </w:r>
            </w:hyperlink>
          </w:p>
        </w:tc>
        <w:tc>
          <w:tcPr>
            <w:tcW w:w="60" w:type="dxa"/>
            <w:vAlign w:val="bottom"/>
            <w:gridSpan w:val="2"/>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after March 4, 2015</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4620" w:type="dxa"/>
            <w:vAlign w:val="bottom"/>
            <w:tcBorders>
              <w:bottom w:val="single" w:sz="8" w:color="0000FF"/>
            </w:tcBorders>
            <w:gridSpan w:val="33"/>
          </w:tcPr>
          <w:p>
            <w:pPr>
              <w:spacing w:after="0"/>
              <w:rPr>
                <w:rFonts w:ascii="Arial" w:cs="Arial" w:eastAsia="Arial" w:hAnsi="Arial"/>
                <w:sz w:val="18"/>
                <w:szCs w:val="18"/>
                <w:color w:val="0000FF"/>
                <w:w w:val="99"/>
              </w:rPr>
            </w:pPr>
            <w:hyperlink r:id="rId166">
              <w:r>
                <w:rPr>
                  <w:rFonts w:ascii="Arial" w:cs="Arial" w:eastAsia="Arial" w:hAnsi="Arial"/>
                  <w:sz w:val="18"/>
                  <w:szCs w:val="18"/>
                  <w:color w:val="0000FF"/>
                  <w:w w:val="99"/>
                </w:rPr>
                <w:t>Statement of Terms and Conditions Applicable to Options,</w:t>
              </w:r>
            </w:hyperlink>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Restricted Stock and Restricted Stock Units Granted to</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Directors Pursuant to the 2006 Equity Incentive Plan, as</w:t>
              </w:r>
            </w:hyperlink>
          </w:p>
        </w:tc>
      </w:tr>
      <w:tr>
        <w:trPr>
          <w:trHeight w:val="183"/>
        </w:trPr>
        <w:tc>
          <w:tcPr>
            <w:tcW w:w="126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amended and restated December 9, 2013</w:t>
              </w:r>
            </w:hyperlink>
          </w:p>
        </w:tc>
        <w:tc>
          <w:tcPr>
            <w:tcW w:w="1120" w:type="dxa"/>
            <w:vAlign w:val="bottom"/>
            <w:tcBorders>
              <w:top w:val="single" w:sz="8" w:color="0000FF"/>
            </w:tcBorders>
            <w:gridSpan w:val="15"/>
          </w:tcPr>
          <w:p>
            <w:pPr>
              <w:spacing w:after="0"/>
              <w:rPr>
                <w:sz w:val="15"/>
                <w:szCs w:val="15"/>
                <w:color w:val="auto"/>
              </w:rPr>
            </w:pPr>
          </w:p>
        </w:tc>
        <w:tc>
          <w:tcPr>
            <w:tcW w:w="160" w:type="dxa"/>
            <w:vAlign w:val="bottom"/>
            <w:gridSpan w:val="7"/>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4620" w:type="dxa"/>
            <w:vAlign w:val="bottom"/>
            <w:tcBorders>
              <w:bottom w:val="single" w:sz="8" w:color="0000FF"/>
            </w:tcBorders>
            <w:gridSpan w:val="33"/>
          </w:tcPr>
          <w:p>
            <w:pPr>
              <w:spacing w:after="0"/>
              <w:rPr>
                <w:rFonts w:ascii="Arial" w:cs="Arial" w:eastAsia="Arial" w:hAnsi="Arial"/>
                <w:sz w:val="18"/>
                <w:szCs w:val="18"/>
                <w:color w:val="0000FF"/>
                <w:w w:val="99"/>
              </w:rPr>
            </w:pPr>
            <w:hyperlink r:id="rId167">
              <w:r>
                <w:rPr>
                  <w:rFonts w:ascii="Arial" w:cs="Arial" w:eastAsia="Arial" w:hAnsi="Arial"/>
                  <w:sz w:val="18"/>
                  <w:szCs w:val="18"/>
                  <w:color w:val="0000FF"/>
                  <w:w w:val="99"/>
                </w:rPr>
                <w:t>Statement of Terms and Conditions Applicable to Options,</w:t>
              </w:r>
            </w:hyperlink>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Restricted Stock and Restricted Stock Units Granted to</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50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Directors Pursuant to the 2006 Equity Incentive Plan, for</w:t>
              </w:r>
            </w:hyperlink>
          </w:p>
        </w:tc>
        <w:tc>
          <w:tcPr>
            <w:tcW w:w="120" w:type="dxa"/>
            <w:vAlign w:val="bottom"/>
            <w:gridSpan w:val="5"/>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338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Awards Granted on or after March 4, 2015</w:t>
              </w:r>
            </w:hyperlink>
          </w:p>
        </w:tc>
        <w:tc>
          <w:tcPr>
            <w:tcW w:w="1240" w:type="dxa"/>
            <w:vAlign w:val="bottom"/>
            <w:gridSpan w:val="21"/>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3900" w:type="dxa"/>
            <w:vAlign w:val="bottom"/>
            <w:tcBorders>
              <w:bottom w:val="single" w:sz="8" w:color="0000FF"/>
            </w:tcBorders>
            <w:gridSpan w:val="16"/>
          </w:tcPr>
          <w:p>
            <w:pPr>
              <w:spacing w:after="0"/>
              <w:rPr>
                <w:rFonts w:ascii="Arial" w:cs="Arial" w:eastAsia="Arial" w:hAnsi="Arial"/>
                <w:sz w:val="18"/>
                <w:szCs w:val="18"/>
                <w:color w:val="0000FF"/>
                <w:w w:val="99"/>
              </w:rPr>
            </w:pPr>
            <w:hyperlink r:id="rId168">
              <w:r>
                <w:rPr>
                  <w:rFonts w:ascii="Arial" w:cs="Arial" w:eastAsia="Arial" w:hAnsi="Arial"/>
                  <w:sz w:val="18"/>
                  <w:szCs w:val="18"/>
                  <w:color w:val="0000FF"/>
                  <w:w w:val="99"/>
                </w:rPr>
                <w:t>Statement of Terms and Conditions Applicable to</w:t>
              </w:r>
            </w:hyperlink>
          </w:p>
        </w:tc>
        <w:tc>
          <w:tcPr>
            <w:tcW w:w="720" w:type="dxa"/>
            <w:vAlign w:val="bottom"/>
            <w:gridSpan w:val="17"/>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26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Restricted Stock Units Granted Pursuant to the 2006</w:t>
              </w:r>
            </w:hyperlink>
          </w:p>
        </w:tc>
        <w:tc>
          <w:tcPr>
            <w:tcW w:w="360" w:type="dxa"/>
            <w:vAlign w:val="bottom"/>
            <w:gridSpan w:val="15"/>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tcBorders>
              <w:bottom w:val="single" w:sz="8" w:color="0000FF"/>
            </w:tcBorders>
            <w:gridSpan w:val="33"/>
          </w:tcPr>
          <w:p>
            <w:pPr>
              <w:spacing w:after="0" w:line="182"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Equity Incentive Plan to Directors Who Elect to Relinquish</w:t>
              </w:r>
            </w:hyperlink>
          </w:p>
        </w:tc>
      </w:tr>
      <w:tr>
        <w:trPr>
          <w:trHeight w:val="183"/>
        </w:trPr>
        <w:tc>
          <w:tcPr>
            <w:tcW w:w="1260" w:type="dxa"/>
            <w:vAlign w:val="bottom"/>
          </w:tcPr>
          <w:p>
            <w:pPr>
              <w:spacing w:after="0"/>
              <w:rPr>
                <w:sz w:val="15"/>
                <w:szCs w:val="15"/>
                <w:color w:val="auto"/>
              </w:rPr>
            </w:pPr>
          </w:p>
        </w:tc>
        <w:tc>
          <w:tcPr>
            <w:tcW w:w="448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Their Benefits Effective November 1, 2006, as amended</w:t>
              </w:r>
            </w:hyperlink>
          </w:p>
        </w:tc>
        <w:tc>
          <w:tcPr>
            <w:tcW w:w="140" w:type="dxa"/>
            <w:vAlign w:val="bottom"/>
            <w:gridSpan w:val="6"/>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and restated September 8, 2010</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4620" w:type="dxa"/>
            <w:vAlign w:val="bottom"/>
            <w:gridSpan w:val="33"/>
          </w:tcPr>
          <w:p>
            <w:pPr>
              <w:spacing w:after="0"/>
              <w:rPr>
                <w:rFonts w:ascii="Arial" w:cs="Arial" w:eastAsia="Arial" w:hAnsi="Arial"/>
                <w:sz w:val="18"/>
                <w:szCs w:val="18"/>
                <w:color w:val="0000FF"/>
              </w:rPr>
            </w:pPr>
            <w:hyperlink r:id="rId169">
              <w:r>
                <w:rPr>
                  <w:rFonts w:ascii="Arial" w:cs="Arial" w:eastAsia="Arial" w:hAnsi="Arial"/>
                  <w:sz w:val="18"/>
                  <w:szCs w:val="18"/>
                  <w:color w:val="0000FF"/>
                </w:rPr>
                <w:t>Form of Non-Qualified Stock Option Agreement - 2006</w:t>
              </w:r>
            </w:hyperlink>
          </w:p>
        </w:tc>
      </w:tr>
      <w:tr>
        <w:trPr>
          <w:trHeight w:val="183"/>
        </w:trPr>
        <w:tc>
          <w:tcPr>
            <w:tcW w:w="1260" w:type="dxa"/>
            <w:vAlign w:val="bottom"/>
          </w:tcPr>
          <w:p>
            <w:pPr>
              <w:spacing w:after="0"/>
              <w:rPr>
                <w:sz w:val="15"/>
                <w:szCs w:val="15"/>
                <w:color w:val="auto"/>
              </w:rPr>
            </w:pPr>
          </w:p>
        </w:tc>
        <w:tc>
          <w:tcPr>
            <w:tcW w:w="9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169">
              <w:r>
                <w:rPr>
                  <w:rFonts w:ascii="Arial" w:cs="Arial" w:eastAsia="Arial" w:hAnsi="Arial"/>
                  <w:sz w:val="18"/>
                  <w:szCs w:val="18"/>
                  <w:color w:val="0000FF"/>
                  <w:w w:val="98"/>
                </w:rPr>
                <w:t>Equity Plan</w:t>
              </w:r>
            </w:hyperlink>
          </w:p>
        </w:tc>
        <w:tc>
          <w:tcPr>
            <w:tcW w:w="3460" w:type="dxa"/>
            <w:vAlign w:val="bottom"/>
            <w:tcBorders>
              <w:top w:val="single" w:sz="8" w:color="0000FF"/>
            </w:tcBorders>
            <w:gridSpan w:val="20"/>
          </w:tcPr>
          <w:p>
            <w:pPr>
              <w:spacing w:after="0"/>
              <w:rPr>
                <w:sz w:val="15"/>
                <w:szCs w:val="15"/>
                <w:color w:val="auto"/>
              </w:rPr>
            </w:pPr>
          </w:p>
        </w:tc>
        <w:tc>
          <w:tcPr>
            <w:tcW w:w="240" w:type="dxa"/>
            <w:vAlign w:val="bottom"/>
            <w:gridSpan w:val="11"/>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4400" w:type="dxa"/>
            <w:vAlign w:val="bottom"/>
            <w:tcBorders>
              <w:bottom w:val="single" w:sz="8" w:color="0000FF"/>
            </w:tcBorders>
            <w:gridSpan w:val="23"/>
          </w:tcPr>
          <w:p>
            <w:pPr>
              <w:spacing w:after="0"/>
              <w:rPr>
                <w:rFonts w:ascii="Arial" w:cs="Arial" w:eastAsia="Arial" w:hAnsi="Arial"/>
                <w:sz w:val="18"/>
                <w:szCs w:val="18"/>
                <w:color w:val="0000FF"/>
                <w:w w:val="99"/>
              </w:rPr>
            </w:pPr>
            <w:hyperlink r:id="rId170">
              <w:r>
                <w:rPr>
                  <w:rFonts w:ascii="Arial" w:cs="Arial" w:eastAsia="Arial" w:hAnsi="Arial"/>
                  <w:sz w:val="18"/>
                  <w:szCs w:val="18"/>
                  <w:color w:val="0000FF"/>
                  <w:w w:val="99"/>
                </w:rPr>
                <w:t>Form of Restricted Stock Unit Agreement - 2006 Equity</w:t>
              </w:r>
            </w:hyperlink>
          </w:p>
        </w:tc>
        <w:tc>
          <w:tcPr>
            <w:tcW w:w="220" w:type="dxa"/>
            <w:vAlign w:val="bottom"/>
            <w:gridSpan w:val="10"/>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Plan</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4300" w:type="dxa"/>
            <w:vAlign w:val="bottom"/>
            <w:tcBorders>
              <w:bottom w:val="single" w:sz="8" w:color="0000FF"/>
            </w:tcBorders>
            <w:gridSpan w:val="20"/>
          </w:tcPr>
          <w:p>
            <w:pPr>
              <w:spacing w:after="0"/>
              <w:rPr>
                <w:rFonts w:ascii="Arial" w:cs="Arial" w:eastAsia="Arial" w:hAnsi="Arial"/>
                <w:sz w:val="18"/>
                <w:szCs w:val="18"/>
                <w:color w:val="0000FF"/>
              </w:rPr>
            </w:pPr>
            <w:hyperlink r:id="rId171">
              <w:r>
                <w:rPr>
                  <w:rFonts w:ascii="Arial" w:cs="Arial" w:eastAsia="Arial" w:hAnsi="Arial"/>
                  <w:sz w:val="18"/>
                  <w:szCs w:val="18"/>
                  <w:color w:val="0000FF"/>
                </w:rPr>
                <w:t>Form of Performance Share Agreement - 2006 Equity</w:t>
              </w:r>
            </w:hyperlink>
          </w:p>
        </w:tc>
        <w:tc>
          <w:tcPr>
            <w:tcW w:w="320" w:type="dxa"/>
            <w:vAlign w:val="bottom"/>
            <w:gridSpan w:val="13"/>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Plan</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4280" w:type="dxa"/>
            <w:vAlign w:val="bottom"/>
            <w:tcBorders>
              <w:bottom w:val="single" w:sz="8" w:color="0000FF"/>
            </w:tcBorders>
            <w:gridSpan w:val="19"/>
          </w:tcPr>
          <w:p>
            <w:pPr>
              <w:spacing w:after="0"/>
              <w:rPr>
                <w:rFonts w:ascii="Arial" w:cs="Arial" w:eastAsia="Arial" w:hAnsi="Arial"/>
                <w:sz w:val="18"/>
                <w:szCs w:val="18"/>
                <w:color w:val="0000FF"/>
                <w:w w:val="99"/>
              </w:rPr>
            </w:pPr>
            <w:hyperlink r:id="rId172">
              <w:r>
                <w:rPr>
                  <w:rFonts w:ascii="Arial" w:cs="Arial" w:eastAsia="Arial" w:hAnsi="Arial"/>
                  <w:sz w:val="18"/>
                  <w:szCs w:val="18"/>
                  <w:color w:val="0000FF"/>
                  <w:w w:val="99"/>
                </w:rPr>
                <w:t>Form of Performance Share Agreement for Awards to</w:t>
              </w:r>
            </w:hyperlink>
          </w:p>
        </w:tc>
        <w:tc>
          <w:tcPr>
            <w:tcW w:w="340" w:type="dxa"/>
            <w:vAlign w:val="bottom"/>
            <w:gridSpan w:val="14"/>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Certain Executive Officers</w:t>
              </w:r>
            </w:hyperlink>
          </w:p>
        </w:tc>
      </w:tr>
      <w:tr>
        <w:trPr>
          <w:trHeight w:val="655"/>
        </w:trPr>
        <w:tc>
          <w:tcPr>
            <w:tcW w:w="1260" w:type="dxa"/>
            <w:vAlign w:val="bottom"/>
          </w:tcPr>
          <w:p>
            <w:pPr>
              <w:spacing w:after="0"/>
              <w:rPr>
                <w:sz w:val="24"/>
                <w:szCs w:val="24"/>
                <w:color w:val="auto"/>
              </w:rPr>
            </w:pPr>
          </w:p>
        </w:tc>
        <w:tc>
          <w:tcPr>
            <w:tcW w:w="2080" w:type="dxa"/>
            <w:vAlign w:val="bottom"/>
            <w:tcBorders>
              <w:top w:val="single" w:sz="8" w:color="0000FF"/>
            </w:tcBorders>
            <w:gridSpan w:val="9"/>
          </w:tcPr>
          <w:p>
            <w:pPr>
              <w:spacing w:after="0"/>
              <w:rPr>
                <w:sz w:val="24"/>
                <w:szCs w:val="24"/>
                <w:color w:val="auto"/>
              </w:rPr>
            </w:pPr>
          </w:p>
        </w:tc>
        <w:tc>
          <w:tcPr>
            <w:tcW w:w="2500" w:type="dxa"/>
            <w:vAlign w:val="bottom"/>
            <w:gridSpan w:val="23"/>
          </w:tcPr>
          <w:p>
            <w:pPr>
              <w:jc w:val="right"/>
              <w:ind w:right="2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840" w:val="left"/>
          <w:tab w:leader="none" w:pos="2280" w:val="left"/>
          <w:tab w:leader="none" w:pos="33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001-08929</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September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14, 2005</w:t>
            </w:r>
          </w:p>
        </w:tc>
      </w:tr>
      <w:tr>
        <w:trPr>
          <w:trHeight w:val="270"/>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2006</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10.7</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72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10.6</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8, 2018</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12, 2013</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864"/>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86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10.5</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10.5</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bl>
    <w:p>
      <w:pPr>
        <w:sectPr>
          <w:pgSz w:w="11900" w:h="16838" w:orient="portrait"/>
          <w:cols w:equalWidth="0" w:num="2">
            <w:col w:w="5880" w:space="300"/>
            <w:col w:w="4920"/>
          </w:cols>
          <w:pgMar w:left="280" w:top="675" w:right="51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10.21*</w:t>
            </w:r>
          </w:p>
        </w:tc>
        <w:tc>
          <w:tcPr>
            <w:tcW w:w="4260" w:type="dxa"/>
            <w:vAlign w:val="bottom"/>
            <w:tcBorders>
              <w:bottom w:val="single" w:sz="8" w:color="0000FF"/>
            </w:tcBorders>
            <w:gridSpan w:val="23"/>
          </w:tcPr>
          <w:p>
            <w:pPr>
              <w:spacing w:after="0"/>
              <w:rPr>
                <w:rFonts w:ascii="Arial" w:cs="Arial" w:eastAsia="Arial" w:hAnsi="Arial"/>
                <w:sz w:val="18"/>
                <w:szCs w:val="18"/>
                <w:color w:val="0000FF"/>
                <w:w w:val="99"/>
              </w:rPr>
            </w:pPr>
            <w:hyperlink r:id="rId173">
              <w:r>
                <w:rPr>
                  <w:rFonts w:ascii="Arial" w:cs="Arial" w:eastAsia="Arial" w:hAnsi="Arial"/>
                  <w:sz w:val="18"/>
                  <w:szCs w:val="18"/>
                  <w:color w:val="0000FF"/>
                  <w:w w:val="99"/>
                </w:rPr>
                <w:t>Executive Stock Option Plan (aka Age-Vested Career</w:t>
              </w:r>
            </w:hyperlink>
          </w:p>
        </w:tc>
        <w:tc>
          <w:tcPr>
            <w:tcW w:w="380" w:type="dxa"/>
            <w:vAlign w:val="bottom"/>
            <w:gridSpan w:val="14"/>
          </w:tcPr>
          <w:p>
            <w:pPr>
              <w:spacing w:after="0"/>
              <w:rPr>
                <w:sz w:val="17"/>
                <w:szCs w:val="17"/>
                <w:color w:val="auto"/>
              </w:rPr>
            </w:pPr>
          </w:p>
        </w:tc>
      </w:tr>
      <w:tr>
        <w:trPr>
          <w:trHeight w:val="183"/>
        </w:trPr>
        <w:tc>
          <w:tcPr>
            <w:tcW w:w="1260" w:type="dxa"/>
            <w:vAlign w:val="bottom"/>
          </w:tcPr>
          <w:p>
            <w:pPr>
              <w:spacing w:after="0"/>
              <w:rPr>
                <w:sz w:val="15"/>
                <w:szCs w:val="15"/>
                <w:color w:val="auto"/>
              </w:rPr>
            </w:pPr>
          </w:p>
        </w:tc>
        <w:tc>
          <w:tcPr>
            <w:tcW w:w="4640" w:type="dxa"/>
            <w:vAlign w:val="bottom"/>
            <w:gridSpan w:val="37"/>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Stock Option Plan), as amended and restated June 4,</w:t>
              </w:r>
            </w:hyperlink>
          </w:p>
        </w:tc>
      </w:tr>
      <w:tr>
        <w:trPr>
          <w:trHeight w:val="183"/>
        </w:trPr>
        <w:tc>
          <w:tcPr>
            <w:tcW w:w="126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4"/>
              </w:rPr>
            </w:pPr>
            <w:hyperlink r:id="rId173">
              <w:r>
                <w:rPr>
                  <w:rFonts w:ascii="Arial" w:cs="Arial" w:eastAsia="Arial" w:hAnsi="Arial"/>
                  <w:sz w:val="18"/>
                  <w:szCs w:val="18"/>
                  <w:color w:val="0000FF"/>
                  <w:w w:val="94"/>
                </w:rPr>
                <w:t>2012</w:t>
              </w:r>
            </w:hyperlink>
          </w:p>
        </w:tc>
        <w:tc>
          <w:tcPr>
            <w:tcW w:w="4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10.22*</w:t>
            </w:r>
          </w:p>
        </w:tc>
        <w:tc>
          <w:tcPr>
            <w:tcW w:w="4360" w:type="dxa"/>
            <w:vAlign w:val="bottom"/>
            <w:tcBorders>
              <w:bottom w:val="single" w:sz="8" w:color="0000FF"/>
            </w:tcBorders>
            <w:gridSpan w:val="28"/>
          </w:tcPr>
          <w:p>
            <w:pPr>
              <w:spacing w:after="0"/>
              <w:rPr>
                <w:rFonts w:ascii="Arial" w:cs="Arial" w:eastAsia="Arial" w:hAnsi="Arial"/>
                <w:sz w:val="18"/>
                <w:szCs w:val="18"/>
                <w:color w:val="0000FF"/>
                <w:w w:val="99"/>
              </w:rPr>
            </w:pPr>
            <w:hyperlink r:id="rId174">
              <w:r>
                <w:rPr>
                  <w:rFonts w:ascii="Arial" w:cs="Arial" w:eastAsia="Arial" w:hAnsi="Arial"/>
                  <w:sz w:val="18"/>
                  <w:szCs w:val="18"/>
                  <w:color w:val="0000FF"/>
                  <w:w w:val="99"/>
                </w:rPr>
                <w:t>Deferred Compensation Plan for Executives, amended</w:t>
              </w:r>
            </w:hyperlink>
          </w:p>
        </w:tc>
        <w:tc>
          <w:tcPr>
            <w:tcW w:w="280" w:type="dxa"/>
            <w:vAlign w:val="bottom"/>
            <w:gridSpan w:val="9"/>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40" w:type="dxa"/>
            <w:vAlign w:val="bottom"/>
            <w:gridSpan w:val="37"/>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and restated October 25, 2010</w:t>
              </w:r>
            </w:hyperlink>
          </w:p>
        </w:tc>
      </w:tr>
      <w:tr>
        <w:trPr>
          <w:trHeight w:val="20"/>
        </w:trPr>
        <w:tc>
          <w:tcPr>
            <w:tcW w:w="12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10.23*</w:t>
            </w:r>
          </w:p>
        </w:tc>
        <w:tc>
          <w:tcPr>
            <w:tcW w:w="4440" w:type="dxa"/>
            <w:vAlign w:val="bottom"/>
            <w:tcBorders>
              <w:bottom w:val="single" w:sz="8" w:color="0000FF"/>
            </w:tcBorders>
            <w:gridSpan w:val="31"/>
          </w:tcPr>
          <w:p>
            <w:pPr>
              <w:spacing w:after="0"/>
              <w:rPr>
                <w:rFonts w:ascii="Arial" w:cs="Arial" w:eastAsia="Arial" w:hAnsi="Arial"/>
                <w:sz w:val="18"/>
                <w:szCs w:val="18"/>
                <w:color w:val="0000FF"/>
                <w:w w:val="99"/>
              </w:rPr>
            </w:pPr>
            <w:hyperlink r:id="rId175">
              <w:r>
                <w:rPr>
                  <w:rFonts w:ascii="Arial" w:cs="Arial" w:eastAsia="Arial" w:hAnsi="Arial"/>
                  <w:sz w:val="18"/>
                  <w:szCs w:val="18"/>
                  <w:color w:val="0000FF"/>
                  <w:w w:val="99"/>
                </w:rPr>
                <w:t>Form of Stock Option Agreement dated March 31, 2010</w:t>
              </w:r>
            </w:hyperlink>
          </w:p>
        </w:tc>
        <w:tc>
          <w:tcPr>
            <w:tcW w:w="200" w:type="dxa"/>
            <w:vAlign w:val="bottom"/>
            <w:gridSpan w:val="6"/>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40" w:type="dxa"/>
            <w:vAlign w:val="bottom"/>
            <w:gridSpan w:val="37"/>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for Awards to Certain Executive Officers</w:t>
              </w:r>
            </w:hyperlink>
          </w:p>
        </w:tc>
      </w:tr>
      <w:tr>
        <w:trPr>
          <w:trHeight w:val="20"/>
        </w:trPr>
        <w:tc>
          <w:tcPr>
            <w:tcW w:w="12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10.24*</w:t>
            </w:r>
          </w:p>
        </w:tc>
        <w:tc>
          <w:tcPr>
            <w:tcW w:w="4640" w:type="dxa"/>
            <w:vAlign w:val="bottom"/>
            <w:gridSpan w:val="37"/>
          </w:tcPr>
          <w:p>
            <w:pPr>
              <w:spacing w:after="0"/>
              <w:rPr>
                <w:rFonts w:ascii="Arial" w:cs="Arial" w:eastAsia="Arial" w:hAnsi="Arial"/>
                <w:sz w:val="18"/>
                <w:szCs w:val="18"/>
                <w:color w:val="0000FF"/>
              </w:rPr>
            </w:pPr>
            <w:hyperlink r:id="rId176">
              <w:r>
                <w:rPr>
                  <w:rFonts w:ascii="Arial" w:cs="Arial" w:eastAsia="Arial" w:hAnsi="Arial"/>
                  <w:sz w:val="18"/>
                  <w:szCs w:val="18"/>
                  <w:color w:val="0000FF"/>
                </w:rPr>
                <w:t>Supplemental Executive Retirement Plan, as amended</w:t>
              </w:r>
            </w:hyperlink>
          </w:p>
        </w:tc>
      </w:tr>
      <w:tr>
        <w:trPr>
          <w:trHeight w:val="183"/>
        </w:trPr>
        <w:tc>
          <w:tcPr>
            <w:tcW w:w="126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76">
              <w:r>
                <w:rPr>
                  <w:rFonts w:ascii="Arial" w:cs="Arial" w:eastAsia="Arial" w:hAnsi="Arial"/>
                  <w:sz w:val="18"/>
                  <w:szCs w:val="18"/>
                  <w:color w:val="0000FF"/>
                  <w:w w:val="99"/>
                </w:rPr>
                <w:t>and restated June 3, 2008</w:t>
              </w:r>
            </w:hyperlink>
          </w:p>
        </w:tc>
        <w:tc>
          <w:tcPr>
            <w:tcW w:w="2260" w:type="dxa"/>
            <w:vAlign w:val="bottom"/>
            <w:tcBorders>
              <w:top w:val="single" w:sz="8" w:color="0000FF"/>
            </w:tcBorders>
            <w:gridSpan w:val="19"/>
          </w:tcPr>
          <w:p>
            <w:pPr>
              <w:spacing w:after="0"/>
              <w:rPr>
                <w:sz w:val="15"/>
                <w:szCs w:val="15"/>
                <w:color w:val="auto"/>
              </w:rPr>
            </w:pPr>
          </w:p>
        </w:tc>
        <w:tc>
          <w:tcPr>
            <w:tcW w:w="280" w:type="dxa"/>
            <w:vAlign w:val="bottom"/>
            <w:gridSpan w:val="9"/>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10.25*</w:t>
            </w:r>
          </w:p>
        </w:tc>
        <w:tc>
          <w:tcPr>
            <w:tcW w:w="4640" w:type="dxa"/>
            <w:vAlign w:val="bottom"/>
            <w:gridSpan w:val="37"/>
          </w:tcPr>
          <w:p>
            <w:pPr>
              <w:spacing w:after="0"/>
              <w:rPr>
                <w:rFonts w:ascii="Arial" w:cs="Arial" w:eastAsia="Arial" w:hAnsi="Arial"/>
                <w:sz w:val="18"/>
                <w:szCs w:val="18"/>
                <w:color w:val="0000FF"/>
              </w:rPr>
            </w:pPr>
            <w:hyperlink r:id="rId177">
              <w:r>
                <w:rPr>
                  <w:rFonts w:ascii="Arial" w:cs="Arial" w:eastAsia="Arial" w:hAnsi="Arial"/>
                  <w:sz w:val="18"/>
                  <w:szCs w:val="18"/>
                  <w:color w:val="0000FF"/>
                </w:rPr>
                <w:t>Service Award Benefit Plan, as amended and restated</w:t>
              </w:r>
            </w:hyperlink>
          </w:p>
        </w:tc>
      </w:tr>
      <w:tr>
        <w:trPr>
          <w:trHeight w:val="183"/>
        </w:trPr>
        <w:tc>
          <w:tcPr>
            <w:tcW w:w="1260" w:type="dxa"/>
            <w:vAlign w:val="bottom"/>
          </w:tcPr>
          <w:p>
            <w:pPr>
              <w:spacing w:after="0"/>
              <w:rPr>
                <w:sz w:val="15"/>
                <w:szCs w:val="15"/>
                <w:color w:val="auto"/>
              </w:rPr>
            </w:pPr>
          </w:p>
        </w:tc>
        <w:tc>
          <w:tcPr>
            <w:tcW w:w="432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June 3, 2008</w:t>
              </w:r>
            </w:hyperlink>
          </w:p>
        </w:tc>
        <w:tc>
          <w:tcPr>
            <w:tcW w:w="320" w:type="dxa"/>
            <w:vAlign w:val="bottom"/>
            <w:gridSpan w:val="11"/>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10.26*</w:t>
            </w:r>
          </w:p>
        </w:tc>
        <w:tc>
          <w:tcPr>
            <w:tcW w:w="4020" w:type="dxa"/>
            <w:vAlign w:val="bottom"/>
            <w:tcBorders>
              <w:bottom w:val="single" w:sz="8" w:color="0000FF"/>
            </w:tcBorders>
            <w:gridSpan w:val="19"/>
          </w:tcPr>
          <w:p>
            <w:pPr>
              <w:spacing w:after="0"/>
              <w:rPr>
                <w:rFonts w:ascii="Arial" w:cs="Arial" w:eastAsia="Arial" w:hAnsi="Arial"/>
                <w:sz w:val="18"/>
                <w:szCs w:val="18"/>
                <w:color w:val="0000FF"/>
                <w:w w:val="99"/>
              </w:rPr>
            </w:pPr>
            <w:hyperlink r:id="rId178">
              <w:r>
                <w:rPr>
                  <w:rFonts w:ascii="Arial" w:cs="Arial" w:eastAsia="Arial" w:hAnsi="Arial"/>
                  <w:sz w:val="18"/>
                  <w:szCs w:val="18"/>
                  <w:color w:val="0000FF"/>
                  <w:w w:val="99"/>
                </w:rPr>
                <w:t>Executive Severance Pay Policy, as amended and</w:t>
              </w:r>
            </w:hyperlink>
          </w:p>
        </w:tc>
        <w:tc>
          <w:tcPr>
            <w:tcW w:w="620" w:type="dxa"/>
            <w:vAlign w:val="bottom"/>
            <w:gridSpan w:val="18"/>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18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restated March 7, 2011</w:t>
              </w:r>
            </w:hyperlink>
          </w:p>
        </w:tc>
        <w:tc>
          <w:tcPr>
            <w:tcW w:w="2780" w:type="dxa"/>
            <w:vAlign w:val="bottom"/>
            <w:gridSpan w:val="29"/>
          </w:tcPr>
          <w:p>
            <w:pPr>
              <w:spacing w:after="0"/>
              <w:rPr>
                <w:sz w:val="15"/>
                <w:szCs w:val="15"/>
                <w:color w:val="auto"/>
              </w:rPr>
            </w:pPr>
          </w:p>
        </w:tc>
      </w:tr>
      <w:tr>
        <w:trPr>
          <w:trHeight w:val="250"/>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10.27*</w:t>
            </w:r>
          </w:p>
        </w:tc>
        <w:tc>
          <w:tcPr>
            <w:tcW w:w="4340" w:type="dxa"/>
            <w:vAlign w:val="bottom"/>
            <w:tcBorders>
              <w:bottom w:val="single" w:sz="8" w:color="0000FF"/>
            </w:tcBorders>
            <w:gridSpan w:val="27"/>
          </w:tcPr>
          <w:p>
            <w:pPr>
              <w:spacing w:after="0"/>
              <w:rPr>
                <w:rFonts w:ascii="Arial" w:cs="Arial" w:eastAsia="Arial" w:hAnsi="Arial"/>
                <w:sz w:val="18"/>
                <w:szCs w:val="18"/>
                <w:color w:val="0000FF"/>
                <w:w w:val="99"/>
              </w:rPr>
            </w:pPr>
            <w:hyperlink r:id="rId179">
              <w:r>
                <w:rPr>
                  <w:rFonts w:ascii="Arial" w:cs="Arial" w:eastAsia="Arial" w:hAnsi="Arial"/>
                  <w:sz w:val="18"/>
                  <w:szCs w:val="18"/>
                  <w:color w:val="0000FF"/>
                  <w:w w:val="99"/>
                </w:rPr>
                <w:t>Form of Executive Employment Agreement (with term)</w:t>
              </w:r>
            </w:hyperlink>
          </w:p>
        </w:tc>
        <w:tc>
          <w:tcPr>
            <w:tcW w:w="300" w:type="dxa"/>
            <w:vAlign w:val="bottom"/>
            <w:gridSpan w:val="10"/>
          </w:tcPr>
          <w:p>
            <w:pPr>
              <w:spacing w:after="0"/>
              <w:rPr>
                <w:sz w:val="21"/>
                <w:szCs w:val="21"/>
                <w:color w:val="auto"/>
              </w:rPr>
            </w:pPr>
          </w:p>
        </w:tc>
      </w:tr>
      <w:tr>
        <w:trPr>
          <w:trHeight w:val="250"/>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10.28*</w:t>
            </w:r>
          </w:p>
        </w:tc>
        <w:tc>
          <w:tcPr>
            <w:tcW w:w="4600" w:type="dxa"/>
            <w:vAlign w:val="bottom"/>
            <w:tcBorders>
              <w:bottom w:val="single" w:sz="8" w:color="0000FF"/>
            </w:tcBorders>
            <w:gridSpan w:val="35"/>
          </w:tcPr>
          <w:p>
            <w:pPr>
              <w:spacing w:after="0"/>
              <w:rPr>
                <w:rFonts w:ascii="Arial" w:cs="Arial" w:eastAsia="Arial" w:hAnsi="Arial"/>
                <w:sz w:val="18"/>
                <w:szCs w:val="18"/>
                <w:color w:val="0000FF"/>
                <w:w w:val="99"/>
              </w:rPr>
            </w:pPr>
            <w:hyperlink r:id="rId180">
              <w:r>
                <w:rPr>
                  <w:rFonts w:ascii="Arial" w:cs="Arial" w:eastAsia="Arial" w:hAnsi="Arial"/>
                  <w:sz w:val="18"/>
                  <w:szCs w:val="18"/>
                  <w:color w:val="0000FF"/>
                  <w:w w:val="99"/>
                </w:rPr>
                <w:t>Form of Executive Employment Agreement (without term)</w:t>
              </w:r>
            </w:hyperlink>
          </w:p>
        </w:tc>
        <w:tc>
          <w:tcPr>
            <w:tcW w:w="40" w:type="dxa"/>
            <w:vAlign w:val="bottom"/>
            <w:gridSpan w:val="2"/>
          </w:tcPr>
          <w:p>
            <w:pPr>
              <w:spacing w:after="0"/>
              <w:rPr>
                <w:sz w:val="21"/>
                <w:szCs w:val="2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10.29*</w:t>
            </w:r>
          </w:p>
        </w:tc>
        <w:tc>
          <w:tcPr>
            <w:tcW w:w="4640" w:type="dxa"/>
            <w:vAlign w:val="bottom"/>
            <w:gridSpan w:val="37"/>
          </w:tcPr>
          <w:p>
            <w:pPr>
              <w:spacing w:after="0"/>
              <w:rPr>
                <w:rFonts w:ascii="Arial" w:cs="Arial" w:eastAsia="Arial" w:hAnsi="Arial"/>
                <w:sz w:val="18"/>
                <w:szCs w:val="18"/>
                <w:color w:val="0000FF"/>
              </w:rPr>
            </w:pPr>
            <w:hyperlink r:id="rId181">
              <w:r>
                <w:rPr>
                  <w:rFonts w:ascii="Arial" w:cs="Arial" w:eastAsia="Arial" w:hAnsi="Arial"/>
                  <w:sz w:val="18"/>
                  <w:szCs w:val="18"/>
                  <w:color w:val="0000FF"/>
                </w:rPr>
                <w:t>Form of Amended and Restated Executive Change in</w:t>
              </w:r>
            </w:hyperlink>
          </w:p>
        </w:tc>
      </w:tr>
      <w:tr>
        <w:trPr>
          <w:trHeight w:val="183"/>
        </w:trPr>
        <w:tc>
          <w:tcPr>
            <w:tcW w:w="1260" w:type="dxa"/>
            <w:vAlign w:val="bottom"/>
          </w:tcPr>
          <w:p>
            <w:pPr>
              <w:spacing w:after="0"/>
              <w:rPr>
                <w:sz w:val="15"/>
                <w:szCs w:val="15"/>
                <w:color w:val="auto"/>
              </w:rPr>
            </w:pPr>
          </w:p>
        </w:tc>
        <w:tc>
          <w:tcPr>
            <w:tcW w:w="426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Control Agreement with James P. McClure</w:t>
              </w:r>
            </w:hyperlink>
          </w:p>
        </w:tc>
        <w:tc>
          <w:tcPr>
            <w:tcW w:w="380" w:type="dxa"/>
            <w:vAlign w:val="bottom"/>
            <w:gridSpan w:val="14"/>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10.30*</w:t>
            </w:r>
          </w:p>
        </w:tc>
        <w:tc>
          <w:tcPr>
            <w:tcW w:w="4640" w:type="dxa"/>
            <w:vAlign w:val="bottom"/>
            <w:gridSpan w:val="37"/>
          </w:tcPr>
          <w:p>
            <w:pPr>
              <w:spacing w:after="0"/>
              <w:rPr>
                <w:rFonts w:ascii="Arial" w:cs="Arial" w:eastAsia="Arial" w:hAnsi="Arial"/>
                <w:sz w:val="18"/>
                <w:szCs w:val="18"/>
                <w:color w:val="0000FF"/>
                <w:w w:val="99"/>
              </w:rPr>
            </w:pPr>
            <w:hyperlink r:id="rId182">
              <w:r>
                <w:rPr>
                  <w:rFonts w:ascii="Arial" w:cs="Arial" w:eastAsia="Arial" w:hAnsi="Arial"/>
                  <w:sz w:val="18"/>
                  <w:szCs w:val="18"/>
                  <w:color w:val="0000FF"/>
                  <w:w w:val="99"/>
                </w:rPr>
                <w:t>Form of Amended Executive Employment Agreement with</w:t>
              </w:r>
            </w:hyperlink>
          </w:p>
        </w:tc>
      </w:tr>
      <w:tr>
        <w:trPr>
          <w:trHeight w:val="183"/>
        </w:trPr>
        <w:tc>
          <w:tcPr>
            <w:tcW w:w="126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7"/>
              </w:rPr>
            </w:pPr>
            <w:hyperlink r:id="rId182">
              <w:r>
                <w:rPr>
                  <w:rFonts w:ascii="Arial" w:cs="Arial" w:eastAsia="Arial" w:hAnsi="Arial"/>
                  <w:sz w:val="18"/>
                  <w:szCs w:val="18"/>
                  <w:color w:val="0000FF"/>
                  <w:w w:val="97"/>
                </w:rPr>
                <w:t>James P. McClure</w:t>
              </w:r>
            </w:hyperlink>
          </w:p>
        </w:tc>
        <w:tc>
          <w:tcPr>
            <w:tcW w:w="3160" w:type="dxa"/>
            <w:vAlign w:val="bottom"/>
            <w:tcBorders>
              <w:top w:val="single" w:sz="8" w:color="0000FF"/>
            </w:tcBorders>
            <w:gridSpan w:val="31"/>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10.31*</w:t>
            </w:r>
          </w:p>
        </w:tc>
        <w:tc>
          <w:tcPr>
            <w:tcW w:w="3780" w:type="dxa"/>
            <w:vAlign w:val="bottom"/>
            <w:tcBorders>
              <w:bottom w:val="single" w:sz="8" w:color="0000FF"/>
            </w:tcBorders>
            <w:gridSpan w:val="16"/>
          </w:tcPr>
          <w:p>
            <w:pPr>
              <w:spacing w:after="0"/>
              <w:rPr>
                <w:rFonts w:ascii="Arial" w:cs="Arial" w:eastAsia="Arial" w:hAnsi="Arial"/>
                <w:sz w:val="18"/>
                <w:szCs w:val="18"/>
                <w:color w:val="0000FF"/>
                <w:w w:val="99"/>
              </w:rPr>
            </w:pPr>
            <w:hyperlink r:id="rId183">
              <w:r>
                <w:rPr>
                  <w:rFonts w:ascii="Arial" w:cs="Arial" w:eastAsia="Arial" w:hAnsi="Arial"/>
                  <w:sz w:val="18"/>
                  <w:szCs w:val="18"/>
                  <w:color w:val="0000FF"/>
                  <w:w w:val="99"/>
                </w:rPr>
                <w:t>Amended and Restated Executive Employment</w:t>
              </w:r>
            </w:hyperlink>
          </w:p>
        </w:tc>
        <w:tc>
          <w:tcPr>
            <w:tcW w:w="860" w:type="dxa"/>
            <w:vAlign w:val="bottom"/>
            <w:gridSpan w:val="21"/>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20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Agreement, dated as of September 22, 2017, by and</w:t>
              </w:r>
            </w:hyperlink>
          </w:p>
        </w:tc>
        <w:tc>
          <w:tcPr>
            <w:tcW w:w="440" w:type="dxa"/>
            <w:vAlign w:val="bottom"/>
            <w:gridSpan w:val="15"/>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480" w:type="dxa"/>
            <w:vAlign w:val="bottom"/>
            <w:tcBorders>
              <w:bottom w:val="single" w:sz="8" w:color="0000FF"/>
            </w:tcBorders>
            <w:gridSpan w:val="33"/>
          </w:tcPr>
          <w:p>
            <w:pPr>
              <w:spacing w:after="0" w:line="182"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between ABM Industries Incorporated and Scott Salmirs</w:t>
              </w:r>
            </w:hyperlink>
          </w:p>
        </w:tc>
        <w:tc>
          <w:tcPr>
            <w:tcW w:w="160" w:type="dxa"/>
            <w:vAlign w:val="bottom"/>
            <w:gridSpan w:val="4"/>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10.32*</w:t>
            </w:r>
          </w:p>
        </w:tc>
        <w:tc>
          <w:tcPr>
            <w:tcW w:w="4380" w:type="dxa"/>
            <w:vAlign w:val="bottom"/>
            <w:tcBorders>
              <w:bottom w:val="single" w:sz="8" w:color="0000FF"/>
            </w:tcBorders>
            <w:gridSpan w:val="29"/>
          </w:tcPr>
          <w:p>
            <w:pPr>
              <w:spacing w:after="0"/>
              <w:rPr>
                <w:rFonts w:ascii="Arial" w:cs="Arial" w:eastAsia="Arial" w:hAnsi="Arial"/>
                <w:sz w:val="18"/>
                <w:szCs w:val="18"/>
                <w:color w:val="0000FF"/>
                <w:w w:val="99"/>
              </w:rPr>
            </w:pPr>
            <w:hyperlink r:id="rId184">
              <w:r>
                <w:rPr>
                  <w:rFonts w:ascii="Arial" w:cs="Arial" w:eastAsia="Arial" w:hAnsi="Arial"/>
                  <w:sz w:val="18"/>
                  <w:szCs w:val="18"/>
                  <w:color w:val="0000FF"/>
                  <w:w w:val="99"/>
                </w:rPr>
                <w:t>Amended and Restated Change in Control Agreement,</w:t>
              </w:r>
            </w:hyperlink>
          </w:p>
        </w:tc>
        <w:tc>
          <w:tcPr>
            <w:tcW w:w="260" w:type="dxa"/>
            <w:vAlign w:val="bottom"/>
            <w:gridSpan w:val="8"/>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400" w:type="dxa"/>
            <w:vAlign w:val="bottom"/>
            <w:tcBorders>
              <w:bottom w:val="single" w:sz="8" w:color="0000FF"/>
            </w:tcBorders>
            <w:gridSpan w:val="30"/>
          </w:tcPr>
          <w:p>
            <w:pPr>
              <w:spacing w:after="0" w:line="182"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dated as of September 22, 2017, by and between ABM</w:t>
              </w:r>
            </w:hyperlink>
          </w:p>
        </w:tc>
        <w:tc>
          <w:tcPr>
            <w:tcW w:w="240" w:type="dxa"/>
            <w:vAlign w:val="bottom"/>
            <w:gridSpan w:val="7"/>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40" w:type="dxa"/>
            <w:vAlign w:val="bottom"/>
            <w:gridSpan w:val="37"/>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Industries Incorporated and Scott Salmirs</w:t>
              </w:r>
            </w:hyperlink>
          </w:p>
        </w:tc>
      </w:tr>
      <w:tr>
        <w:trPr>
          <w:trHeight w:val="20"/>
        </w:trPr>
        <w:tc>
          <w:tcPr>
            <w:tcW w:w="12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10.33*</w:t>
            </w:r>
          </w:p>
        </w:tc>
        <w:tc>
          <w:tcPr>
            <w:tcW w:w="4580" w:type="dxa"/>
            <w:vAlign w:val="bottom"/>
            <w:tcBorders>
              <w:bottom w:val="single" w:sz="8" w:color="0000FF"/>
            </w:tcBorders>
            <w:gridSpan w:val="34"/>
          </w:tcPr>
          <w:p>
            <w:pPr>
              <w:spacing w:after="0"/>
              <w:rPr>
                <w:rFonts w:ascii="Arial" w:cs="Arial" w:eastAsia="Arial" w:hAnsi="Arial"/>
                <w:sz w:val="18"/>
                <w:szCs w:val="18"/>
                <w:color w:val="0000FF"/>
                <w:w w:val="99"/>
              </w:rPr>
            </w:pPr>
            <w:hyperlink r:id="rId185">
              <w:r>
                <w:rPr>
                  <w:rFonts w:ascii="Arial" w:cs="Arial" w:eastAsia="Arial" w:hAnsi="Arial"/>
                  <w:sz w:val="18"/>
                  <w:szCs w:val="18"/>
                  <w:color w:val="0000FF"/>
                  <w:w w:val="99"/>
                </w:rPr>
                <w:t>Amended Executive Employment Agreement, dated as of</w:t>
              </w:r>
            </w:hyperlink>
          </w:p>
        </w:tc>
        <w:tc>
          <w:tcPr>
            <w:tcW w:w="60" w:type="dxa"/>
            <w:vAlign w:val="bottom"/>
            <w:gridSpan w:val="3"/>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04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January 13, 2015, by and between ABM Industries</w:t>
              </w:r>
            </w:hyperlink>
          </w:p>
        </w:tc>
        <w:tc>
          <w:tcPr>
            <w:tcW w:w="600" w:type="dxa"/>
            <w:vAlign w:val="bottom"/>
            <w:gridSpan w:val="17"/>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288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Incorporated and James P. McClure</w:t>
              </w:r>
            </w:hyperlink>
          </w:p>
        </w:tc>
        <w:tc>
          <w:tcPr>
            <w:tcW w:w="1760" w:type="dxa"/>
            <w:vAlign w:val="bottom"/>
            <w:gridSpan w:val="25"/>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10.34*</w:t>
            </w:r>
          </w:p>
        </w:tc>
        <w:tc>
          <w:tcPr>
            <w:tcW w:w="4640" w:type="dxa"/>
            <w:vAlign w:val="bottom"/>
            <w:gridSpan w:val="37"/>
          </w:tcPr>
          <w:p>
            <w:pPr>
              <w:spacing w:after="0"/>
              <w:rPr>
                <w:rFonts w:ascii="Arial" w:cs="Arial" w:eastAsia="Arial" w:hAnsi="Arial"/>
                <w:sz w:val="18"/>
                <w:szCs w:val="18"/>
                <w:color w:val="0000FF"/>
              </w:rPr>
            </w:pPr>
            <w:hyperlink r:id="rId186">
              <w:r>
                <w:rPr>
                  <w:rFonts w:ascii="Arial" w:cs="Arial" w:eastAsia="Arial" w:hAnsi="Arial"/>
                  <w:sz w:val="18"/>
                  <w:szCs w:val="18"/>
                  <w:color w:val="0000FF"/>
                </w:rPr>
                <w:t>Retirement and Release Agreement, dated as of</w:t>
              </w:r>
            </w:hyperlink>
          </w:p>
        </w:tc>
      </w:tr>
      <w:tr>
        <w:trPr>
          <w:trHeight w:val="20"/>
        </w:trPr>
        <w:tc>
          <w:tcPr>
            <w:tcW w:w="12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18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September 1, 2017, by and between ABM Industries</w:t>
              </w:r>
            </w:hyperlink>
          </w:p>
        </w:tc>
        <w:tc>
          <w:tcPr>
            <w:tcW w:w="460" w:type="dxa"/>
            <w:vAlign w:val="bottom"/>
            <w:gridSpan w:val="16"/>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40" w:type="dxa"/>
            <w:vAlign w:val="bottom"/>
            <w:gridSpan w:val="37"/>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Incorporated and James P. McClure</w:t>
              </w:r>
            </w:hyperlink>
          </w:p>
        </w:tc>
      </w:tr>
      <w:tr>
        <w:trPr>
          <w:trHeight w:val="20"/>
        </w:trPr>
        <w:tc>
          <w:tcPr>
            <w:tcW w:w="12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10.35*</w:t>
            </w:r>
          </w:p>
        </w:tc>
        <w:tc>
          <w:tcPr>
            <w:tcW w:w="4640" w:type="dxa"/>
            <w:vAlign w:val="bottom"/>
            <w:tcBorders>
              <w:bottom w:val="single" w:sz="8" w:color="0000FF"/>
            </w:tcBorders>
            <w:gridSpan w:val="37"/>
          </w:tcPr>
          <w:p>
            <w:pPr>
              <w:spacing w:after="0"/>
              <w:rPr>
                <w:rFonts w:ascii="Arial" w:cs="Arial" w:eastAsia="Arial" w:hAnsi="Arial"/>
                <w:sz w:val="18"/>
                <w:szCs w:val="18"/>
                <w:color w:val="0000FF"/>
                <w:w w:val="99"/>
              </w:rPr>
            </w:pPr>
            <w:hyperlink r:id="rId187">
              <w:r>
                <w:rPr>
                  <w:rFonts w:ascii="Arial" w:cs="Arial" w:eastAsia="Arial" w:hAnsi="Arial"/>
                  <w:sz w:val="18"/>
                  <w:szCs w:val="18"/>
                  <w:color w:val="0000FF"/>
                  <w:w w:val="99"/>
                </w:rPr>
                <w:t>Executive Employment Agreement, dated as of November</w:t>
              </w:r>
            </w:hyperlink>
          </w:p>
        </w:tc>
      </w:tr>
      <w:tr>
        <w:trPr>
          <w:trHeight w:val="183"/>
        </w:trPr>
        <w:tc>
          <w:tcPr>
            <w:tcW w:w="1260" w:type="dxa"/>
            <w:vAlign w:val="bottom"/>
          </w:tcPr>
          <w:p>
            <w:pPr>
              <w:spacing w:after="0"/>
              <w:rPr>
                <w:sz w:val="15"/>
                <w:szCs w:val="15"/>
                <w:color w:val="auto"/>
              </w:rPr>
            </w:pPr>
          </w:p>
        </w:tc>
        <w:tc>
          <w:tcPr>
            <w:tcW w:w="4640" w:type="dxa"/>
            <w:vAlign w:val="bottom"/>
            <w:gridSpan w:val="37"/>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1, 2017, by and between ABM Industries Incorporated</w:t>
              </w:r>
            </w:hyperlink>
          </w:p>
        </w:tc>
      </w:tr>
      <w:tr>
        <w:trPr>
          <w:trHeight w:val="183"/>
        </w:trPr>
        <w:tc>
          <w:tcPr>
            <w:tcW w:w="1260" w:type="dxa"/>
            <w:vAlign w:val="bottom"/>
          </w:tcPr>
          <w:p>
            <w:pPr>
              <w:spacing w:after="0"/>
              <w:rPr>
                <w:sz w:val="15"/>
                <w:szCs w:val="15"/>
                <w:color w:val="auto"/>
              </w:rPr>
            </w:pPr>
          </w:p>
        </w:tc>
        <w:tc>
          <w:tcPr>
            <w:tcW w:w="43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and Scott Giacobbe</w:t>
              </w:r>
            </w:hyperlink>
          </w:p>
        </w:tc>
        <w:tc>
          <w:tcPr>
            <w:tcW w:w="340" w:type="dxa"/>
            <w:vAlign w:val="bottom"/>
            <w:gridSpan w:val="1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10.36*</w:t>
            </w:r>
          </w:p>
        </w:tc>
        <w:tc>
          <w:tcPr>
            <w:tcW w:w="4460" w:type="dxa"/>
            <w:vAlign w:val="bottom"/>
            <w:tcBorders>
              <w:bottom w:val="single" w:sz="8" w:color="0000FF"/>
            </w:tcBorders>
            <w:gridSpan w:val="32"/>
          </w:tcPr>
          <w:p>
            <w:pPr>
              <w:spacing w:after="0"/>
              <w:rPr>
                <w:rFonts w:ascii="Arial" w:cs="Arial" w:eastAsia="Arial" w:hAnsi="Arial"/>
                <w:sz w:val="18"/>
                <w:szCs w:val="18"/>
                <w:color w:val="0000FF"/>
                <w:w w:val="99"/>
              </w:rPr>
            </w:pPr>
            <w:hyperlink r:id="rId188">
              <w:r>
                <w:rPr>
                  <w:rFonts w:ascii="Arial" w:cs="Arial" w:eastAsia="Arial" w:hAnsi="Arial"/>
                  <w:sz w:val="18"/>
                  <w:szCs w:val="18"/>
                  <w:color w:val="0000FF"/>
                  <w:w w:val="99"/>
                </w:rPr>
                <w:t>Change in Control Agreement, dated as of November 1,</w:t>
              </w:r>
            </w:hyperlink>
          </w:p>
        </w:tc>
        <w:tc>
          <w:tcPr>
            <w:tcW w:w="180" w:type="dxa"/>
            <w:vAlign w:val="bottom"/>
            <w:gridSpan w:val="5"/>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460" w:type="dxa"/>
            <w:vAlign w:val="bottom"/>
            <w:tcBorders>
              <w:bottom w:val="single" w:sz="8" w:color="0000FF"/>
            </w:tcBorders>
            <w:gridSpan w:val="32"/>
          </w:tcPr>
          <w:p>
            <w:pPr>
              <w:spacing w:after="0" w:line="18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2017, by and between ABM Industries Incorporated and</w:t>
              </w:r>
            </w:hyperlink>
          </w:p>
        </w:tc>
        <w:tc>
          <w:tcPr>
            <w:tcW w:w="180" w:type="dxa"/>
            <w:vAlign w:val="bottom"/>
            <w:gridSpan w:val="5"/>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Scott Giacobbe</w:t>
              </w:r>
            </w:hyperlink>
          </w:p>
        </w:tc>
        <w:tc>
          <w:tcPr>
            <w:tcW w:w="3400" w:type="dxa"/>
            <w:vAlign w:val="bottom"/>
            <w:gridSpan w:val="33"/>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10.37*</w:t>
            </w:r>
          </w:p>
        </w:tc>
        <w:tc>
          <w:tcPr>
            <w:tcW w:w="3780" w:type="dxa"/>
            <w:vAlign w:val="bottom"/>
            <w:tcBorders>
              <w:bottom w:val="single" w:sz="8" w:color="0000FF"/>
            </w:tcBorders>
            <w:gridSpan w:val="16"/>
          </w:tcPr>
          <w:p>
            <w:pPr>
              <w:spacing w:after="0"/>
              <w:rPr>
                <w:rFonts w:ascii="Arial" w:cs="Arial" w:eastAsia="Arial" w:hAnsi="Arial"/>
                <w:sz w:val="18"/>
                <w:szCs w:val="18"/>
                <w:color w:val="0000FF"/>
                <w:w w:val="99"/>
              </w:rPr>
            </w:pPr>
            <w:hyperlink r:id="rId189">
              <w:r>
                <w:rPr>
                  <w:rFonts w:ascii="Arial" w:cs="Arial" w:eastAsia="Arial" w:hAnsi="Arial"/>
                  <w:sz w:val="18"/>
                  <w:szCs w:val="18"/>
                  <w:color w:val="0000FF"/>
                  <w:w w:val="99"/>
                </w:rPr>
                <w:t>Amended and Restated Executive Employment</w:t>
              </w:r>
            </w:hyperlink>
          </w:p>
        </w:tc>
        <w:tc>
          <w:tcPr>
            <w:tcW w:w="860" w:type="dxa"/>
            <w:vAlign w:val="bottom"/>
            <w:gridSpan w:val="21"/>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20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Agreement, dated as of September 22, 2017, by and</w:t>
              </w:r>
            </w:hyperlink>
          </w:p>
        </w:tc>
        <w:tc>
          <w:tcPr>
            <w:tcW w:w="440" w:type="dxa"/>
            <w:vAlign w:val="bottom"/>
            <w:gridSpan w:val="15"/>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40" w:type="dxa"/>
            <w:vAlign w:val="bottom"/>
            <w:gridSpan w:val="37"/>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between ABM Industries Incorporated and D. Anthony</w:t>
              </w:r>
            </w:hyperlink>
          </w:p>
        </w:tc>
      </w:tr>
      <w:tr>
        <w:trPr>
          <w:trHeight w:val="183"/>
        </w:trPr>
        <w:tc>
          <w:tcPr>
            <w:tcW w:w="1260" w:type="dxa"/>
            <w:vAlign w:val="bottom"/>
          </w:tcPr>
          <w:p>
            <w:pPr>
              <w:spacing w:after="0"/>
              <w:rPr>
                <w:sz w:val="15"/>
                <w:szCs w:val="15"/>
                <w:color w:val="auto"/>
              </w:rPr>
            </w:pPr>
          </w:p>
        </w:tc>
        <w:tc>
          <w:tcPr>
            <w:tcW w:w="8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189">
              <w:r>
                <w:rPr>
                  <w:rFonts w:ascii="Arial" w:cs="Arial" w:eastAsia="Arial" w:hAnsi="Arial"/>
                  <w:sz w:val="18"/>
                  <w:szCs w:val="18"/>
                  <w:color w:val="0000FF"/>
                  <w:w w:val="98"/>
                </w:rPr>
                <w:t>Scaglione</w:t>
              </w:r>
            </w:hyperlink>
          </w:p>
        </w:tc>
        <w:tc>
          <w:tcPr>
            <w:tcW w:w="3500" w:type="dxa"/>
            <w:vAlign w:val="bottom"/>
            <w:tcBorders>
              <w:top w:val="single" w:sz="8" w:color="0000FF"/>
            </w:tcBorders>
            <w:gridSpan w:val="23"/>
          </w:tcPr>
          <w:p>
            <w:pPr>
              <w:spacing w:after="0"/>
              <w:rPr>
                <w:sz w:val="15"/>
                <w:szCs w:val="15"/>
                <w:color w:val="auto"/>
              </w:rPr>
            </w:pPr>
          </w:p>
        </w:tc>
        <w:tc>
          <w:tcPr>
            <w:tcW w:w="340" w:type="dxa"/>
            <w:vAlign w:val="bottom"/>
            <w:gridSpan w:val="12"/>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10.38*</w:t>
            </w:r>
          </w:p>
        </w:tc>
        <w:tc>
          <w:tcPr>
            <w:tcW w:w="4380" w:type="dxa"/>
            <w:vAlign w:val="bottom"/>
            <w:tcBorders>
              <w:bottom w:val="single" w:sz="8" w:color="0000FF"/>
            </w:tcBorders>
            <w:gridSpan w:val="29"/>
          </w:tcPr>
          <w:p>
            <w:pPr>
              <w:spacing w:after="0"/>
              <w:rPr>
                <w:rFonts w:ascii="Arial" w:cs="Arial" w:eastAsia="Arial" w:hAnsi="Arial"/>
                <w:sz w:val="18"/>
                <w:szCs w:val="18"/>
                <w:color w:val="0000FF"/>
                <w:w w:val="99"/>
              </w:rPr>
            </w:pPr>
            <w:hyperlink r:id="rId190">
              <w:r>
                <w:rPr>
                  <w:rFonts w:ascii="Arial" w:cs="Arial" w:eastAsia="Arial" w:hAnsi="Arial"/>
                  <w:sz w:val="18"/>
                  <w:szCs w:val="18"/>
                  <w:color w:val="0000FF"/>
                  <w:w w:val="99"/>
                </w:rPr>
                <w:t>Amended and Restated Change in Control Agreement,</w:t>
              </w:r>
            </w:hyperlink>
          </w:p>
        </w:tc>
        <w:tc>
          <w:tcPr>
            <w:tcW w:w="260" w:type="dxa"/>
            <w:vAlign w:val="bottom"/>
            <w:gridSpan w:val="8"/>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400" w:type="dxa"/>
            <w:vAlign w:val="bottom"/>
            <w:tcBorders>
              <w:bottom w:val="single" w:sz="8" w:color="0000FF"/>
            </w:tcBorders>
            <w:gridSpan w:val="30"/>
          </w:tcPr>
          <w:p>
            <w:pPr>
              <w:spacing w:after="0" w:line="182"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dated as of September 22, 2017, by and between ABM</w:t>
              </w:r>
            </w:hyperlink>
          </w:p>
        </w:tc>
        <w:tc>
          <w:tcPr>
            <w:tcW w:w="240" w:type="dxa"/>
            <w:vAlign w:val="bottom"/>
            <w:gridSpan w:val="7"/>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398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Industries Incorporated and D. Anthony Scaglione</w:t>
              </w:r>
            </w:hyperlink>
          </w:p>
        </w:tc>
        <w:tc>
          <w:tcPr>
            <w:tcW w:w="660" w:type="dxa"/>
            <w:vAlign w:val="bottom"/>
            <w:gridSpan w:val="19"/>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10.39*</w:t>
            </w:r>
          </w:p>
        </w:tc>
        <w:tc>
          <w:tcPr>
            <w:tcW w:w="4640" w:type="dxa"/>
            <w:vAlign w:val="bottom"/>
            <w:gridSpan w:val="37"/>
          </w:tcPr>
          <w:p>
            <w:pPr>
              <w:spacing w:after="0"/>
              <w:rPr>
                <w:rFonts w:ascii="Arial" w:cs="Arial" w:eastAsia="Arial" w:hAnsi="Arial"/>
                <w:sz w:val="18"/>
                <w:szCs w:val="18"/>
                <w:color w:val="0000FF"/>
              </w:rPr>
            </w:pPr>
            <w:hyperlink r:id="rId191">
              <w:r>
                <w:rPr>
                  <w:rFonts w:ascii="Arial" w:cs="Arial" w:eastAsia="Arial" w:hAnsi="Arial"/>
                  <w:sz w:val="18"/>
                  <w:szCs w:val="18"/>
                  <w:color w:val="0000FF"/>
                </w:rPr>
                <w:t>Executive Employment Agreement, dated as of January</w:t>
              </w:r>
            </w:hyperlink>
          </w:p>
        </w:tc>
      </w:tr>
      <w:tr>
        <w:trPr>
          <w:trHeight w:val="183"/>
        </w:trPr>
        <w:tc>
          <w:tcPr>
            <w:tcW w:w="1260" w:type="dxa"/>
            <w:vAlign w:val="bottom"/>
          </w:tcPr>
          <w:p>
            <w:pPr>
              <w:spacing w:after="0"/>
              <w:rPr>
                <w:sz w:val="15"/>
                <w:szCs w:val="15"/>
                <w:color w:val="auto"/>
              </w:rPr>
            </w:pPr>
          </w:p>
        </w:tc>
        <w:tc>
          <w:tcPr>
            <w:tcW w:w="444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1, 2018, by and between ABM Industries Incorporated</w:t>
              </w:r>
            </w:hyperlink>
          </w:p>
        </w:tc>
        <w:tc>
          <w:tcPr>
            <w:tcW w:w="200" w:type="dxa"/>
            <w:vAlign w:val="bottom"/>
            <w:gridSpan w:val="6"/>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3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and Rene Jacobsen</w:t>
              </w:r>
            </w:hyperlink>
          </w:p>
        </w:tc>
        <w:tc>
          <w:tcPr>
            <w:tcW w:w="340" w:type="dxa"/>
            <w:vAlign w:val="bottom"/>
            <w:gridSpan w:val="12"/>
          </w:tcPr>
          <w:p>
            <w:pPr>
              <w:spacing w:after="0"/>
              <w:rPr>
                <w:sz w:val="15"/>
                <w:szCs w:val="15"/>
                <w:color w:val="auto"/>
              </w:rPr>
            </w:pPr>
          </w:p>
        </w:tc>
      </w:tr>
      <w:tr>
        <w:trPr>
          <w:trHeight w:val="858"/>
        </w:trPr>
        <w:tc>
          <w:tcPr>
            <w:tcW w:w="1260" w:type="dxa"/>
            <w:vAlign w:val="bottom"/>
          </w:tcPr>
          <w:p>
            <w:pPr>
              <w:spacing w:after="0"/>
              <w:rPr>
                <w:sz w:val="24"/>
                <w:szCs w:val="24"/>
                <w:color w:val="auto"/>
              </w:rPr>
            </w:pPr>
          </w:p>
        </w:tc>
        <w:tc>
          <w:tcPr>
            <w:tcW w:w="1600" w:type="dxa"/>
            <w:vAlign w:val="bottom"/>
            <w:tcBorders>
              <w:top w:val="single" w:sz="8" w:color="0000FF"/>
            </w:tcBorders>
            <w:gridSpan w:val="7"/>
          </w:tcPr>
          <w:p>
            <w:pPr>
              <w:spacing w:after="0"/>
              <w:rPr>
                <w:sz w:val="24"/>
                <w:szCs w:val="24"/>
                <w:color w:val="auto"/>
              </w:rPr>
            </w:pPr>
          </w:p>
        </w:tc>
        <w:tc>
          <w:tcPr>
            <w:tcW w:w="2980" w:type="dxa"/>
            <w:vAlign w:val="bottom"/>
            <w:gridSpan w:val="27"/>
          </w:tcPr>
          <w:p>
            <w:pPr>
              <w:jc w:val="right"/>
              <w:ind w:righ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6, 2012</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10.22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8"/>
              </w:rPr>
              <w:t>April 2,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10.5</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March 10, 2011</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October 22, 2014</w:t>
            </w:r>
          </w:p>
        </w:tc>
      </w:tr>
      <w:tr>
        <w:trPr>
          <w:trHeight w:val="27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20, 2012</w:t>
            </w:r>
          </w:p>
        </w:tc>
      </w:tr>
      <w:tr>
        <w:trPr>
          <w:trHeight w:val="27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31, 2008</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10.28</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22, 2017</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10.29</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22, 2017</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4, 2015</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22, 2017</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7, 2018</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7, 2018</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22, 2017</w:t>
            </w:r>
          </w:p>
        </w:tc>
      </w:tr>
      <w:tr>
        <w:trPr>
          <w:trHeight w:val="86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22, 2017</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7, 2018</w:t>
            </w:r>
          </w:p>
        </w:tc>
      </w:tr>
    </w:tbl>
    <w:p>
      <w:pPr>
        <w:sectPr>
          <w:pgSz w:w="11900" w:h="16838" w:orient="portrait"/>
          <w:cols w:equalWidth="0" w:num="2">
            <w:col w:w="5900" w:space="280"/>
            <w:col w:w="4920"/>
          </w:cols>
          <w:pgMar w:left="280" w:top="675" w:right="519" w:bottom="1440" w:gutter="0" w:footer="0" w:header="0"/>
        </w:sectPr>
      </w:pPr>
    </w:p>
    <w:bookmarkStart w:id="107" w:name="page108"/>
    <w:bookmarkEnd w:id="107"/>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10.40*</w:t>
            </w:r>
          </w:p>
        </w:tc>
        <w:tc>
          <w:tcPr>
            <w:tcW w:w="4700" w:type="dxa"/>
            <w:vAlign w:val="bottom"/>
            <w:gridSpan w:val="13"/>
          </w:tcPr>
          <w:p>
            <w:pPr>
              <w:spacing w:after="0"/>
              <w:rPr>
                <w:rFonts w:ascii="Arial" w:cs="Arial" w:eastAsia="Arial" w:hAnsi="Arial"/>
                <w:sz w:val="18"/>
                <w:szCs w:val="18"/>
                <w:color w:val="0000FF"/>
              </w:rPr>
            </w:pPr>
            <w:hyperlink r:id="rId192">
              <w:r>
                <w:rPr>
                  <w:rFonts w:ascii="Arial" w:cs="Arial" w:eastAsia="Arial" w:hAnsi="Arial"/>
                  <w:sz w:val="18"/>
                  <w:szCs w:val="18"/>
                  <w:color w:val="0000FF"/>
                </w:rPr>
                <w:t>Change in Control Agreement, dated as of January 1,</w:t>
              </w:r>
            </w:hyperlink>
          </w:p>
        </w:tc>
        <w:tc>
          <w:tcPr>
            <w:tcW w:w="820" w:type="dxa"/>
            <w:vAlign w:val="bottom"/>
          </w:tcPr>
          <w:p>
            <w:pPr>
              <w:ind w:left="180"/>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1620" w:type="dxa"/>
            <w:vAlign w:val="bottom"/>
          </w:tcPr>
          <w:p>
            <w:pPr>
              <w:ind w:left="480"/>
              <w:spacing w:after="0"/>
              <w:rPr>
                <w:sz w:val="20"/>
                <w:szCs w:val="20"/>
                <w:color w:val="auto"/>
              </w:rPr>
            </w:pPr>
            <w:r>
              <w:rPr>
                <w:rFonts w:ascii="Arial" w:cs="Arial" w:eastAsia="Arial" w:hAnsi="Arial"/>
                <w:sz w:val="18"/>
                <w:szCs w:val="18"/>
                <w:color w:val="auto"/>
                <w:w w:val="97"/>
              </w:rPr>
              <w:t>March 7, 2018</w:t>
            </w: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44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2018, by and between ABM Industries Incorporated and</w:t>
              </w:r>
            </w:hyperlink>
          </w:p>
        </w:tc>
        <w:tc>
          <w:tcPr>
            <w:tcW w:w="2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126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Rene Jacobsen</w:t>
              </w:r>
            </w:hyperlink>
          </w:p>
        </w:tc>
        <w:tc>
          <w:tcPr>
            <w:tcW w:w="344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21.1‡</w:t>
            </w:r>
          </w:p>
        </w:tc>
        <w:tc>
          <w:tcPr>
            <w:tcW w:w="23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Subsidiaries of the Registrant</w:t>
            </w:r>
          </w:p>
        </w:tc>
        <w:tc>
          <w:tcPr>
            <w:tcW w:w="234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18"/>
                <w:szCs w:val="18"/>
                <w:color w:val="auto"/>
              </w:rPr>
              <w:t>23.1‡</w:t>
            </w:r>
          </w:p>
        </w:tc>
        <w:tc>
          <w:tcPr>
            <w:tcW w:w="4700" w:type="dxa"/>
            <w:vAlign w:val="bottom"/>
            <w:gridSpan w:val="13"/>
          </w:tcPr>
          <w:p>
            <w:pPr>
              <w:spacing w:after="0"/>
              <w:rPr>
                <w:sz w:val="20"/>
                <w:szCs w:val="20"/>
                <w:color w:val="auto"/>
              </w:rPr>
            </w:pPr>
            <w:r>
              <w:rPr>
                <w:rFonts w:ascii="Arial" w:cs="Arial" w:eastAsia="Arial" w:hAnsi="Arial"/>
                <w:sz w:val="18"/>
                <w:szCs w:val="18"/>
                <w:color w:val="0000FF"/>
              </w:rPr>
              <w:t>Consent of Independent Registered Public Accounting</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83"/>
        </w:trPr>
        <w:tc>
          <w:tcPr>
            <w:tcW w:w="1220" w:type="dxa"/>
            <w:vAlign w:val="bottom"/>
          </w:tcPr>
          <w:p>
            <w:pPr>
              <w:spacing w:after="0"/>
              <w:rPr>
                <w:sz w:val="15"/>
                <w:szCs w:val="15"/>
                <w:color w:val="auto"/>
              </w:rPr>
            </w:pPr>
          </w:p>
        </w:tc>
        <w:tc>
          <w:tcPr>
            <w:tcW w:w="43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Firm</w:t>
            </w:r>
          </w:p>
        </w:tc>
        <w:tc>
          <w:tcPr>
            <w:tcW w:w="38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470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0"/>
        </w:trPr>
        <w:tc>
          <w:tcPr>
            <w:tcW w:w="12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448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Securities Exchange Act of 1934 Rule 13a-14(a) or 15d-</w:t>
            </w:r>
          </w:p>
        </w:tc>
        <w:tc>
          <w:tcPr>
            <w:tcW w:w="2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4700" w:type="dxa"/>
            <w:vAlign w:val="bottom"/>
            <w:gridSpan w:val="13"/>
          </w:tcPr>
          <w:p>
            <w:pPr>
              <w:spacing w:after="0" w:line="182" w:lineRule="exact"/>
              <w:rPr>
                <w:sz w:val="20"/>
                <w:szCs w:val="20"/>
                <w:color w:val="auto"/>
              </w:rPr>
            </w:pPr>
            <w:r>
              <w:rPr>
                <w:rFonts w:ascii="Arial" w:cs="Arial" w:eastAsia="Arial" w:hAnsi="Arial"/>
                <w:sz w:val="18"/>
                <w:szCs w:val="18"/>
                <w:color w:val="0000FF"/>
              </w:rPr>
              <w:t>14(a), as adopted pursuant to Section 302 of the</w:t>
            </w: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1600" w:type="dxa"/>
            <w:vAlign w:val="bottom"/>
            <w:tcBorders>
              <w:top w:val="single" w:sz="8" w:color="0000FF"/>
            </w:tcBorders>
            <w:gridSpan w:val="3"/>
          </w:tcPr>
          <w:p>
            <w:pPr>
              <w:spacing w:after="0"/>
              <w:rPr>
                <w:sz w:val="15"/>
                <w:szCs w:val="15"/>
                <w:color w:val="auto"/>
              </w:rPr>
            </w:pPr>
          </w:p>
        </w:tc>
        <w:tc>
          <w:tcPr>
            <w:tcW w:w="840" w:type="dxa"/>
            <w:vAlign w:val="bottom"/>
            <w:gridSpan w:val="7"/>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4700" w:type="dxa"/>
            <w:vAlign w:val="bottom"/>
            <w:gridSpan w:val="13"/>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0"/>
        </w:trPr>
        <w:tc>
          <w:tcPr>
            <w:tcW w:w="1220" w:type="dxa"/>
            <w:vAlign w:val="bottom"/>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448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Securities Exchange Act of 1934 Rule 13a-14(a) or 15d-</w:t>
            </w:r>
          </w:p>
        </w:tc>
        <w:tc>
          <w:tcPr>
            <w:tcW w:w="2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4700" w:type="dxa"/>
            <w:vAlign w:val="bottom"/>
            <w:gridSpan w:val="13"/>
          </w:tcPr>
          <w:p>
            <w:pPr>
              <w:spacing w:after="0" w:line="182" w:lineRule="exact"/>
              <w:rPr>
                <w:sz w:val="20"/>
                <w:szCs w:val="20"/>
                <w:color w:val="auto"/>
              </w:rPr>
            </w:pPr>
            <w:r>
              <w:rPr>
                <w:rFonts w:ascii="Arial" w:cs="Arial" w:eastAsia="Arial" w:hAnsi="Arial"/>
                <w:sz w:val="18"/>
                <w:szCs w:val="18"/>
                <w:color w:val="0000FF"/>
              </w:rPr>
              <w:t>14(a), as adopted pursuant to Section 302 of the</w:t>
            </w: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1600" w:type="dxa"/>
            <w:vAlign w:val="bottom"/>
            <w:tcBorders>
              <w:top w:val="single" w:sz="8" w:color="0000FF"/>
            </w:tcBorders>
            <w:gridSpan w:val="3"/>
          </w:tcPr>
          <w:p>
            <w:pPr>
              <w:spacing w:after="0"/>
              <w:rPr>
                <w:sz w:val="15"/>
                <w:szCs w:val="15"/>
                <w:color w:val="auto"/>
              </w:rPr>
            </w:pPr>
          </w:p>
        </w:tc>
        <w:tc>
          <w:tcPr>
            <w:tcW w:w="840" w:type="dxa"/>
            <w:vAlign w:val="bottom"/>
            <w:gridSpan w:val="7"/>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42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rPr>
              <w:t>Certifications pursuant to Securities Exchange Act of</w:t>
            </w:r>
          </w:p>
        </w:tc>
        <w:tc>
          <w:tcPr>
            <w:tcW w:w="440" w:type="dxa"/>
            <w:vAlign w:val="bottom"/>
            <w:gridSpan w:val="5"/>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83"/>
        </w:trPr>
        <w:tc>
          <w:tcPr>
            <w:tcW w:w="1220" w:type="dxa"/>
            <w:vAlign w:val="bottom"/>
          </w:tcPr>
          <w:p>
            <w:pPr>
              <w:spacing w:after="0"/>
              <w:rPr>
                <w:sz w:val="15"/>
                <w:szCs w:val="15"/>
                <w:color w:val="auto"/>
              </w:rPr>
            </w:pPr>
          </w:p>
        </w:tc>
        <w:tc>
          <w:tcPr>
            <w:tcW w:w="4700" w:type="dxa"/>
            <w:vAlign w:val="bottom"/>
            <w:gridSpan w:val="13"/>
          </w:tcPr>
          <w:p>
            <w:pPr>
              <w:spacing w:after="0" w:line="182" w:lineRule="exact"/>
              <w:rPr>
                <w:sz w:val="20"/>
                <w:szCs w:val="20"/>
                <w:color w:val="auto"/>
              </w:rPr>
            </w:pPr>
            <w:r>
              <w:rPr>
                <w:rFonts w:ascii="Arial" w:cs="Arial" w:eastAsia="Arial" w:hAnsi="Arial"/>
                <w:sz w:val="18"/>
                <w:szCs w:val="18"/>
                <w:color w:val="0000FF"/>
              </w:rPr>
              <w:t>1934 Rule 13a-14(b) or 15d-14(b) and 18 U.S.C. Section</w:t>
            </w: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452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1350, as adopted pursuant to Section 302 of the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1580" w:type="dxa"/>
            <w:vAlign w:val="bottom"/>
            <w:tcBorders>
              <w:top w:val="single" w:sz="8" w:color="0000FF"/>
            </w:tcBorders>
            <w:gridSpan w:val="2"/>
          </w:tcPr>
          <w:p>
            <w:pPr>
              <w:spacing w:after="0"/>
              <w:rPr>
                <w:sz w:val="15"/>
                <w:szCs w:val="15"/>
                <w:color w:val="auto"/>
              </w:rPr>
            </w:pPr>
          </w:p>
        </w:tc>
        <w:tc>
          <w:tcPr>
            <w:tcW w:w="86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8"/>
                <w:szCs w:val="18"/>
                <w:color w:val="auto"/>
              </w:rPr>
              <w:t>101.INS ‡</w:t>
            </w:r>
          </w:p>
        </w:tc>
        <w:tc>
          <w:tcPr>
            <w:tcW w:w="4700" w:type="dxa"/>
            <w:vAlign w:val="bottom"/>
            <w:gridSpan w:val="13"/>
          </w:tcPr>
          <w:p>
            <w:pPr>
              <w:spacing w:after="0"/>
              <w:rPr>
                <w:sz w:val="20"/>
                <w:szCs w:val="20"/>
                <w:color w:val="auto"/>
              </w:rPr>
            </w:pPr>
            <w:r>
              <w:rPr>
                <w:rFonts w:ascii="Arial" w:cs="Arial" w:eastAsia="Arial" w:hAnsi="Arial"/>
                <w:sz w:val="18"/>
                <w:szCs w:val="18"/>
                <w:color w:val="auto"/>
              </w:rPr>
              <w:t>XBRL Report Instance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101.SCH ‡</w:t>
            </w:r>
          </w:p>
        </w:tc>
        <w:tc>
          <w:tcPr>
            <w:tcW w:w="47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gridSpan w:val="13"/>
          </w:tcPr>
          <w:p>
            <w:pPr>
              <w:spacing w:after="0"/>
              <w:rPr>
                <w:sz w:val="20"/>
                <w:szCs w:val="20"/>
                <w:color w:val="auto"/>
              </w:rPr>
            </w:pPr>
            <w:r>
              <w:rPr>
                <w:rFonts w:ascii="Arial" w:cs="Arial" w:eastAsia="Arial" w:hAnsi="Arial"/>
                <w:sz w:val="18"/>
                <w:szCs w:val="18"/>
                <w:color w:val="auto"/>
              </w:rPr>
              <w:t>XBRL Taxonomy Calculation Linkbase Document</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101.LAB ‡</w:t>
            </w:r>
          </w:p>
        </w:tc>
        <w:tc>
          <w:tcPr>
            <w:tcW w:w="4700" w:type="dxa"/>
            <w:vAlign w:val="bottom"/>
            <w:gridSpan w:val="13"/>
          </w:tcPr>
          <w:p>
            <w:pPr>
              <w:spacing w:after="0"/>
              <w:rPr>
                <w:sz w:val="20"/>
                <w:szCs w:val="20"/>
                <w:color w:val="auto"/>
              </w:rPr>
            </w:pPr>
            <w:r>
              <w:rPr>
                <w:rFonts w:ascii="Arial" w:cs="Arial" w:eastAsia="Arial" w:hAnsi="Arial"/>
                <w:sz w:val="18"/>
                <w:szCs w:val="18"/>
                <w:color w:val="auto"/>
              </w:rPr>
              <w:t>XBRL Taxonomy Label Linkbase Document</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101.PRE ‡</w:t>
            </w:r>
          </w:p>
        </w:tc>
        <w:tc>
          <w:tcPr>
            <w:tcW w:w="4700" w:type="dxa"/>
            <w:vAlign w:val="bottom"/>
            <w:gridSpan w:val="13"/>
          </w:tcPr>
          <w:p>
            <w:pPr>
              <w:spacing w:after="0"/>
              <w:rPr>
                <w:sz w:val="20"/>
                <w:szCs w:val="20"/>
                <w:color w:val="auto"/>
              </w:rPr>
            </w:pPr>
            <w:r>
              <w:rPr>
                <w:rFonts w:ascii="Arial" w:cs="Arial" w:eastAsia="Arial" w:hAnsi="Arial"/>
                <w:sz w:val="18"/>
                <w:szCs w:val="18"/>
                <w:color w:val="auto"/>
              </w:rPr>
              <w:t>XBRL Presentation Linkbase Document</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101.DEF ‡</w:t>
            </w:r>
          </w:p>
        </w:tc>
        <w:tc>
          <w:tcPr>
            <w:tcW w:w="47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17"/>
        </w:trPr>
        <w:tc>
          <w:tcPr>
            <w:tcW w:w="1220" w:type="dxa"/>
            <w:vAlign w:val="bottom"/>
          </w:tcPr>
          <w:p>
            <w:pPr>
              <w:spacing w:after="0"/>
              <w:rPr>
                <w:sz w:val="18"/>
                <w:szCs w:val="18"/>
                <w:color w:val="auto"/>
              </w:rPr>
            </w:pPr>
          </w:p>
        </w:tc>
        <w:tc>
          <w:tcPr>
            <w:tcW w:w="470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5" w:hanging="685"/>
        <w:spacing w:after="0"/>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346"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346"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28" w:lineRule="exact"/>
        <w:rPr>
          <w:sz w:val="20"/>
          <w:szCs w:val="20"/>
          <w:color w:val="auto"/>
        </w:rPr>
      </w:pPr>
    </w:p>
    <w:p>
      <w:pPr>
        <w:jc w:val="center"/>
        <w:ind w:right="-464"/>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885"/>
          </w:cols>
          <w:pgMar w:left="275" w:top="675" w:right="7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6AD"/>
        </w:rPr>
        <w:t>SCHEDULE II—VALUATION AND QUALIFYING ACCOUNTS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Charges to</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Balance</w:t>
            </w:r>
          </w:p>
        </w:tc>
        <w:tc>
          <w:tcPr>
            <w:tcW w:w="3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Costs and</w:t>
            </w:r>
          </w:p>
        </w:tc>
        <w:tc>
          <w:tcPr>
            <w:tcW w:w="1580" w:type="dxa"/>
            <w:vAlign w:val="bottom"/>
            <w:gridSpan w:val="2"/>
          </w:tcPr>
          <w:p>
            <w:pPr>
              <w:jc w:val="center"/>
              <w:ind w:right="120"/>
              <w:spacing w:after="0" w:line="189" w:lineRule="exact"/>
              <w:rPr>
                <w:sz w:val="20"/>
                <w:szCs w:val="20"/>
                <w:color w:val="auto"/>
              </w:rPr>
            </w:pPr>
            <w:r>
              <w:rPr>
                <w:rFonts w:ascii="Arial" w:cs="Arial" w:eastAsia="Arial" w:hAnsi="Arial"/>
                <w:sz w:val="16"/>
                <w:szCs w:val="16"/>
                <w:b w:val="1"/>
                <w:bCs w:val="1"/>
                <w:color w:val="auto"/>
                <w:w w:val="97"/>
              </w:rPr>
              <w:t>Write-offs</w:t>
            </w:r>
            <w:r>
              <w:rPr>
                <w:rFonts w:ascii="Arial" w:cs="Arial" w:eastAsia="Arial" w:hAnsi="Arial"/>
                <w:sz w:val="21"/>
                <w:szCs w:val="21"/>
                <w:b w:val="1"/>
                <w:bCs w:val="1"/>
                <w:color w:val="auto"/>
                <w:w w:val="97"/>
                <w:vertAlign w:val="superscript"/>
              </w:rPr>
              <w:t>(1)</w:t>
            </w:r>
            <w:r>
              <w:rPr>
                <w:rFonts w:ascii="Arial" w:cs="Arial" w:eastAsia="Arial" w:hAnsi="Arial"/>
                <w:sz w:val="16"/>
                <w:szCs w:val="16"/>
                <w:b w:val="1"/>
                <w:bCs w:val="1"/>
                <w:color w:val="auto"/>
                <w:w w:val="97"/>
              </w:rPr>
              <w:t>/</w:t>
            </w:r>
          </w:p>
        </w:tc>
        <w:tc>
          <w:tcPr>
            <w:tcW w:w="20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Balance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Beginning of Year</w:t>
            </w:r>
          </w:p>
        </w:tc>
        <w:tc>
          <w:tcPr>
            <w:tcW w:w="3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Expenses</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Allowance Taken</w:t>
            </w:r>
          </w:p>
        </w:tc>
        <w:tc>
          <w:tcPr>
            <w:tcW w:w="2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End of Year</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5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Accounts receivable and sales allowances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580" w:type="dxa"/>
            <w:vAlign w:val="bottom"/>
            <w:gridSpan w:val="3"/>
            <w:vMerge w:val="continue"/>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60" w:type="dxa"/>
            <w:vAlign w:val="bottom"/>
            <w:gridSpan w:val="2"/>
            <w:shd w:val="clear" w:color="auto" w:fill="DCE2EF"/>
          </w:tcPr>
          <w:p>
            <w:pPr>
              <w:ind w:left="40"/>
              <w:spacing w:after="0"/>
              <w:rPr>
                <w:sz w:val="20"/>
                <w:szCs w:val="20"/>
                <w:color w:val="auto"/>
              </w:rPr>
            </w:pPr>
            <w:r>
              <w:rPr>
                <w:rFonts w:ascii="Arial" w:cs="Arial" w:eastAsia="Arial" w:hAnsi="Arial"/>
                <w:sz w:val="16"/>
                <w:szCs w:val="16"/>
                <w:color w:val="auto"/>
              </w:rPr>
              <w:t>2018</w:t>
            </w:r>
          </w:p>
        </w:tc>
        <w:tc>
          <w:tcPr>
            <w:tcW w:w="3920" w:type="dxa"/>
            <w:vAlign w:val="bottom"/>
            <w:shd w:val="clear" w:color="auto" w:fill="DCE2EF"/>
          </w:tcPr>
          <w:p>
            <w:pPr>
              <w:spacing w:after="0"/>
              <w:rPr>
                <w:sz w:val="24"/>
                <w:szCs w:val="24"/>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25.5</w:t>
            </w:r>
          </w:p>
        </w:tc>
        <w:tc>
          <w:tcPr>
            <w:tcW w:w="360" w:type="dxa"/>
            <w:vAlign w:val="bottom"/>
            <w:shd w:val="clear" w:color="auto" w:fill="DCE2EF"/>
          </w:tcPr>
          <w:p>
            <w:pPr>
              <w:spacing w:after="0"/>
              <w:rPr>
                <w:sz w:val="24"/>
                <w:szCs w:val="24"/>
                <w:color w:val="auto"/>
              </w:rPr>
            </w:pPr>
          </w:p>
        </w:tc>
        <w:tc>
          <w:tcPr>
            <w:tcW w:w="14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DCE2EF"/>
          </w:tcPr>
          <w:p>
            <w:pPr>
              <w:spacing w:after="0"/>
              <w:rPr>
                <w:sz w:val="24"/>
                <w:szCs w:val="24"/>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(63.6)</w:t>
            </w:r>
          </w:p>
        </w:tc>
        <w:tc>
          <w:tcPr>
            <w:tcW w:w="120" w:type="dxa"/>
            <w:vAlign w:val="bottom"/>
            <w:shd w:val="clear" w:color="auto" w:fill="DCE2EF"/>
          </w:tcPr>
          <w:p>
            <w:pPr>
              <w:spacing w:after="0"/>
              <w:rPr>
                <w:sz w:val="24"/>
                <w:szCs w:val="24"/>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19.2</w:t>
            </w:r>
          </w:p>
        </w:tc>
        <w:tc>
          <w:tcPr>
            <w:tcW w:w="34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60" w:type="dxa"/>
            <w:vAlign w:val="bottom"/>
            <w:gridSpan w:val="2"/>
            <w:vMerge w:val="restart"/>
          </w:tcPr>
          <w:p>
            <w:pPr>
              <w:ind w:left="40"/>
              <w:spacing w:after="0"/>
              <w:rPr>
                <w:sz w:val="20"/>
                <w:szCs w:val="20"/>
                <w:color w:val="auto"/>
              </w:rPr>
            </w:pPr>
            <w:r>
              <w:rPr>
                <w:rFonts w:ascii="Arial" w:cs="Arial" w:eastAsia="Arial" w:hAnsi="Arial"/>
                <w:sz w:val="16"/>
                <w:szCs w:val="16"/>
                <w:color w:val="auto"/>
              </w:rPr>
              <w:t>2017</w:t>
            </w:r>
          </w:p>
        </w:tc>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18.1</w:t>
            </w: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25.5</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60" w:type="dxa"/>
            <w:vAlign w:val="bottom"/>
            <w:gridSpan w:val="2"/>
            <w:vMerge w:val="continue"/>
          </w:tcPr>
          <w:p>
            <w:pPr>
              <w:spacing w:after="0"/>
              <w:rPr>
                <w:sz w:val="6"/>
                <w:szCs w:val="6"/>
                <w:color w:val="auto"/>
              </w:rPr>
            </w:pPr>
          </w:p>
        </w:tc>
        <w:tc>
          <w:tcPr>
            <w:tcW w:w="3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60" w:type="dxa"/>
            <w:vAlign w:val="bottom"/>
            <w:gridSpan w:val="2"/>
            <w:vMerge w:val="restart"/>
            <w:shd w:val="clear" w:color="auto" w:fill="DCE2EF"/>
          </w:tcPr>
          <w:p>
            <w:pPr>
              <w:ind w:left="40"/>
              <w:spacing w:after="0"/>
              <w:rPr>
                <w:sz w:val="20"/>
                <w:szCs w:val="20"/>
                <w:color w:val="auto"/>
              </w:rPr>
            </w:pPr>
            <w:r>
              <w:rPr>
                <w:rFonts w:ascii="Arial" w:cs="Arial" w:eastAsia="Arial" w:hAnsi="Arial"/>
                <w:sz w:val="16"/>
                <w:szCs w:val="16"/>
                <w:color w:val="auto"/>
              </w:rPr>
              <w:t>2016</w:t>
            </w:r>
          </w:p>
        </w:tc>
        <w:tc>
          <w:tcPr>
            <w:tcW w:w="392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1220" w:type="dxa"/>
            <w:vAlign w:val="bottom"/>
            <w:vMerge w:val="restart"/>
            <w:shd w:val="clear" w:color="auto" w:fill="DCE2EF"/>
          </w:tcPr>
          <w:p>
            <w:pPr>
              <w:jc w:val="right"/>
              <w:ind w:right="39"/>
              <w:spacing w:after="0"/>
              <w:rPr>
                <w:sz w:val="20"/>
                <w:szCs w:val="20"/>
                <w:color w:val="auto"/>
              </w:rPr>
            </w:pPr>
            <w:r>
              <w:rPr>
                <w:rFonts w:ascii="Arial" w:cs="Arial" w:eastAsia="Arial" w:hAnsi="Arial"/>
                <w:sz w:val="16"/>
                <w:szCs w:val="16"/>
                <w:color w:val="auto"/>
              </w:rPr>
              <w:t>8.6</w:t>
            </w:r>
          </w:p>
        </w:tc>
        <w:tc>
          <w:tcPr>
            <w:tcW w:w="360" w:type="dxa"/>
            <w:vAlign w:val="bottom"/>
            <w:shd w:val="clear" w:color="auto" w:fill="DCE2EF"/>
          </w:tcPr>
          <w:p>
            <w:pPr>
              <w:spacing w:after="0"/>
              <w:rPr>
                <w:sz w:val="16"/>
                <w:szCs w:val="16"/>
                <w:color w:val="auto"/>
              </w:rPr>
            </w:pPr>
          </w:p>
        </w:tc>
        <w:tc>
          <w:tcPr>
            <w:tcW w:w="1460" w:type="dxa"/>
            <w:vAlign w:val="bottom"/>
            <w:vMerge w:val="restart"/>
            <w:shd w:val="clear" w:color="auto" w:fill="DCE2EF"/>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DCE2EF"/>
          </w:tcPr>
          <w:p>
            <w:pPr>
              <w:spacing w:after="0"/>
              <w:rPr>
                <w:sz w:val="16"/>
                <w:szCs w:val="16"/>
                <w:color w:val="auto"/>
              </w:rPr>
            </w:pPr>
          </w:p>
        </w:tc>
        <w:tc>
          <w:tcPr>
            <w:tcW w:w="14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260" w:type="dxa"/>
            <w:vAlign w:val="bottom"/>
            <w:vMerge w:val="restart"/>
            <w:shd w:val="clear" w:color="auto" w:fill="DCE2EF"/>
          </w:tcPr>
          <w:p>
            <w:pPr>
              <w:jc w:val="right"/>
              <w:ind w:right="19"/>
              <w:spacing w:after="0"/>
              <w:rPr>
                <w:sz w:val="20"/>
                <w:szCs w:val="20"/>
                <w:color w:val="auto"/>
              </w:rPr>
            </w:pPr>
            <w:r>
              <w:rPr>
                <w:rFonts w:ascii="Arial" w:cs="Arial" w:eastAsia="Arial" w:hAnsi="Arial"/>
                <w:sz w:val="16"/>
                <w:szCs w:val="16"/>
                <w:color w:val="auto"/>
              </w:rPr>
              <w:t>18.1</w:t>
            </w:r>
          </w:p>
        </w:tc>
        <w:tc>
          <w:tcPr>
            <w:tcW w:w="340" w:type="dxa"/>
            <w:vAlign w:val="bottom"/>
            <w:shd w:val="clear" w:color="auto" w:fill="DCE2EF"/>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90"/>
        </w:trPr>
        <w:tc>
          <w:tcPr>
            <w:tcW w:w="660" w:type="dxa"/>
            <w:vAlign w:val="bottom"/>
            <w:gridSpan w:val="2"/>
            <w:vMerge w:val="continue"/>
            <w:shd w:val="clear" w:color="auto" w:fill="DCE2EF"/>
          </w:tcPr>
          <w:p>
            <w:pPr>
              <w:spacing w:after="0"/>
              <w:rPr>
                <w:sz w:val="7"/>
                <w:szCs w:val="7"/>
                <w:color w:val="auto"/>
              </w:rPr>
            </w:pPr>
          </w:p>
        </w:tc>
        <w:tc>
          <w:tcPr>
            <w:tcW w:w="3920" w:type="dxa"/>
            <w:vAlign w:val="bottom"/>
            <w:shd w:val="clear" w:color="auto" w:fill="DCE2EF"/>
          </w:tcPr>
          <w:p>
            <w:pPr>
              <w:spacing w:after="0"/>
              <w:rPr>
                <w:sz w:val="7"/>
                <w:szCs w:val="7"/>
                <w:color w:val="auto"/>
              </w:rPr>
            </w:pPr>
          </w:p>
        </w:tc>
        <w:tc>
          <w:tcPr>
            <w:tcW w:w="280" w:type="dxa"/>
            <w:vAlign w:val="bottom"/>
            <w:shd w:val="clear" w:color="auto" w:fill="DCE2EF"/>
          </w:tcPr>
          <w:p>
            <w:pPr>
              <w:spacing w:after="0"/>
              <w:rPr>
                <w:sz w:val="7"/>
                <w:szCs w:val="7"/>
                <w:color w:val="auto"/>
              </w:rPr>
            </w:pPr>
          </w:p>
        </w:tc>
        <w:tc>
          <w:tcPr>
            <w:tcW w:w="1220" w:type="dxa"/>
            <w:vAlign w:val="bottom"/>
            <w:vMerge w:val="continue"/>
            <w:shd w:val="clear" w:color="auto" w:fill="DCE2EF"/>
          </w:tcPr>
          <w:p>
            <w:pPr>
              <w:spacing w:after="0"/>
              <w:rPr>
                <w:sz w:val="7"/>
                <w:szCs w:val="7"/>
                <w:color w:val="auto"/>
              </w:rPr>
            </w:pPr>
          </w:p>
        </w:tc>
        <w:tc>
          <w:tcPr>
            <w:tcW w:w="360" w:type="dxa"/>
            <w:vAlign w:val="bottom"/>
            <w:shd w:val="clear" w:color="auto" w:fill="DCE2EF"/>
          </w:tcPr>
          <w:p>
            <w:pPr>
              <w:spacing w:after="0"/>
              <w:rPr>
                <w:sz w:val="7"/>
                <w:szCs w:val="7"/>
                <w:color w:val="auto"/>
              </w:rPr>
            </w:pPr>
          </w:p>
        </w:tc>
        <w:tc>
          <w:tcPr>
            <w:tcW w:w="1460" w:type="dxa"/>
            <w:vAlign w:val="bottom"/>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1460" w:type="dxa"/>
            <w:vAlign w:val="bottom"/>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200" w:type="dxa"/>
            <w:vAlign w:val="bottom"/>
            <w:shd w:val="clear" w:color="auto" w:fill="DCE2EF"/>
          </w:tcPr>
          <w:p>
            <w:pPr>
              <w:spacing w:after="0"/>
              <w:rPr>
                <w:sz w:val="7"/>
                <w:szCs w:val="7"/>
                <w:color w:val="auto"/>
              </w:rPr>
            </w:pPr>
          </w:p>
        </w:tc>
        <w:tc>
          <w:tcPr>
            <w:tcW w:w="1260" w:type="dxa"/>
            <w:vAlign w:val="bottom"/>
            <w:vMerge w:val="continue"/>
            <w:shd w:val="clear" w:color="auto" w:fill="DCE2EF"/>
          </w:tcPr>
          <w:p>
            <w:pPr>
              <w:spacing w:after="0"/>
              <w:rPr>
                <w:sz w:val="7"/>
                <w:szCs w:val="7"/>
                <w:color w:val="auto"/>
              </w:rPr>
            </w:pPr>
          </w:p>
        </w:tc>
        <w:tc>
          <w:tcPr>
            <w:tcW w:w="340" w:type="dxa"/>
            <w:vAlign w:val="bottom"/>
            <w:shd w:val="clear" w:color="auto" w:fill="DCE2EF"/>
          </w:tcPr>
          <w:p>
            <w:pPr>
              <w:spacing w:after="0"/>
              <w:rPr>
                <w:sz w:val="7"/>
                <w:szCs w:val="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Write-offs are net of recoveries.</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Includes amounts that were classified as held for sale.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41" w:right="25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20"/>
          <w:szCs w:val="20"/>
          <w:b w:val="1"/>
          <w:bCs w:val="1"/>
          <w:color w:val="auto"/>
        </w:rPr>
        <w:t>INDEMNIFICATION AGREEMENT</w:t>
      </w:r>
    </w:p>
    <w:p>
      <w:pPr>
        <w:spacing w:after="0" w:line="216" w:lineRule="exact"/>
        <w:rPr>
          <w:sz w:val="20"/>
          <w:szCs w:val="20"/>
          <w:color w:val="auto"/>
        </w:rPr>
      </w:pPr>
    </w:p>
    <w:p>
      <w:pPr>
        <w:ind w:right="160" w:firstLine="648"/>
        <w:spacing w:after="0" w:line="272" w:lineRule="auto"/>
        <w:rPr>
          <w:sz w:val="20"/>
          <w:szCs w:val="20"/>
          <w:color w:val="auto"/>
        </w:rPr>
      </w:pPr>
      <w:r>
        <w:rPr>
          <w:rFonts w:ascii="Arial" w:cs="Arial" w:eastAsia="Arial" w:hAnsi="Arial"/>
          <w:sz w:val="20"/>
          <w:szCs w:val="20"/>
          <w:color w:val="auto"/>
        </w:rPr>
        <w:t xml:space="preserve">This Indemnification Agreement, dated as of </w:t>
      </w:r>
      <w:r>
        <w:rPr>
          <w:rFonts w:ascii="Arial" w:cs="Arial" w:eastAsia="Arial" w:hAnsi="Arial"/>
          <w:sz w:val="20"/>
          <w:szCs w:val="20"/>
          <w:b w:val="1"/>
          <w:bCs w:val="1"/>
          <w:color w:val="auto"/>
        </w:rPr>
        <w: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between ABM Industries Incorporated,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RECITALS</w:t>
      </w:r>
      <w:r>
        <w:rPr>
          <w:rFonts w:ascii="Arial" w:cs="Arial" w:eastAsia="Arial" w:hAnsi="Arial"/>
          <w:sz w:val="20"/>
          <w:szCs w:val="20"/>
          <w:color w:val="auto"/>
        </w:rPr>
        <w:t>:</w:t>
      </w:r>
    </w:p>
    <w:p>
      <w:pPr>
        <w:spacing w:after="0" w:line="240" w:lineRule="exact"/>
        <w:rPr>
          <w:sz w:val="20"/>
          <w:szCs w:val="20"/>
          <w:color w:val="auto"/>
        </w:rPr>
      </w:pPr>
    </w:p>
    <w:p>
      <w:pPr>
        <w:ind w:right="260" w:firstLine="656"/>
        <w:spacing w:after="0" w:line="247" w:lineRule="auto"/>
        <w:tabs>
          <w:tab w:leader="none" w:pos="1015"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Section 141 of the Delaware General Corporation Law provides that the business and affairs of a corporation will be managed by or under the direction of its board of directors.</w:t>
      </w:r>
    </w:p>
    <w:p>
      <w:pPr>
        <w:spacing w:after="0" w:line="201" w:lineRule="exact"/>
        <w:rPr>
          <w:rFonts w:ascii="Arial" w:cs="Arial" w:eastAsia="Arial" w:hAnsi="Arial"/>
          <w:sz w:val="20"/>
          <w:szCs w:val="20"/>
          <w:color w:val="auto"/>
        </w:rPr>
      </w:pPr>
    </w:p>
    <w:p>
      <w:pPr>
        <w:ind w:right="200" w:firstLine="656"/>
        <w:spacing w:after="0" w:line="247" w:lineRule="auto"/>
        <w:tabs>
          <w:tab w:leader="none" w:pos="1055" w:val="left"/>
        </w:tabs>
        <w:numPr>
          <w:ilvl w:val="0"/>
          <w:numId w:val="46"/>
        </w:numPr>
        <w:rPr>
          <w:rFonts w:ascii="Arial" w:cs="Arial" w:eastAsia="Arial" w:hAnsi="Arial"/>
          <w:sz w:val="20"/>
          <w:szCs w:val="20"/>
          <w:color w:val="auto"/>
        </w:rPr>
      </w:pPr>
      <w:r>
        <w:rPr>
          <w:rFonts w:ascii="Arial" w:cs="Arial" w:eastAsia="Arial" w:hAnsi="Arial"/>
          <w:sz w:val="20"/>
          <w:szCs w:val="20"/>
          <w:color w:val="auto"/>
        </w:rPr>
        <w:t>Pursuant to Sections 141 and 142 of the Delaware General Corporation Law, significant authority with respect to the management of the Company has been delegated to the officers of the Company.</w:t>
      </w:r>
    </w:p>
    <w:p>
      <w:pPr>
        <w:spacing w:after="0" w:line="201" w:lineRule="exact"/>
        <w:rPr>
          <w:rFonts w:ascii="Arial" w:cs="Arial" w:eastAsia="Arial" w:hAnsi="Arial"/>
          <w:sz w:val="20"/>
          <w:szCs w:val="20"/>
          <w:color w:val="auto"/>
        </w:rPr>
      </w:pPr>
    </w:p>
    <w:p>
      <w:pPr>
        <w:ind w:right="180" w:firstLine="656"/>
        <w:spacing w:after="0" w:line="247" w:lineRule="auto"/>
        <w:tabs>
          <w:tab w:leader="none" w:pos="1066" w:val="left"/>
        </w:tabs>
        <w:numPr>
          <w:ilvl w:val="0"/>
          <w:numId w:val="46"/>
        </w:numPr>
        <w:rPr>
          <w:rFonts w:ascii="Arial" w:cs="Arial" w:eastAsia="Arial" w:hAnsi="Arial"/>
          <w:sz w:val="20"/>
          <w:szCs w:val="20"/>
          <w:color w:val="auto"/>
        </w:rPr>
      </w:pPr>
      <w:r>
        <w:rPr>
          <w:rFonts w:ascii="Arial" w:cs="Arial" w:eastAsia="Arial" w:hAnsi="Arial"/>
          <w:sz w:val="20"/>
          <w:szCs w:val="20"/>
          <w:color w:val="auto"/>
        </w:rPr>
        <w:t>By virtue of the managerial prerogatives vested in the directors and officers of a Delaware corporation, directors and officers act as fiduciaries of the corporation and its stockholders.</w:t>
      </w:r>
    </w:p>
    <w:p>
      <w:pPr>
        <w:spacing w:after="0" w:line="201" w:lineRule="exact"/>
        <w:rPr>
          <w:rFonts w:ascii="Arial" w:cs="Arial" w:eastAsia="Arial" w:hAnsi="Arial"/>
          <w:sz w:val="20"/>
          <w:szCs w:val="20"/>
          <w:color w:val="auto"/>
        </w:rPr>
      </w:pPr>
    </w:p>
    <w:p>
      <w:pPr>
        <w:ind w:right="180" w:firstLine="656"/>
        <w:spacing w:after="0" w:line="247" w:lineRule="auto"/>
        <w:tabs>
          <w:tab w:leader="none" w:pos="106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Thus, it is critically important to the Company and its stockholders that the Company be able to attract and retain the most capable individuals reasonably available to serve as directors and officers of the Company.</w:t>
      </w:r>
    </w:p>
    <w:p>
      <w:pPr>
        <w:spacing w:after="0" w:line="201" w:lineRule="exact"/>
        <w:rPr>
          <w:rFonts w:ascii="Arial" w:cs="Arial" w:eastAsia="Arial" w:hAnsi="Arial"/>
          <w:sz w:val="20"/>
          <w:szCs w:val="20"/>
          <w:color w:val="auto"/>
        </w:rPr>
      </w:pPr>
    </w:p>
    <w:p>
      <w:pPr>
        <w:jc w:val="both"/>
        <w:ind w:right="20" w:firstLine="656"/>
        <w:spacing w:after="0" w:line="262" w:lineRule="auto"/>
        <w:tabs>
          <w:tab w:leader="none" w:pos="1055"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 recognition of the need for corporations to be able to induce capable and responsible individuals to accept positions in corporate management, Delaware law authorizes (and in some instances requires) corporations to indemnify their directors and officers, and further authorizes corporations to purchase and maintain insurance for the benefit of their directors and officers.</w:t>
      </w:r>
    </w:p>
    <w:p>
      <w:pPr>
        <w:spacing w:after="0" w:line="189" w:lineRule="exact"/>
        <w:rPr>
          <w:rFonts w:ascii="Arial" w:cs="Arial" w:eastAsia="Arial" w:hAnsi="Arial"/>
          <w:sz w:val="19"/>
          <w:szCs w:val="19"/>
          <w:color w:val="auto"/>
        </w:rPr>
      </w:pPr>
    </w:p>
    <w:p>
      <w:pPr>
        <w:ind w:firstLine="656"/>
        <w:spacing w:after="0" w:line="242" w:lineRule="auto"/>
        <w:tabs>
          <w:tab w:leader="none" w:pos="1022" w:val="left"/>
        </w:tabs>
        <w:numPr>
          <w:ilvl w:val="0"/>
          <w:numId w:val="46"/>
        </w:numPr>
        <w:rPr>
          <w:rFonts w:ascii="Arial" w:cs="Arial" w:eastAsia="Arial" w:hAnsi="Arial"/>
          <w:sz w:val="20"/>
          <w:szCs w:val="20"/>
          <w:color w:val="auto"/>
        </w:rPr>
      </w:pPr>
      <w:r>
        <w:rPr>
          <w:rFonts w:ascii="Arial" w:cs="Arial" w:eastAsia="Arial" w:hAnsi="Arial"/>
          <w:sz w:val="20"/>
          <w:szCs w:val="20"/>
          <w:color w:val="auto"/>
        </w:rPr>
        <w:t>Delaware law also authorizes a corporation to pay in advance of the final disposition of an action, suit or proceeding the expenses incurred by a director or officer in the defense thereof, and any such right to the advancement of expenses may be made separate and distinct from any right to indemnification and need not be subject to the satisfaction of any standard of conduct or otherwise affected by the merits of any claims against the director or officer.</w:t>
      </w:r>
    </w:p>
    <w:p>
      <w:pPr>
        <w:spacing w:after="0" w:line="206" w:lineRule="exact"/>
        <w:rPr>
          <w:rFonts w:ascii="Arial" w:cs="Arial" w:eastAsia="Arial" w:hAnsi="Arial"/>
          <w:sz w:val="20"/>
          <w:szCs w:val="20"/>
          <w:color w:val="auto"/>
        </w:rPr>
      </w:pPr>
    </w:p>
    <w:p>
      <w:pPr>
        <w:jc w:val="both"/>
        <w:ind w:right="200" w:firstLine="656"/>
        <w:spacing w:after="0" w:line="242" w:lineRule="auto"/>
        <w:tabs>
          <w:tab w:leader="none" w:pos="1074"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number of lawsuits challenging the judgment and actions of directors and officers of Delaware corporations, the costs of defending those lawsuits and the threat to directors’ and officers’ personal assets have all materially increased over the past several years, chilling the willingness of capable women and men to undertake the responsibilities imposed on corporate directors and officers.</w:t>
      </w:r>
    </w:p>
    <w:p>
      <w:pPr>
        <w:spacing w:after="0" w:line="206" w:lineRule="exact"/>
        <w:rPr>
          <w:rFonts w:ascii="Arial" w:cs="Arial" w:eastAsia="Arial" w:hAnsi="Arial"/>
          <w:sz w:val="20"/>
          <w:szCs w:val="20"/>
          <w:color w:val="auto"/>
        </w:rPr>
      </w:pPr>
    </w:p>
    <w:p>
      <w:pPr>
        <w:ind w:right="120" w:firstLine="656"/>
        <w:spacing w:after="0" w:line="242" w:lineRule="auto"/>
        <w:tabs>
          <w:tab w:leader="none" w:pos="1066"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Recent federal legislation and rules adopted by the Securities and Exchange Commission and the national securities exchanges have imposed additional disclosure and corporate governance obligations on directors and officers of public companies and have exposed such directors and officers to new and substantially broadened civil liabilities and to significantly greater risk of criminal proceedings, with attendant defense costs and potential criminal fines and penalties.</w:t>
      </w:r>
    </w:p>
    <w:p>
      <w:pPr>
        <w:spacing w:after="0" w:line="206" w:lineRule="exact"/>
        <w:rPr>
          <w:rFonts w:ascii="Arial" w:cs="Arial" w:eastAsia="Arial" w:hAnsi="Arial"/>
          <w:sz w:val="20"/>
          <w:szCs w:val="20"/>
          <w:color w:val="auto"/>
        </w:rPr>
      </w:pPr>
    </w:p>
    <w:p>
      <w:pPr>
        <w:jc w:val="both"/>
        <w:ind w:right="100" w:firstLine="656"/>
        <w:spacing w:after="0" w:line="243" w:lineRule="auto"/>
        <w:tabs>
          <w:tab w:leader="none" w:pos="978"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Indemnitee is a director or officer of the Company, and his or her willingness to serve in such capacity is predicated, in substantial part, upon the Company’s willingness to indemnify him or her in accordance with the principles reflected above, to the fullest extent permitted by the laws of the state of Delaware, and upon the other undertakings set forth in this Agreement.</w:t>
      </w:r>
    </w:p>
    <w:p>
      <w:pPr>
        <w:spacing w:after="0" w:line="206" w:lineRule="exact"/>
        <w:rPr>
          <w:sz w:val="20"/>
          <w:szCs w:val="20"/>
          <w:color w:val="auto"/>
        </w:rPr>
      </w:pPr>
    </w:p>
    <w:p>
      <w:pPr>
        <w:ind w:firstLine="656"/>
        <w:spacing w:after="0" w:line="241" w:lineRule="auto"/>
        <w:tabs>
          <w:tab w:leader="none" w:pos="108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Therefore, in recognition of the need to provide Indemnitee with substantial protection against personal liability, in order to procure Indemnitee’s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Arial" w:cs="Arial" w:eastAsia="Arial" w:hAnsi="Arial"/>
          <w:sz w:val="20"/>
          <w:szCs w:val="20"/>
          <w:b w:val="1"/>
          <w:bCs w:val="1"/>
          <w:i w:val="1"/>
          <w:iCs w:val="1"/>
          <w:color w:val="auto"/>
        </w:rPr>
        <w:t>Constituent Documents</w:t>
      </w:r>
      <w:r>
        <w:rPr>
          <w:rFonts w:ascii="Arial" w:cs="Arial" w:eastAsia="Arial" w:hAnsi="Arial"/>
          <w:sz w:val="20"/>
          <w:szCs w:val="20"/>
          <w:color w:val="auto"/>
        </w:rPr>
        <w:t>”), any change in the composition of the Company’s Board of Directors (the</w:t>
      </w:r>
    </w:p>
    <w:p>
      <w:pPr>
        <w:sectPr>
          <w:pgSz w:w="11900" w:h="16838" w:orient="portrait"/>
          <w:cols w:equalWidth="0" w:num="1">
            <w:col w:w="11400"/>
          </w:cols>
          <w:pgMar w:left="240" w:top="355" w:right="259" w:bottom="1440" w:gutter="0" w:footer="0" w:header="0"/>
        </w:sectPr>
      </w:pPr>
    </w:p>
    <w:bookmarkStart w:id="110" w:name="page111"/>
    <w:bookmarkEnd w:id="110"/>
    <w:p>
      <w:pPr>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or any change-in-control or business combination transaction relating to the Company), the Company wishes to provide in this Agreement for the indemnification of and the advancement of expenses to Indemnitee as set forth in this Agreement and for the continued coverage of Indemnitee under the Company’s directors’ and officers’ liability insurance policies.</w:t>
      </w:r>
    </w:p>
    <w:p>
      <w:pPr>
        <w:spacing w:after="0" w:line="196" w:lineRule="exact"/>
        <w:rPr>
          <w:sz w:val="20"/>
          <w:szCs w:val="20"/>
          <w:color w:val="auto"/>
        </w:rPr>
      </w:pPr>
    </w:p>
    <w:p>
      <w:pPr>
        <w:ind w:right="240" w:firstLine="656"/>
        <w:spacing w:after="0" w:line="243" w:lineRule="auto"/>
        <w:tabs>
          <w:tab w:leader="none" w:pos="1066"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 light of the considerations referred to in the preceding recitals, it is the Company’s intention and desire that the provisions of this Agreement be construed liberally, subject to their express terms, to maximize the protections to be provided to Indemnitee hereunder.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40" w:lineRule="exact"/>
        <w:rPr>
          <w:sz w:val="20"/>
          <w:szCs w:val="20"/>
          <w:color w:val="auto"/>
        </w:rPr>
      </w:pPr>
    </w:p>
    <w:p>
      <w:pPr>
        <w:ind w:right="1200" w:firstLine="648"/>
        <w:spacing w:after="0" w:line="272"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hereby agree as follows:</w:t>
      </w:r>
    </w:p>
    <w:p>
      <w:pPr>
        <w:spacing w:after="0" w:line="170" w:lineRule="exact"/>
        <w:rPr>
          <w:sz w:val="20"/>
          <w:szCs w:val="20"/>
          <w:color w:val="auto"/>
        </w:rPr>
      </w:pPr>
    </w:p>
    <w:p>
      <w:pPr>
        <w:ind w:left="660" w:right="60" w:firstLine="645"/>
        <w:spacing w:after="0" w:line="270" w:lineRule="auto"/>
        <w:tabs>
          <w:tab w:leader="none" w:pos="2122"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Certain Definitions. </w:t>
      </w:r>
      <w:r>
        <w:rPr>
          <w:rFonts w:ascii="Arial" w:cs="Arial" w:eastAsia="Arial" w:hAnsi="Arial"/>
          <w:sz w:val="20"/>
          <w:szCs w:val="20"/>
          <w:color w:val="auto"/>
        </w:rPr>
        <w:t>In addition to terms defined elsewhere herein, the following terms have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meanings when used in this Agreement with initial capital letters:</w:t>
      </w:r>
    </w:p>
    <w:p>
      <w:pPr>
        <w:ind w:right="20" w:firstLine="1305"/>
        <w:spacing w:after="0" w:line="270" w:lineRule="auto"/>
        <w:tabs>
          <w:tab w:leader="none" w:pos="2187"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will be deemed to have occurred if (i) any “person” (as such term is used in Sections 13(d) and 14(d) of the Exchange Act) (other than a trustee or other fiduciary holding securities under an employee benefit plan of the Company or a Person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50% or more of the total voting power represented by the Company’s then outstanding Voting Securities, (ii) during any period of two consecutive years, Incumbent Directors cease for any reason to constitute a majority of the Board, (iii) the stockholders of the Company approve a merger, recapitalization, consolidation or other similar transaction to which the Company is a party, unless securities representing at least 50% of the combined voting power of the then-outstanding securities of the surviving Person or a parent thereof are immediately thereafter beneficially owned, directly or indirectly and in substantially the same proportion, by the Persons who beneficially owned the Company’s outstanding voting securities immediately before the transaction, or (iv)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97" w:lineRule="exact"/>
        <w:rPr>
          <w:rFonts w:ascii="Arial" w:cs="Arial" w:eastAsia="Arial" w:hAnsi="Arial"/>
          <w:sz w:val="20"/>
          <w:szCs w:val="20"/>
          <w:color w:val="auto"/>
        </w:rPr>
      </w:pPr>
    </w:p>
    <w:p>
      <w:pPr>
        <w:ind w:right="100" w:firstLine="1305"/>
        <w:spacing w:after="0" w:line="273" w:lineRule="auto"/>
        <w:tabs>
          <w:tab w:leader="none" w:pos="2187"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Claim</w:t>
      </w:r>
      <w:r>
        <w:rPr>
          <w:rFonts w:ascii="Arial" w:cs="Arial" w:eastAsia="Arial" w:hAnsi="Arial"/>
          <w:sz w:val="20"/>
          <w:szCs w:val="20"/>
          <w:color w:val="auto"/>
        </w:rPr>
        <w:t>” means (i) any threatened, asserted, pending or completed claim, demand, action, suit, hearing, mediation, alternative dispute mechanism or any other proceeding, whether civil, criminal, administrative, arbitrative, investigative or other, or any appeal of any kind therefrom, and whether made pursuant to federal, state or other law; and (ii) any threatened, pending or completed inquiry or investigation, whether made, instituted or conducted by or at the behest of the Company or any other Person, including any federal, state or other court or governmental entity or agency and any committee or other representative of any corporate constituency, that Indemnitee determines in good faith might lead to the institution of any such claim, demand, action, suit or proceeding.</w:t>
      </w:r>
    </w:p>
    <w:p>
      <w:pPr>
        <w:spacing w:after="0" w:line="194" w:lineRule="exact"/>
        <w:rPr>
          <w:rFonts w:ascii="Arial" w:cs="Arial" w:eastAsia="Arial" w:hAnsi="Arial"/>
          <w:sz w:val="20"/>
          <w:szCs w:val="20"/>
          <w:color w:val="auto"/>
        </w:rPr>
      </w:pPr>
    </w:p>
    <w:p>
      <w:pPr>
        <w:ind w:right="140" w:firstLine="1305"/>
        <w:spacing w:after="0" w:line="278" w:lineRule="auto"/>
        <w:tabs>
          <w:tab w:leader="none" w:pos="2175"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Controlled Affiliate</w:t>
      </w:r>
      <w:r>
        <w:rPr>
          <w:rFonts w:ascii="Arial" w:cs="Arial" w:eastAsia="Arial" w:hAnsi="Arial"/>
          <w:sz w:val="20"/>
          <w:szCs w:val="20"/>
          <w:color w:val="auto"/>
        </w:rPr>
        <w:t>” means any Person, whether or not for profit, that is directly or indirectly controlled by the Company. For purposes of this definition, “control” means the possession, directly or indirectly, of the power to direct or cause the direction of the management or policies of a Person, whether through the ownership of voting securities, through other voting rights, by contract or otherwise.</w:t>
      </w:r>
    </w:p>
    <w:p>
      <w:pPr>
        <w:spacing w:after="0" w:line="190" w:lineRule="exact"/>
        <w:rPr>
          <w:rFonts w:ascii="Arial" w:cs="Arial" w:eastAsia="Arial" w:hAnsi="Arial"/>
          <w:sz w:val="20"/>
          <w:szCs w:val="20"/>
          <w:color w:val="auto"/>
        </w:rPr>
      </w:pPr>
    </w:p>
    <w:p>
      <w:pPr>
        <w:ind w:right="180" w:firstLine="1305"/>
        <w:spacing w:after="0" w:line="300" w:lineRule="auto"/>
        <w:tabs>
          <w:tab w:leader="none" w:pos="2187"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Disinterested Director</w:t>
      </w:r>
      <w:r>
        <w:rPr>
          <w:rFonts w:ascii="Arial" w:cs="Arial" w:eastAsia="Arial" w:hAnsi="Arial"/>
          <w:sz w:val="20"/>
          <w:szCs w:val="20"/>
          <w:color w:val="auto"/>
        </w:rPr>
        <w:t>” means a director of the Company who is not and was not a party to the Claim in respect of which indemnification is sought by Indemnitee.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71" w:right="259" w:bottom="1440" w:gutter="0" w:footer="0" w:header="0"/>
        </w:sectPr>
      </w:pPr>
    </w:p>
    <w:bookmarkStart w:id="111" w:name="page112"/>
    <w:bookmarkEnd w:id="111"/>
    <w:p>
      <w:pPr>
        <w:ind w:right="200" w:firstLine="1305"/>
        <w:spacing w:after="0" w:line="300" w:lineRule="auto"/>
        <w:tabs>
          <w:tab w:leader="none" w:pos="2187" w:val="left"/>
        </w:tabs>
        <w:numPr>
          <w:ilvl w:val="1"/>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Losses</w:t>
      </w:r>
      <w:r>
        <w:rPr>
          <w:rFonts w:ascii="Arial" w:cs="Arial" w:eastAsia="Arial" w:hAnsi="Arial"/>
          <w:sz w:val="20"/>
          <w:szCs w:val="20"/>
          <w:color w:val="auto"/>
        </w:rPr>
        <w:t>” means any taxes, penalties or other liabilities under the Employee Retirement Income Security Act of 1974, as amended, or Section 4975 of the Internal Revenue Code of 1986, as amended.</w:t>
      </w:r>
    </w:p>
    <w:p>
      <w:pPr>
        <w:spacing w:after="0" w:line="167" w:lineRule="exact"/>
        <w:rPr>
          <w:rFonts w:ascii="Arial" w:cs="Arial" w:eastAsia="Arial" w:hAnsi="Arial"/>
          <w:sz w:val="20"/>
          <w:szCs w:val="20"/>
          <w:color w:val="auto"/>
        </w:rPr>
      </w:pPr>
    </w:p>
    <w:p>
      <w:pPr>
        <w:ind w:left="2140" w:hanging="835"/>
        <w:spacing w:after="0"/>
        <w:tabs>
          <w:tab w:leader="none" w:pos="21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Exchange Act of 1934, as amended.</w:t>
      </w:r>
    </w:p>
    <w:p>
      <w:pPr>
        <w:spacing w:after="0" w:line="256" w:lineRule="exact"/>
        <w:rPr>
          <w:rFonts w:ascii="Arial" w:cs="Arial" w:eastAsia="Arial" w:hAnsi="Arial"/>
          <w:sz w:val="20"/>
          <w:szCs w:val="20"/>
          <w:color w:val="auto"/>
        </w:rPr>
      </w:pPr>
    </w:p>
    <w:p>
      <w:pPr>
        <w:ind w:right="140" w:firstLine="1305"/>
        <w:spacing w:after="0" w:line="268" w:lineRule="auto"/>
        <w:tabs>
          <w:tab w:leader="none" w:pos="2187" w:val="left"/>
        </w:tabs>
        <w:numPr>
          <w:ilvl w:val="1"/>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Expenses</w:t>
      </w:r>
      <w:r>
        <w:rPr>
          <w:rFonts w:ascii="Arial" w:cs="Arial" w:eastAsia="Arial" w:hAnsi="Arial"/>
          <w:sz w:val="20"/>
          <w:szCs w:val="20"/>
          <w:color w:val="auto"/>
        </w:rPr>
        <w:t>” means all expenses and costs (including attorneys’ and experts’ fees, witness fees, court costs, retainers, transcript fees, travel expenses, duplicating, printing and binding costs and postage and courier charges) paid or payable in connection with investigating, defending, being a witness in or participating in (including on appeal), or preparing to investigate, defend, be a witness in or participate in (including on appeal), any Claim, other than the fees, expenses and costs in respect of which the Company is expressly stated in Section 15 to have no obligation.</w:t>
      </w:r>
    </w:p>
    <w:p>
      <w:pPr>
        <w:spacing w:after="0" w:line="3" w:lineRule="exact"/>
        <w:rPr>
          <w:rFonts w:ascii="Arial" w:cs="Arial" w:eastAsia="Arial" w:hAnsi="Arial"/>
          <w:sz w:val="20"/>
          <w:szCs w:val="20"/>
          <w:color w:val="auto"/>
        </w:rPr>
      </w:pPr>
    </w:p>
    <w:p>
      <w:pPr>
        <w:ind w:right="80" w:firstLine="1305"/>
        <w:spacing w:after="0" w:line="288" w:lineRule="auto"/>
        <w:tabs>
          <w:tab w:leader="none" w:pos="2187"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Incumbent Directors</w:t>
      </w:r>
      <w:r>
        <w:rPr>
          <w:rFonts w:ascii="Arial" w:cs="Arial" w:eastAsia="Arial" w:hAnsi="Arial"/>
          <w:sz w:val="19"/>
          <w:szCs w:val="19"/>
          <w:color w:val="auto"/>
        </w:rPr>
        <w:t>” means the individuals who, as of the date hereof, are members of the Board and any individual becoming a member of the Board subsequent to the date hereof whose election, nomination for election by the Company’s stockholders, or appointment, was approved by a vote of at least two-thirds of the then Incumbent Directors (either by</w:t>
      </w:r>
    </w:p>
    <w:p>
      <w:pPr>
        <w:spacing w:after="0" w:line="2" w:lineRule="exact"/>
        <w:rPr>
          <w:rFonts w:ascii="Arial" w:cs="Arial" w:eastAsia="Arial" w:hAnsi="Arial"/>
          <w:sz w:val="19"/>
          <w:szCs w:val="19"/>
          <w:color w:val="auto"/>
        </w:rPr>
      </w:pPr>
    </w:p>
    <w:p>
      <w:pPr>
        <w:ind w:right="120"/>
        <w:spacing w:after="0" w:line="269" w:lineRule="auto"/>
        <w:rPr>
          <w:rFonts w:ascii="Arial" w:cs="Arial" w:eastAsia="Arial" w:hAnsi="Arial"/>
          <w:sz w:val="19"/>
          <w:szCs w:val="19"/>
          <w:color w:val="auto"/>
        </w:rPr>
      </w:pPr>
      <w:r>
        <w:rPr>
          <w:rFonts w:ascii="Arial" w:cs="Arial" w:eastAsia="Arial" w:hAnsi="Arial"/>
          <w:sz w:val="20"/>
          <w:szCs w:val="20"/>
          <w:color w:val="auto"/>
        </w:rPr>
        <w:t xml:space="preserve">a specific vote or by approval of the proxy statement of the Company in which such individual is named as a nominee for director, without objection to such nomination);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an individual will not be an Incumbent Director if such individual’s election or appointment to the Board initially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199" w:lineRule="exact"/>
        <w:rPr>
          <w:rFonts w:ascii="Arial" w:cs="Arial" w:eastAsia="Arial" w:hAnsi="Arial"/>
          <w:sz w:val="19"/>
          <w:szCs w:val="19"/>
          <w:color w:val="auto"/>
        </w:rPr>
      </w:pPr>
    </w:p>
    <w:p>
      <w:pPr>
        <w:ind w:right="80" w:firstLine="1305"/>
        <w:spacing w:after="0" w:line="285" w:lineRule="auto"/>
        <w:tabs>
          <w:tab w:leader="none" w:pos="2121"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Indemnifiable Claim</w:t>
      </w:r>
      <w:r>
        <w:rPr>
          <w:rFonts w:ascii="Arial" w:cs="Arial" w:eastAsia="Arial" w:hAnsi="Arial"/>
          <w:sz w:val="19"/>
          <w:szCs w:val="19"/>
          <w:color w:val="auto"/>
        </w:rPr>
        <w:t>” means any Claim based upon, arising out of or resulting from (i) any actual, alleged or suspected act or failure to act by Indemnitee in his or her capacity as a director, officer, employee or agent of the Company or as a director, officer, employee, member, manager, trustee or agent of any other Person, whether or not for profit (including any employee benefit plan or related trust), as to which Indemnitee is or was serving at the request of the Company as a director, officer, employee, member, manager, trustee or agent, (ii) any actual, alleged or suspected act or failure to act by Indemnitee in respect of any business, transaction, communication, filing, disclosure or other activity of the Company or any other Person referred to in clause (i) of this sentence, or (iii) Indemnitee’s status as a current or former director, officer, employee or agent of the Company or as a current or former director, officer, employee, member, manager, trustee or agent of the Company or</w:t>
      </w:r>
    </w:p>
    <w:p>
      <w:pPr>
        <w:spacing w:after="0" w:line="1" w:lineRule="exact"/>
        <w:rPr>
          <w:rFonts w:ascii="Arial" w:cs="Arial" w:eastAsia="Arial" w:hAnsi="Arial"/>
          <w:sz w:val="19"/>
          <w:szCs w:val="19"/>
          <w:color w:val="auto"/>
        </w:rPr>
      </w:pPr>
    </w:p>
    <w:p>
      <w:pPr>
        <w:spacing w:after="0" w:line="281" w:lineRule="auto"/>
        <w:rPr>
          <w:rFonts w:ascii="Arial" w:cs="Arial" w:eastAsia="Arial" w:hAnsi="Arial"/>
          <w:sz w:val="19"/>
          <w:szCs w:val="19"/>
          <w:color w:val="auto"/>
        </w:rPr>
      </w:pPr>
      <w:r>
        <w:rPr>
          <w:rFonts w:ascii="Arial" w:cs="Arial" w:eastAsia="Arial" w:hAnsi="Arial"/>
          <w:sz w:val="19"/>
          <w:szCs w:val="19"/>
          <w:color w:val="auto"/>
        </w:rPr>
        <w:t xml:space="preserve">any other Person referred to in clause (i) of this sentence or any actual, alleged or suspected act or failure to act by Indemnitee in connection with any obligation or restriction imposed upon Indemnitee by reason of such status;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except for compulsory counterclaims, Indemnifiable Claim will not include any Claim initiated by Indemnitee against the Company or any director or officer of the Company unless (1) the Incumbent Directors consented to the initiation of such Claim prior to its initiation,</w:t>
      </w:r>
    </w:p>
    <w:p>
      <w:pPr>
        <w:spacing w:after="0" w:line="3" w:lineRule="exact"/>
        <w:rPr>
          <w:rFonts w:ascii="Arial" w:cs="Arial" w:eastAsia="Arial" w:hAnsi="Arial"/>
          <w:sz w:val="19"/>
          <w:szCs w:val="19"/>
          <w:color w:val="auto"/>
        </w:rPr>
      </w:pPr>
    </w:p>
    <w:p>
      <w:pPr>
        <w:ind w:right="40" w:firstLine="8"/>
        <w:spacing w:after="0" w:line="283" w:lineRule="auto"/>
        <w:tabs>
          <w:tab w:leader="none" w:pos="297"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Incumbent Directors authorize the Company to join in such Claim, or (3) such Claim is initiated solely to enforce Indemnitee’s rights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Indemnifiable Claim will not include any Claim in which final judgement is rendered against Indemnitee or in which Indemnitee enters into a settlement, in each case, (x) for an accounting of profits made from the purchase or sale by Indemnitee of securities of the Company pursuant to the provisions of Section 16(b) of the Securities Exchange Act of 1934 and the rules promulgated thereunder, in each case as amended, or similar provisions of any federal, state or local laws, or (y) for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or the payment to the Company of profits arising from the purchase and sale by the Indemnitee of securities in violation of Section 306 of the Sarbanes-Oxley Act). In addition to any service at the actual request of the Company, for purposes of this Agreement, Indemnitee will be deemed to be serving or to have served at the request of the Company as a director, officer, employee, member, manager, trustee or agent of another Person if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5" w:right="239" w:bottom="1440" w:gutter="0" w:footer="0" w:header="0"/>
        </w:sectPr>
      </w:pPr>
    </w:p>
    <w:bookmarkStart w:id="112" w:name="page113"/>
    <w:bookmarkEnd w:id="112"/>
    <w:p>
      <w:pPr>
        <w:ind w:right="100"/>
        <w:spacing w:after="0" w:line="269" w:lineRule="auto"/>
        <w:rPr>
          <w:sz w:val="20"/>
          <w:szCs w:val="20"/>
          <w:color w:val="auto"/>
        </w:rPr>
      </w:pPr>
      <w:r>
        <w:rPr>
          <w:rFonts w:ascii="Arial" w:cs="Arial" w:eastAsia="Arial" w:hAnsi="Arial"/>
          <w:sz w:val="20"/>
          <w:szCs w:val="20"/>
          <w:color w:val="auto"/>
        </w:rPr>
        <w:t>Indemnitee is or was serving as a director, officer, employee, member, manager, trustee or agent of such Person and (A) such Person is or at the time of such service was a Controlled Affiliate, (B) such Person is or at the time of such service was an employee benefit plan (or related trust) sponsored or maintained by the Company or a Controlled Affiliate, or (C) the Company or a Controlled Affiliate caused or authorized Indemnitee to be nominated, elected, appointed, designated, employed, engaged or selected to serve in such capacity.</w:t>
      </w:r>
    </w:p>
    <w:p>
      <w:pPr>
        <w:spacing w:after="0" w:line="200" w:lineRule="exact"/>
        <w:rPr>
          <w:sz w:val="20"/>
          <w:szCs w:val="20"/>
          <w:color w:val="auto"/>
        </w:rPr>
      </w:pPr>
    </w:p>
    <w:p>
      <w:pPr>
        <w:ind w:left="2120" w:hanging="815"/>
        <w:spacing w:after="0"/>
        <w:tabs>
          <w:tab w:leader="none" w:pos="2120" w:val="left"/>
        </w:tabs>
        <w:numPr>
          <w:ilvl w:val="1"/>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Indemnifiable Losses</w:t>
      </w:r>
      <w:r>
        <w:rPr>
          <w:rFonts w:ascii="Arial" w:cs="Arial" w:eastAsia="Arial" w:hAnsi="Arial"/>
          <w:sz w:val="20"/>
          <w:szCs w:val="20"/>
          <w:color w:val="auto"/>
        </w:rPr>
        <w:t>” means any and all Losses relating to, arising out of or resulting from any</w:t>
      </w:r>
    </w:p>
    <w:p>
      <w:pPr>
        <w:spacing w:after="0" w:line="5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Indemnifiable Claim.</w:t>
      </w:r>
    </w:p>
    <w:p>
      <w:pPr>
        <w:spacing w:after="0" w:line="232" w:lineRule="exact"/>
        <w:rPr>
          <w:rFonts w:ascii="Arial" w:cs="Arial" w:eastAsia="Arial" w:hAnsi="Arial"/>
          <w:sz w:val="20"/>
          <w:szCs w:val="20"/>
          <w:color w:val="auto"/>
        </w:rPr>
      </w:pPr>
    </w:p>
    <w:p>
      <w:pPr>
        <w:ind w:right="140" w:firstLine="1305"/>
        <w:spacing w:after="0" w:line="272" w:lineRule="auto"/>
        <w:tabs>
          <w:tab w:leader="none" w:pos="2175" w:val="left"/>
        </w:tabs>
        <w:numPr>
          <w:ilvl w:val="1"/>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Independent Counsel</w:t>
      </w:r>
      <w:r>
        <w:rPr>
          <w:rFonts w:ascii="Arial" w:cs="Arial" w:eastAsia="Arial" w:hAnsi="Arial"/>
          <w:sz w:val="20"/>
          <w:szCs w:val="20"/>
          <w:color w:val="auto"/>
        </w:rPr>
        <w:t>” means a law firm, or a member of a law firm, that is experienced in matters of corporation law and neither presently is, nor in the past five years has been, retained to represent (i) the Company (or any Subsidiary) or Indemnitee in any matter material to either such party (other than with respect to matters concerning Indemnitee under this Agreement, or of other indemnitees under similar indemnification agreements) or (ii) any other named (or, as to a threatened matter, reasonably likely to be named) party to the Indemnifiable Claim giving rise to a claim for indemnification hereunder. Notwithstanding the foregoing, the term “Independent Counsel” will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97" w:lineRule="exact"/>
        <w:rPr>
          <w:rFonts w:ascii="Arial" w:cs="Arial" w:eastAsia="Arial" w:hAnsi="Arial"/>
          <w:sz w:val="20"/>
          <w:szCs w:val="20"/>
          <w:color w:val="auto"/>
        </w:rPr>
      </w:pPr>
    </w:p>
    <w:p>
      <w:pPr>
        <w:jc w:val="both"/>
        <w:ind w:right="60" w:firstLine="1305"/>
        <w:spacing w:after="0" w:line="284" w:lineRule="auto"/>
        <w:tabs>
          <w:tab w:leader="none" w:pos="2121" w:val="left"/>
        </w:tabs>
        <w:numPr>
          <w:ilvl w:val="1"/>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Losses</w:t>
      </w:r>
      <w:r>
        <w:rPr>
          <w:rFonts w:ascii="Arial" w:cs="Arial" w:eastAsia="Arial" w:hAnsi="Arial"/>
          <w:sz w:val="20"/>
          <w:szCs w:val="20"/>
          <w:b w:val="1"/>
          <w:bCs w:val="1"/>
          <w:color w:val="auto"/>
        </w:rPr>
        <w:t>”</w:t>
      </w:r>
      <w:r>
        <w:rPr>
          <w:rFonts w:ascii="Arial" w:cs="Arial" w:eastAsia="Arial" w:hAnsi="Arial"/>
          <w:sz w:val="20"/>
          <w:szCs w:val="20"/>
          <w:color w:val="auto"/>
        </w:rPr>
        <w:t xml:space="preserve"> means any and all Expenses, damages, losses, liabilities, judgments, fines, penalties (whether civil, criminal or other), ERISA Losses and amounts paid in settlement, including all interest, assessments and other charges paid or payable in connection with or in respect of any of the foregoing.</w:t>
      </w:r>
    </w:p>
    <w:p>
      <w:pPr>
        <w:spacing w:after="0" w:line="182" w:lineRule="exact"/>
        <w:rPr>
          <w:rFonts w:ascii="Arial" w:cs="Arial" w:eastAsia="Arial" w:hAnsi="Arial"/>
          <w:sz w:val="20"/>
          <w:szCs w:val="20"/>
          <w:color w:val="auto"/>
        </w:rPr>
      </w:pPr>
    </w:p>
    <w:p>
      <w:pPr>
        <w:jc w:val="both"/>
        <w:ind w:firstLine="1305"/>
        <w:spacing w:after="0" w:line="328" w:lineRule="auto"/>
        <w:tabs>
          <w:tab w:leader="none" w:pos="2241" w:val="left"/>
        </w:tabs>
        <w:numPr>
          <w:ilvl w:val="1"/>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as applicable, any individual, corporation, general or limited partnership, limited liability company, joint venture, estate, association, trust, court or governmental entity or agency or other entity, enterprise or organization.</w:t>
      </w:r>
    </w:p>
    <w:p>
      <w:pPr>
        <w:spacing w:after="0" w:line="145" w:lineRule="exact"/>
        <w:rPr>
          <w:rFonts w:ascii="Arial" w:cs="Arial" w:eastAsia="Arial" w:hAnsi="Arial"/>
          <w:sz w:val="19"/>
          <w:szCs w:val="19"/>
          <w:color w:val="auto"/>
        </w:rPr>
      </w:pPr>
    </w:p>
    <w:p>
      <w:pPr>
        <w:ind w:left="2200" w:hanging="895"/>
        <w:spacing w:after="0"/>
        <w:tabs>
          <w:tab w:leader="none" w:pos="22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Sarbanes-Oxley Act</w:t>
      </w:r>
      <w:r>
        <w:rPr>
          <w:rFonts w:ascii="Arial" w:cs="Arial" w:eastAsia="Arial" w:hAnsi="Arial"/>
          <w:sz w:val="20"/>
          <w:szCs w:val="20"/>
          <w:color w:val="auto"/>
        </w:rPr>
        <w:t>” means the Sarbanes-Oxley Act of 2002.</w:t>
      </w:r>
    </w:p>
    <w:p>
      <w:pPr>
        <w:spacing w:after="0" w:line="256" w:lineRule="exact"/>
        <w:rPr>
          <w:rFonts w:ascii="Arial" w:cs="Arial" w:eastAsia="Arial" w:hAnsi="Arial"/>
          <w:sz w:val="20"/>
          <w:szCs w:val="20"/>
          <w:color w:val="auto"/>
        </w:rPr>
      </w:pPr>
    </w:p>
    <w:p>
      <w:pPr>
        <w:ind w:right="300" w:firstLine="1305"/>
        <w:spacing w:after="0" w:line="300" w:lineRule="auto"/>
        <w:tabs>
          <w:tab w:leader="none" w:pos="2187" w:val="left"/>
        </w:tabs>
        <w:numPr>
          <w:ilvl w:val="1"/>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 Person in which the Company directly or indirectly beneficially owns more than 50% of the outstanding securities entitled to vote generally in the election of directors (or similar governing bodies).</w:t>
      </w:r>
    </w:p>
    <w:p>
      <w:pPr>
        <w:spacing w:after="0" w:line="167" w:lineRule="exact"/>
        <w:rPr>
          <w:rFonts w:ascii="Arial" w:cs="Arial" w:eastAsia="Arial" w:hAnsi="Arial"/>
          <w:sz w:val="20"/>
          <w:szCs w:val="20"/>
          <w:color w:val="auto"/>
        </w:rPr>
      </w:pPr>
    </w:p>
    <w:p>
      <w:pPr>
        <w:jc w:val="both"/>
        <w:ind w:right="40" w:firstLine="656"/>
        <w:spacing w:after="0" w:line="295" w:lineRule="auto"/>
        <w:tabs>
          <w:tab w:leader="none" w:pos="1462"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 Obligation. </w:t>
      </w:r>
      <w:r>
        <w:rPr>
          <w:rFonts w:ascii="Arial" w:cs="Arial" w:eastAsia="Arial" w:hAnsi="Arial"/>
          <w:sz w:val="19"/>
          <w:szCs w:val="19"/>
          <w:color w:val="auto"/>
        </w:rPr>
        <w:t>Subject to Section 8, the Company will indemnify and hold harmless Indemnitee,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fullest extent permitted or required by the laws of the State of Delaware in effect on the date hereof or as such laws may from</w:t>
      </w:r>
    </w:p>
    <w:p>
      <w:pPr>
        <w:ind w:right="620"/>
        <w:spacing w:after="0" w:line="270" w:lineRule="auto"/>
        <w:rPr>
          <w:rFonts w:ascii="Arial" w:cs="Arial" w:eastAsia="Arial" w:hAnsi="Arial"/>
          <w:sz w:val="19"/>
          <w:szCs w:val="19"/>
          <w:b w:val="1"/>
          <w:bCs w:val="1"/>
          <w:color w:val="auto"/>
        </w:rPr>
      </w:pPr>
      <w:r>
        <w:rPr>
          <w:rFonts w:ascii="Arial" w:cs="Arial" w:eastAsia="Arial" w:hAnsi="Arial"/>
          <w:sz w:val="20"/>
          <w:szCs w:val="20"/>
          <w:color w:val="auto"/>
        </w:rPr>
        <w:t xml:space="preserve">time to time hereafter be amended to increase the scope of such permitted or required indemnification, against any and all Indemnifiable Claims and Indemnifiable Losses;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repeal or amendment of any law of the State of Delaware will in any way diminish or adversely affect the rights of Indemnitee pursuant to this Agreement in respect of any occurrence or matter arising prior to any such repeal or amendment.</w:t>
      </w:r>
    </w:p>
    <w:p>
      <w:pPr>
        <w:spacing w:after="0" w:line="197" w:lineRule="exact"/>
        <w:rPr>
          <w:rFonts w:ascii="Arial" w:cs="Arial" w:eastAsia="Arial" w:hAnsi="Arial"/>
          <w:sz w:val="19"/>
          <w:szCs w:val="19"/>
          <w:b w:val="1"/>
          <w:bCs w:val="1"/>
          <w:color w:val="auto"/>
        </w:rPr>
      </w:pPr>
    </w:p>
    <w:p>
      <w:pPr>
        <w:ind w:right="120" w:firstLine="656"/>
        <w:spacing w:after="0" w:line="272" w:lineRule="auto"/>
        <w:tabs>
          <w:tab w:leader="none" w:pos="1462"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Advancement of Expenses. </w:t>
      </w:r>
      <w:r>
        <w:rPr>
          <w:rFonts w:ascii="Arial" w:cs="Arial" w:eastAsia="Arial" w:hAnsi="Arial"/>
          <w:sz w:val="20"/>
          <w:szCs w:val="20"/>
          <w:color w:val="auto"/>
        </w:rPr>
        <w:t>Indemnitee will have the right to advancement by the Company prior to the final</w:t>
      </w:r>
      <w:r>
        <w:rPr>
          <w:rFonts w:ascii="Arial" w:cs="Arial" w:eastAsia="Arial" w:hAnsi="Arial"/>
          <w:sz w:val="20"/>
          <w:szCs w:val="20"/>
          <w:b w:val="1"/>
          <w:bCs w:val="1"/>
          <w:color w:val="auto"/>
        </w:rPr>
        <w:t xml:space="preserve"> </w:t>
      </w:r>
      <w:r>
        <w:rPr>
          <w:rFonts w:ascii="Arial" w:cs="Arial" w:eastAsia="Arial" w:hAnsi="Arial"/>
          <w:sz w:val="20"/>
          <w:szCs w:val="20"/>
          <w:color w:val="auto"/>
        </w:rPr>
        <w:t>disposition of any Indemnifiable Claim of any and all reasonable Expenses relating to, arising out of or resulting from any Indemnifiable Claim paid or incurred by Indemnitee or which Indemnitee determines in good faith are reasonably likely to be paid or incurred by Indemnitee. Indemnitee’s right to such advancement is not subject to the satisfaction of any standard of conduct and is not conditioned upon any prior determination that Indemnitee is entitled to indemnification under this Agreement with respect to the Indemnifiable Claim or the absence of any prior determination to the contrary. Without limiting the generality or effect of the foregoing, within ten calendar days after any request by Indemnitee, the Company will, in accordance with such request (but without duplication),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609" w:right="279" w:bottom="1440" w:gutter="0" w:footer="0" w:header="0"/>
        </w:sectPr>
      </w:pPr>
    </w:p>
    <w:bookmarkStart w:id="113" w:name="page114"/>
    <w:bookmarkEnd w:id="113"/>
    <w:p>
      <w:pPr>
        <w:ind w:left="292" w:hanging="292"/>
        <w:spacing w:after="0"/>
        <w:tabs>
          <w:tab w:leader="none" w:pos="292" w:val="left"/>
        </w:tabs>
        <w:numPr>
          <w:ilvl w:val="0"/>
          <w:numId w:val="55"/>
        </w:numPr>
        <w:rPr>
          <w:rFonts w:ascii="Arial" w:cs="Arial" w:eastAsia="Arial" w:hAnsi="Arial"/>
          <w:sz w:val="19"/>
          <w:szCs w:val="19"/>
          <w:color w:val="auto"/>
        </w:rPr>
      </w:pPr>
      <w:r>
        <w:rPr>
          <w:rFonts w:ascii="Arial" w:cs="Arial" w:eastAsia="Arial" w:hAnsi="Arial"/>
          <w:sz w:val="19"/>
          <w:szCs w:val="19"/>
          <w:color w:val="auto"/>
        </w:rPr>
        <w:t>pay such Expenses on behalf of Indemnitee, (b) advance to Indemnitee funds in an amount sufficient to pay such Expenses, or</w:t>
      </w:r>
    </w:p>
    <w:p>
      <w:pPr>
        <w:spacing w:after="0" w:line="18" w:lineRule="exact"/>
        <w:rPr>
          <w:rFonts w:ascii="Arial" w:cs="Arial" w:eastAsia="Arial" w:hAnsi="Arial"/>
          <w:sz w:val="19"/>
          <w:szCs w:val="19"/>
          <w:color w:val="auto"/>
        </w:rPr>
      </w:pPr>
    </w:p>
    <w:p>
      <w:pPr>
        <w:ind w:left="-8" w:firstLine="8"/>
        <w:spacing w:after="0" w:line="271" w:lineRule="auto"/>
        <w:tabs>
          <w:tab w:leader="none" w:pos="278"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reimburse Indemnitee for such Expenses;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Indemnitee will repay, without interest any amounts actually advanced to Indemnitee that, at the final disposition of the Indemnifiable Claim to which the advance related, were in excess of amounts paid or payable by Indemnitee in respect of Expenses relating to, arising out of or resulting from such Indemnifiable Claim. As a condition to any such payment, advancement or reimbursement, Indemnitee will execute and deliver to the Company an undertaking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(subject to Indemnitee filling in the blanks therein and selecting from among the bracketed alternatives therein), which need not be secured and will be accepted by the Company without reference to Indemnitee’s ability to repay the Expenses. In no event will Indemnitee’s right to the payment, advancement or reimbursement of Expenses pursuant to this Section 3 be conditioned upon any undertaking that is less favorable to Indemnitee than, or that is in addition to, the undertaking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ind w:left="-8" w:firstLine="656"/>
        <w:spacing w:after="0" w:line="268" w:lineRule="auto"/>
        <w:tabs>
          <w:tab w:leader="none" w:pos="1454" w:val="left"/>
        </w:tabs>
        <w:numPr>
          <w:ilvl w:val="1"/>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Indemnification for Additional Expenses. </w:t>
      </w:r>
      <w:r>
        <w:rPr>
          <w:rFonts w:ascii="Arial" w:cs="Arial" w:eastAsia="Arial" w:hAnsi="Arial"/>
          <w:sz w:val="20"/>
          <w:szCs w:val="20"/>
          <w:color w:val="auto"/>
        </w:rPr>
        <w:t>Without limiting the generality or effect of the foregoing,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indemnify and hold harmless Indemnitee against and, if requested by Indemnitee, will reimburse Indemnitee for, or advance to Indemnitee, within ten calendar days of such request, any and all reasonable Expenses paid or incurred by Indemnitee or which Indemnitee determines in good faith are reasonably likely to be paid or incurred by Indemnitee in connection with any Claim made, instituted or conducted by Indemnitee, in each case to the fullest extent permitted or required by the laws of the State of Delaware in effect on the date hereof or as such laws may from time to time hereafter be amended to increase the scope of such permitted or required indemnification, reimbursement or advancement of such Expenses, for (a) indemnification or payment, advancement or reimbursement of Expenses by the Company under any provision of this Agreement, or under any other agreement or provision of the Constituent Documents now or hereafter in effect relating to Indemnifiable Claims, and/or</w:t>
      </w:r>
    </w:p>
    <w:p>
      <w:pPr>
        <w:spacing w:after="0" w:line="2" w:lineRule="exact"/>
        <w:rPr>
          <w:rFonts w:ascii="Arial" w:cs="Arial" w:eastAsia="Arial" w:hAnsi="Arial"/>
          <w:sz w:val="20"/>
          <w:szCs w:val="20"/>
          <w:b w:val="1"/>
          <w:bCs w:val="1"/>
          <w:color w:val="auto"/>
        </w:rPr>
      </w:pPr>
    </w:p>
    <w:p>
      <w:pPr>
        <w:jc w:val="both"/>
        <w:ind w:left="-8" w:right="460" w:firstLine="8"/>
        <w:spacing w:after="0" w:line="281" w:lineRule="auto"/>
        <w:tabs>
          <w:tab w:leader="none" w:pos="289"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recovery under any directors’ and officers’ liability insurance policies maintained by the Company;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Indemnitee will return, without interest, any such advance of Expenses (or portion thereof) which remains unspent at the final disposition of the Claim to which the advance related.</w:t>
      </w:r>
    </w:p>
    <w:p>
      <w:pPr>
        <w:spacing w:after="0" w:line="187" w:lineRule="exact"/>
        <w:rPr>
          <w:rFonts w:ascii="Arial" w:cs="Arial" w:eastAsia="Arial" w:hAnsi="Arial"/>
          <w:sz w:val="20"/>
          <w:szCs w:val="20"/>
          <w:color w:val="auto"/>
        </w:rPr>
      </w:pPr>
    </w:p>
    <w:p>
      <w:pPr>
        <w:ind w:left="-8" w:firstLine="656"/>
        <w:spacing w:after="0" w:line="286" w:lineRule="auto"/>
        <w:tabs>
          <w:tab w:leader="none" w:pos="1454" w:val="left"/>
        </w:tabs>
        <w:numPr>
          <w:ilvl w:val="1"/>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Contribution</w:t>
      </w:r>
      <w:r>
        <w:rPr>
          <w:rFonts w:ascii="Arial" w:cs="Arial" w:eastAsia="Arial" w:hAnsi="Arial"/>
          <w:sz w:val="19"/>
          <w:szCs w:val="19"/>
          <w:color w:val="auto"/>
        </w:rPr>
        <w:t>. To the fullest extent permissible under applicable law in effect on the date hereof or as such law</w:t>
      </w:r>
      <w:r>
        <w:rPr>
          <w:rFonts w:ascii="Arial" w:cs="Arial" w:eastAsia="Arial" w:hAnsi="Arial"/>
          <w:sz w:val="19"/>
          <w:szCs w:val="19"/>
          <w:b w:val="1"/>
          <w:bCs w:val="1"/>
          <w:color w:val="auto"/>
        </w:rPr>
        <w:t xml:space="preserve"> </w:t>
      </w:r>
      <w:r>
        <w:rPr>
          <w:rFonts w:ascii="Arial" w:cs="Arial" w:eastAsia="Arial" w:hAnsi="Arial"/>
          <w:sz w:val="19"/>
          <w:szCs w:val="19"/>
          <w:color w:val="auto"/>
        </w:rPr>
        <w:t>may from time to time hereafter be amended to increase the scope of permitted or required indemnification, if the indemnification provided for in this Agreement is unavailable to Indemnitee for any reason whatsoever, the Company, in lieu of indemnifying Indemnitee, will contribute to the payment of any and all Indemnifiable Claims or Indemnifiable Losses, in such proportion as is fair and reasonable in light of all of the circumstances in order to reflect (i) the relative benefits received by the Company and Indemnitee as a result of the event(s) and/or transaction(s) giving cause to such Indemnifiable Claim or Indemnifiable Loss and/or</w:t>
      </w:r>
    </w:p>
    <w:p>
      <w:pPr>
        <w:spacing w:after="0" w:line="1" w:lineRule="exact"/>
        <w:rPr>
          <w:rFonts w:ascii="Arial" w:cs="Arial" w:eastAsia="Arial" w:hAnsi="Arial"/>
          <w:sz w:val="19"/>
          <w:szCs w:val="19"/>
          <w:b w:val="1"/>
          <w:bCs w:val="1"/>
          <w:color w:val="auto"/>
        </w:rPr>
      </w:pPr>
    </w:p>
    <w:p>
      <w:pPr>
        <w:ind w:left="-8" w:firstLine="8"/>
        <w:spacing w:after="0" w:line="269" w:lineRule="auto"/>
        <w:tabs>
          <w:tab w:leader="none" w:pos="267"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relative fault of the Company (and its other directors, officers, employees and agents) and Indemnitee in connection with such event(s) and/or transaction(s);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contribution will not be required where it is determined, pursuant to a final disposition of such Indemnifiable Claim or Indemnifiable Loss in accordance with Section 8 or pursuant to the last sentence of Section 9(a), that Indemnitee is not entitled to indemnification by the Company with respect to such Indemnifiable Claim or Indemnifiable Loss. The Company will indemnify and hold harmless Indemnitee from any claim of contribution that may be brought by directors, officers, employees or other agents or representatives of the Company, other than Indemnitee, who may be jointly liable with Indemnitee.</w:t>
      </w:r>
    </w:p>
    <w:p>
      <w:pPr>
        <w:spacing w:after="0" w:line="197" w:lineRule="exact"/>
        <w:rPr>
          <w:rFonts w:ascii="Arial" w:cs="Arial" w:eastAsia="Arial" w:hAnsi="Arial"/>
          <w:sz w:val="20"/>
          <w:szCs w:val="20"/>
          <w:color w:val="auto"/>
        </w:rPr>
      </w:pPr>
    </w:p>
    <w:p>
      <w:pPr>
        <w:ind w:left="-8" w:right="220" w:firstLine="656"/>
        <w:spacing w:after="0" w:line="284" w:lineRule="auto"/>
        <w:tabs>
          <w:tab w:leader="none" w:pos="1454" w:val="left"/>
        </w:tabs>
        <w:numPr>
          <w:ilvl w:val="1"/>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Partial Indemnity. </w:t>
      </w:r>
      <w:r>
        <w:rPr>
          <w:rFonts w:ascii="Arial" w:cs="Arial" w:eastAsia="Arial" w:hAnsi="Arial"/>
          <w:sz w:val="20"/>
          <w:szCs w:val="20"/>
          <w:color w:val="auto"/>
        </w:rPr>
        <w:t>If Indemnitee is entitled under any provision of this Agreement to indemnification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for some or a portion of any Indemnifiable Loss, but not for all of the total amount thereof, the Company will indemnify Indemnitee for the portion thereof to which Indemnitee is entitled.</w:t>
      </w:r>
    </w:p>
    <w:p>
      <w:pPr>
        <w:spacing w:after="0" w:line="182" w:lineRule="exact"/>
        <w:rPr>
          <w:rFonts w:ascii="Arial" w:cs="Arial" w:eastAsia="Arial" w:hAnsi="Arial"/>
          <w:sz w:val="20"/>
          <w:szCs w:val="20"/>
          <w:b w:val="1"/>
          <w:bCs w:val="1"/>
          <w:color w:val="auto"/>
        </w:rPr>
      </w:pPr>
    </w:p>
    <w:p>
      <w:pPr>
        <w:ind w:left="-8" w:right="60" w:firstLine="656"/>
        <w:spacing w:after="0" w:line="300" w:lineRule="auto"/>
        <w:tabs>
          <w:tab w:leader="none" w:pos="1454" w:val="left"/>
        </w:tabs>
        <w:numPr>
          <w:ilvl w:val="1"/>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Procedure for Notification</w:t>
      </w:r>
      <w:r>
        <w:rPr>
          <w:rFonts w:ascii="Arial" w:cs="Arial" w:eastAsia="Arial" w:hAnsi="Arial"/>
          <w:sz w:val="20"/>
          <w:szCs w:val="20"/>
          <w:color w:val="auto"/>
        </w:rPr>
        <w:t>. To obtain indemnification under this Agreement in respect of an Indemnifiable Claim</w:t>
      </w:r>
      <w:r>
        <w:rPr>
          <w:rFonts w:ascii="Arial" w:cs="Arial" w:eastAsia="Arial" w:hAnsi="Arial"/>
          <w:sz w:val="20"/>
          <w:szCs w:val="20"/>
          <w:b w:val="1"/>
          <w:bCs w:val="1"/>
          <w:color w:val="auto"/>
        </w:rPr>
        <w:t xml:space="preserve"> </w:t>
      </w:r>
      <w:r>
        <w:rPr>
          <w:rFonts w:ascii="Arial" w:cs="Arial" w:eastAsia="Arial" w:hAnsi="Arial"/>
          <w:sz w:val="20"/>
          <w:szCs w:val="20"/>
          <w:color w:val="auto"/>
        </w:rPr>
        <w:t>or Indemnifiable Loss, Indemnitee will submit to the Company a written request</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609" w:right="259" w:bottom="1440" w:gutter="0" w:footer="0" w:header="0"/>
        </w:sectPr>
      </w:pPr>
    </w:p>
    <w:bookmarkStart w:id="114" w:name="page115"/>
    <w:bookmarkEnd w:id="114"/>
    <w:p>
      <w:pPr>
        <w:ind w:right="80"/>
        <w:spacing w:after="0" w:line="268" w:lineRule="auto"/>
        <w:rPr>
          <w:sz w:val="20"/>
          <w:szCs w:val="20"/>
          <w:color w:val="auto"/>
        </w:rPr>
      </w:pPr>
      <w:r>
        <w:rPr>
          <w:rFonts w:ascii="Arial" w:cs="Arial" w:eastAsia="Arial" w:hAnsi="Arial"/>
          <w:sz w:val="20"/>
          <w:szCs w:val="20"/>
          <w:color w:val="auto"/>
        </w:rPr>
        <w:t>therefor, including a brief description (based upon information then available to Indemnitee) of such Indemnifiable Claim or Indemnifiable Loss. If, at the time of the receipt of such request, the Company has directors’ and officers’ liability insurance in effect under which coverage for such Indemnifiable Claim or Indemnifiable Loss is potentially available, the Company will give prompt written notice of such Indemnifiable Claim or Indemnifiable Loss to the applicable insurers in accordance with the procedures set forth in the applicable policies. The Company will provide to Indemnitee a copy of such notice delivered to the applicable insurers, and copies of all subsequent correspondence between the Company and such insurers regarding the Indemnifiable Claim or Indemnifiable Loss, in each case substantially concurrently with the delivery or receipt thereof by the Company. If requested by Indemnitee, the Company will use its reasonable best efforts, at the Company’s expense, to enforce on behalf of and for the benefit of Indemnitee all rights (including rights to receive payment) that may exist under the applicable policies of insurance in relation to such Indemnifiable Claim or Indemnifiable Loss. The failure by Indemnitee to timely notify the Company of any Indemnifiable Claim or Indemnifiable Loss will not relieve the Company from any liability hereunder unless, and only to the extent that, the Company did not otherwise learn of such Indemnifiable Claim or Indemnifiable Loss and such failure results in forfeiture by the Company of substantial defenses, rights or insurance coverage.</w:t>
      </w:r>
    </w:p>
    <w:p>
      <w:pPr>
        <w:spacing w:after="0" w:line="203" w:lineRule="exact"/>
        <w:rPr>
          <w:sz w:val="20"/>
          <w:szCs w:val="20"/>
          <w:color w:val="auto"/>
        </w:rPr>
      </w:pPr>
    </w:p>
    <w:p>
      <w:pPr>
        <w:ind w:left="1460" w:hanging="804"/>
        <w:spacing w:after="0"/>
        <w:tabs>
          <w:tab w:leader="none" w:pos="14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Determination of Right to Indemnification</w:t>
      </w:r>
      <w:r>
        <w:rPr>
          <w:rFonts w:ascii="Arial" w:cs="Arial" w:eastAsia="Arial" w:hAnsi="Arial"/>
          <w:sz w:val="20"/>
          <w:szCs w:val="20"/>
          <w:color w:val="auto"/>
        </w:rPr>
        <w:t>.</w:t>
      </w:r>
    </w:p>
    <w:p>
      <w:pPr>
        <w:spacing w:after="0" w:line="280" w:lineRule="exact"/>
        <w:rPr>
          <w:rFonts w:ascii="Arial" w:cs="Arial" w:eastAsia="Arial" w:hAnsi="Arial"/>
          <w:sz w:val="20"/>
          <w:szCs w:val="20"/>
          <w:b w:val="1"/>
          <w:bCs w:val="1"/>
          <w:color w:val="auto"/>
        </w:rPr>
      </w:pPr>
    </w:p>
    <w:p>
      <w:pPr>
        <w:ind w:firstLine="1305"/>
        <w:spacing w:after="0" w:line="269" w:lineRule="auto"/>
        <w:tabs>
          <w:tab w:leader="none" w:pos="2187" w:val="left"/>
        </w:tabs>
        <w:numPr>
          <w:ilvl w:val="1"/>
          <w:numId w:val="59"/>
        </w:numPr>
        <w:rPr>
          <w:rFonts w:ascii="Arial" w:cs="Arial" w:eastAsia="Arial" w:hAnsi="Arial"/>
          <w:sz w:val="20"/>
          <w:szCs w:val="20"/>
          <w:color w:val="auto"/>
        </w:rPr>
      </w:pPr>
      <w:r>
        <w:rPr>
          <w:rFonts w:ascii="Arial" w:cs="Arial" w:eastAsia="Arial" w:hAnsi="Arial"/>
          <w:sz w:val="20"/>
          <w:szCs w:val="20"/>
          <w:color w:val="auto"/>
        </w:rPr>
        <w:t>To the extent that Indemnitee has been successful on the merits or otherwise in defense of any Indemnifiable Claim or any portion thereof or in defense of any issue or matter therein, including dismissal without prejudice, Indemnitee will be indemnified against Indemnifiable Losses relating to, arising out of or resulting from such Indemnifiable Claim in accordance with Section 2 and no Standard of Conduct Determination (as defined in Section 8(b)) will be required with respect to such Indemnifiable Claim.</w:t>
      </w:r>
    </w:p>
    <w:p>
      <w:pPr>
        <w:spacing w:after="0" w:line="223" w:lineRule="exact"/>
        <w:rPr>
          <w:rFonts w:ascii="Arial" w:cs="Arial" w:eastAsia="Arial" w:hAnsi="Arial"/>
          <w:sz w:val="20"/>
          <w:szCs w:val="20"/>
          <w:color w:val="auto"/>
        </w:rPr>
      </w:pPr>
    </w:p>
    <w:p>
      <w:pPr>
        <w:jc w:val="both"/>
        <w:ind w:right="40" w:firstLine="1305"/>
        <w:spacing w:after="0" w:line="281" w:lineRule="auto"/>
        <w:tabs>
          <w:tab w:leader="none" w:pos="2187" w:val="left"/>
        </w:tabs>
        <w:numPr>
          <w:ilvl w:val="1"/>
          <w:numId w:val="59"/>
        </w:numPr>
        <w:rPr>
          <w:rFonts w:ascii="Arial" w:cs="Arial" w:eastAsia="Arial" w:hAnsi="Arial"/>
          <w:sz w:val="19"/>
          <w:szCs w:val="19"/>
          <w:color w:val="auto"/>
        </w:rPr>
      </w:pPr>
      <w:r>
        <w:rPr>
          <w:rFonts w:ascii="Arial" w:cs="Arial" w:eastAsia="Arial" w:hAnsi="Arial"/>
          <w:sz w:val="19"/>
          <w:szCs w:val="19"/>
          <w:color w:val="auto"/>
        </w:rPr>
        <w:t>To the extent that the provisions of Section 8(a) are inapplicable to an Indemnifiable Claim that has been finally disposed of, any determination of whether Indemnitee has satisfied any applicable standard of conduct under Delaware law</w:t>
      </w:r>
    </w:p>
    <w:p>
      <w:pPr>
        <w:spacing w:after="0" w:line="1" w:lineRule="exact"/>
        <w:rPr>
          <w:rFonts w:ascii="Arial" w:cs="Arial" w:eastAsia="Arial" w:hAnsi="Arial"/>
          <w:sz w:val="19"/>
          <w:szCs w:val="19"/>
          <w:color w:val="auto"/>
        </w:rPr>
      </w:pPr>
    </w:p>
    <w:p>
      <w:pPr>
        <w:ind w:right="60"/>
        <w:spacing w:after="0" w:line="281" w:lineRule="auto"/>
        <w:rPr>
          <w:rFonts w:ascii="Arial" w:cs="Arial" w:eastAsia="Arial" w:hAnsi="Arial"/>
          <w:sz w:val="19"/>
          <w:szCs w:val="19"/>
          <w:color w:val="auto"/>
        </w:rPr>
      </w:pPr>
      <w:r>
        <w:rPr>
          <w:rFonts w:ascii="Arial" w:cs="Arial" w:eastAsia="Arial" w:hAnsi="Arial"/>
          <w:sz w:val="19"/>
          <w:szCs w:val="19"/>
          <w:color w:val="auto"/>
        </w:rPr>
        <w:t>that is a legally required condition precedent to indemnification of Indemnitee hereunder against Indemnifiable Losses relating to, arising out of or resulting from such Indemnifiable Claim (a “</w:t>
      </w:r>
      <w:r>
        <w:rPr>
          <w:rFonts w:ascii="Arial" w:cs="Arial" w:eastAsia="Arial" w:hAnsi="Arial"/>
          <w:sz w:val="19"/>
          <w:szCs w:val="19"/>
          <w:b w:val="1"/>
          <w:bCs w:val="1"/>
          <w:i w:val="1"/>
          <w:iCs w:val="1"/>
          <w:color w:val="auto"/>
        </w:rPr>
        <w:t>Standard of Conduct Determination</w:t>
      </w:r>
      <w:r>
        <w:rPr>
          <w:rFonts w:ascii="Arial" w:cs="Arial" w:eastAsia="Arial" w:hAnsi="Arial"/>
          <w:sz w:val="19"/>
          <w:szCs w:val="19"/>
          <w:color w:val="auto"/>
        </w:rPr>
        <w:t>”) will be made as follows: (i) by a majority vote of the Disinterested Directors, even if less than a quorum of the Board; (ii) if such Disinterested Directors so direct, by a majority vote of a committee of Disinterested Directors designated by a majority vote of all Disinterested Directors; or (iii) if there are no such Disinterested Directors or if Indemnitee so requests, by Independent Counsel, selected by the Indemnitee and</w:t>
      </w:r>
    </w:p>
    <w:p>
      <w:pPr>
        <w:spacing w:after="0" w:line="3" w:lineRule="exact"/>
        <w:rPr>
          <w:rFonts w:ascii="Arial" w:cs="Arial" w:eastAsia="Arial" w:hAnsi="Arial"/>
          <w:sz w:val="19"/>
          <w:szCs w:val="19"/>
          <w:color w:val="auto"/>
        </w:rPr>
      </w:pPr>
    </w:p>
    <w:p>
      <w:pPr>
        <w:ind w:right="60"/>
        <w:spacing w:after="0" w:line="283" w:lineRule="auto"/>
        <w:rPr>
          <w:rFonts w:ascii="Arial" w:cs="Arial" w:eastAsia="Arial" w:hAnsi="Arial"/>
          <w:sz w:val="19"/>
          <w:szCs w:val="19"/>
          <w:color w:val="auto"/>
        </w:rPr>
      </w:pPr>
      <w:r>
        <w:rPr>
          <w:rFonts w:ascii="Arial" w:cs="Arial" w:eastAsia="Arial" w:hAnsi="Arial"/>
          <w:sz w:val="19"/>
          <w:szCs w:val="19"/>
          <w:color w:val="auto"/>
        </w:rPr>
        <w:t xml:space="preserve">approved by the Board (such approval not to be unreasonably withheld, delayed or conditioned), in a written opinion addressed to the Board, a copy of which will be delivered to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at the time of any Standard of Conduct Determination, Indemnitee is neither a director nor an officer of the Company, such Standard of Conduct Determination may be made by or in the manner specified by the Board, any duly authorized committee of the Board or any duly authorized officer of the Company (unless Indemnitee requests that such Standard of Conduct Determination be made by Independent Counsel, in which case such Standard of Conduct Determination will be made by Independent Counsel). Indemnitee will cooperate with the Person or Persons making such Standard of Conduct Determination, including providing to such Person or Persons, upon reasonable advance request, any documentation or information which is not privileged or otherwise protected from disclosure and which is reasonably available to Indemnitee and reasonably necessary to such determination. The Company will indemnify and hold harmless Indemnitee against and, if requested by Indemnitee, will reimburse Indemnitee for, or advance to Indemnitee, within ten calendar days of such request, any and all reasonable costs and expenses (including attorneys’ and experts’ fees and expenses) incurred by Indemnitee in so cooperating with the Person or Persons making such Standard of Conduct Determination.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09" w:right="259" w:bottom="1440" w:gutter="0" w:footer="0" w:header="0"/>
        </w:sectPr>
      </w:pPr>
    </w:p>
    <w:bookmarkStart w:id="115" w:name="page116"/>
    <w:bookmarkEnd w:id="115"/>
    <w:p>
      <w:pPr>
        <w:ind w:right="140" w:firstLine="1305"/>
        <w:spacing w:after="0" w:line="281" w:lineRule="auto"/>
        <w:tabs>
          <w:tab w:leader="none" w:pos="2175" w:val="left"/>
        </w:tabs>
        <w:numPr>
          <w:ilvl w:val="2"/>
          <w:numId w:val="60"/>
        </w:numPr>
        <w:rPr>
          <w:rFonts w:ascii="Arial" w:cs="Arial" w:eastAsia="Arial" w:hAnsi="Arial"/>
          <w:sz w:val="19"/>
          <w:szCs w:val="19"/>
          <w:color w:val="auto"/>
        </w:rPr>
      </w:pPr>
      <w:r>
        <w:rPr>
          <w:rFonts w:ascii="Arial" w:cs="Arial" w:eastAsia="Arial" w:hAnsi="Arial"/>
          <w:sz w:val="19"/>
          <w:szCs w:val="19"/>
          <w:color w:val="auto"/>
        </w:rPr>
        <w:t>The Company will use its reasonable efforts to cause any Standard of Conduct Determination required under Section 8(b) to be made as promptly as practicable. If (i) the Person or Persons empowered or selected under Section 8 to make the Standard of Conduct Determination have not made a determination within 30 days after the later of (A) receipt by the</w:t>
      </w:r>
    </w:p>
    <w:p>
      <w:pPr>
        <w:spacing w:after="0" w:line="2" w:lineRule="exact"/>
        <w:rPr>
          <w:rFonts w:ascii="Arial" w:cs="Arial" w:eastAsia="Arial" w:hAnsi="Arial"/>
          <w:sz w:val="19"/>
          <w:szCs w:val="19"/>
          <w:color w:val="auto"/>
        </w:rPr>
      </w:pPr>
    </w:p>
    <w:p>
      <w:pPr>
        <w:ind w:right="160"/>
        <w:spacing w:after="0" w:line="281" w:lineRule="auto"/>
        <w:rPr>
          <w:rFonts w:ascii="Arial" w:cs="Arial" w:eastAsia="Arial" w:hAnsi="Arial"/>
          <w:sz w:val="19"/>
          <w:szCs w:val="19"/>
          <w:color w:val="auto"/>
        </w:rPr>
      </w:pPr>
      <w:r>
        <w:rPr>
          <w:rFonts w:ascii="Arial" w:cs="Arial" w:eastAsia="Arial" w:hAnsi="Arial"/>
          <w:sz w:val="19"/>
          <w:szCs w:val="19"/>
          <w:color w:val="auto"/>
        </w:rPr>
        <w:t>Company of written notice from Indemnitee advising the Company of the final disposition of the applicable Indemnifiable Claim (the date of such receipt being the “</w:t>
      </w:r>
      <w:r>
        <w:rPr>
          <w:rFonts w:ascii="Arial" w:cs="Arial" w:eastAsia="Arial" w:hAnsi="Arial"/>
          <w:sz w:val="19"/>
          <w:szCs w:val="19"/>
          <w:b w:val="1"/>
          <w:bCs w:val="1"/>
          <w:i w:val="1"/>
          <w:iCs w:val="1"/>
          <w:color w:val="auto"/>
        </w:rPr>
        <w:t>Notification Date</w:t>
      </w:r>
      <w:r>
        <w:rPr>
          <w:rFonts w:ascii="Arial" w:cs="Arial" w:eastAsia="Arial" w:hAnsi="Arial"/>
          <w:sz w:val="19"/>
          <w:szCs w:val="19"/>
          <w:color w:val="auto"/>
        </w:rPr>
        <w:t>”) and (B) the selection of an Independent Counsel, if such determination is</w:t>
      </w:r>
    </w:p>
    <w:p>
      <w:pPr>
        <w:spacing w:after="0" w:line="1" w:lineRule="exact"/>
        <w:rPr>
          <w:rFonts w:ascii="Arial" w:cs="Arial" w:eastAsia="Arial" w:hAnsi="Arial"/>
          <w:sz w:val="19"/>
          <w:szCs w:val="19"/>
          <w:color w:val="auto"/>
        </w:rPr>
      </w:pPr>
    </w:p>
    <w:p>
      <w:pPr>
        <w:ind w:right="460"/>
        <w:spacing w:after="0" w:line="269" w:lineRule="auto"/>
        <w:rPr>
          <w:rFonts w:ascii="Arial" w:cs="Arial" w:eastAsia="Arial" w:hAnsi="Arial"/>
          <w:sz w:val="19"/>
          <w:szCs w:val="19"/>
          <w:color w:val="auto"/>
        </w:rPr>
      </w:pPr>
      <w:r>
        <w:rPr>
          <w:rFonts w:ascii="Arial" w:cs="Arial" w:eastAsia="Arial" w:hAnsi="Arial"/>
          <w:sz w:val="20"/>
          <w:szCs w:val="20"/>
          <w:color w:val="auto"/>
        </w:rPr>
        <w:t xml:space="preserve">to be made by Independent Counsel, and (ii) Indemnitee has fulfilled his or her obligations set forth in the second sentence of Section 8(b), then Indemnitee will be deemed to have satisfied the applicable standard of conduct;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30-day period may be extended for a reasonable time, not to exceed an additional 30 days, if the Person or Persons making such determination in good faith requires such additional time for obtaining or evaluating any documentation or information relating thereto.</w:t>
      </w:r>
    </w:p>
    <w:p>
      <w:pPr>
        <w:spacing w:after="0" w:line="223" w:lineRule="exact"/>
        <w:rPr>
          <w:rFonts w:ascii="Arial" w:cs="Arial" w:eastAsia="Arial" w:hAnsi="Arial"/>
          <w:sz w:val="19"/>
          <w:szCs w:val="19"/>
          <w:color w:val="auto"/>
        </w:rPr>
      </w:pPr>
    </w:p>
    <w:p>
      <w:pPr>
        <w:ind w:right="40" w:firstLine="1305"/>
        <w:spacing w:after="0" w:line="267" w:lineRule="auto"/>
        <w:tabs>
          <w:tab w:leader="none" w:pos="2187" w:val="left"/>
        </w:tabs>
        <w:numPr>
          <w:ilvl w:val="2"/>
          <w:numId w:val="60"/>
        </w:numPr>
        <w:rPr>
          <w:rFonts w:ascii="Arial" w:cs="Arial" w:eastAsia="Arial" w:hAnsi="Arial"/>
          <w:sz w:val="20"/>
          <w:szCs w:val="20"/>
          <w:color w:val="auto"/>
        </w:rPr>
      </w:pPr>
      <w:r>
        <w:rPr>
          <w:rFonts w:ascii="Arial" w:cs="Arial" w:eastAsia="Arial" w:hAnsi="Arial"/>
          <w:sz w:val="20"/>
          <w:szCs w:val="20"/>
          <w:color w:val="auto"/>
        </w:rPr>
        <w:t>If (i) Indemnitee is entitled to indemnification hereunder against any Indemnifiable Losses pursuant to Section 8(a), (ii) no determination of whether Indemnitee has satisfied any applicable standard of conduct under Delaware law is a legally required condition precedent to indemnification of Indemnitee hereunder against any Indemnifiable Losses, or</w:t>
      </w:r>
    </w:p>
    <w:p>
      <w:pPr>
        <w:spacing w:after="0" w:line="2" w:lineRule="exact"/>
        <w:rPr>
          <w:rFonts w:ascii="Arial" w:cs="Arial" w:eastAsia="Arial" w:hAnsi="Arial"/>
          <w:sz w:val="20"/>
          <w:szCs w:val="20"/>
          <w:color w:val="auto"/>
        </w:rPr>
      </w:pPr>
    </w:p>
    <w:p>
      <w:pPr>
        <w:ind w:right="160" w:firstLine="8"/>
        <w:spacing w:after="0" w:line="285" w:lineRule="auto"/>
        <w:tabs>
          <w:tab w:leader="none" w:pos="319"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Indemnitee has been determined or deemed pursuant to Section 8(b) or (c) to have satisfied any applicable standard of conduct under Delaware law which is a legally required condition precedent to indemnification of Indemnitee hereunder against any Indemnifiable Losses, then the Company will pay to Indemnitee, within 15 calendar days after the later of (x) the Notification Date in respect of the Indemnifiable Claim or portion thereof to which such Indemnifiable Losses are related, out of which such Indemnifiable Losses arose or from which such Indemnifiable Losses resulted and (y) the earliest date on which the applicable criterion specified in clause (i), (ii) or (iii) above has been satisfied, an amount equal to the amount of such Indemnifiable Losses.</w:t>
      </w:r>
    </w:p>
    <w:p>
      <w:pPr>
        <w:spacing w:after="0" w:line="188" w:lineRule="exact"/>
        <w:rPr>
          <w:rFonts w:ascii="Arial" w:cs="Arial" w:eastAsia="Arial" w:hAnsi="Arial"/>
          <w:sz w:val="19"/>
          <w:szCs w:val="19"/>
          <w:color w:val="auto"/>
        </w:rPr>
      </w:pPr>
    </w:p>
    <w:p>
      <w:pPr>
        <w:ind w:left="1460" w:hanging="804"/>
        <w:spacing w:after="0"/>
        <w:tabs>
          <w:tab w:leader="none" w:pos="1460"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Presumption of Entitlement.</w:t>
      </w:r>
    </w:p>
    <w:p>
      <w:pPr>
        <w:spacing w:after="0" w:line="280" w:lineRule="exact"/>
        <w:rPr>
          <w:rFonts w:ascii="Arial" w:cs="Arial" w:eastAsia="Arial" w:hAnsi="Arial"/>
          <w:sz w:val="20"/>
          <w:szCs w:val="20"/>
          <w:b w:val="1"/>
          <w:bCs w:val="1"/>
          <w:color w:val="auto"/>
        </w:rPr>
      </w:pPr>
    </w:p>
    <w:p>
      <w:pPr>
        <w:ind w:firstLine="1305"/>
        <w:spacing w:after="0" w:line="268" w:lineRule="auto"/>
        <w:tabs>
          <w:tab w:leader="none" w:pos="2187" w:val="left"/>
        </w:tabs>
        <w:numPr>
          <w:ilvl w:val="2"/>
          <w:numId w:val="61"/>
        </w:numPr>
        <w:rPr>
          <w:rFonts w:ascii="Arial" w:cs="Arial" w:eastAsia="Arial" w:hAnsi="Arial"/>
          <w:sz w:val="20"/>
          <w:szCs w:val="20"/>
          <w:color w:val="auto"/>
        </w:rPr>
      </w:pPr>
      <w:r>
        <w:rPr>
          <w:rFonts w:ascii="Arial" w:cs="Arial" w:eastAsia="Arial" w:hAnsi="Arial"/>
          <w:sz w:val="20"/>
          <w:szCs w:val="20"/>
          <w:color w:val="auto"/>
        </w:rPr>
        <w:t>In making a determination of whether Indemnitee has been successful on the merits or otherwise in defense of any Indemnifiable Claim or any portion thereof or in defense of any issue or matter therein, the Company acknowledges that a resolution, disposition or outcome short of dismissal or final judgment, including outcomes that permit Indemnitee to avoid expense, delay, embarrassment, injury to reputation, distraction, disruption or uncertainty, may constitute such success. In the event that any Indemnifiable Claim or any portion thereof or issue or matter therein is resolved or disposed of in any manner other than by adverse judgment against Indemnitee (including any resolution or disposition thereof by means of settlement with or without payment of money or other consideration), it will be presumed that Indemnitee has been successful on the merits or otherwise in defense of such Indemnifiable Claim or portion thereof or issue or matter therein. The Company may overcome such presumption only by its adducing clear and convincing evidence to the contrary.</w:t>
      </w:r>
    </w:p>
    <w:p>
      <w:pPr>
        <w:spacing w:after="0" w:line="227" w:lineRule="exact"/>
        <w:rPr>
          <w:rFonts w:ascii="Arial" w:cs="Arial" w:eastAsia="Arial" w:hAnsi="Arial"/>
          <w:sz w:val="20"/>
          <w:szCs w:val="20"/>
          <w:color w:val="auto"/>
        </w:rPr>
      </w:pPr>
    </w:p>
    <w:p>
      <w:pPr>
        <w:ind w:firstLine="1305"/>
        <w:spacing w:after="0" w:line="268" w:lineRule="auto"/>
        <w:tabs>
          <w:tab w:leader="none" w:pos="2187" w:val="left"/>
        </w:tabs>
        <w:numPr>
          <w:ilvl w:val="2"/>
          <w:numId w:val="61"/>
        </w:numPr>
        <w:rPr>
          <w:rFonts w:ascii="Arial" w:cs="Arial" w:eastAsia="Arial" w:hAnsi="Arial"/>
          <w:sz w:val="20"/>
          <w:szCs w:val="20"/>
          <w:color w:val="auto"/>
        </w:rPr>
      </w:pPr>
      <w:r>
        <w:rPr>
          <w:rFonts w:ascii="Arial" w:cs="Arial" w:eastAsia="Arial" w:hAnsi="Arial"/>
          <w:sz w:val="20"/>
          <w:szCs w:val="20"/>
          <w:color w:val="auto"/>
        </w:rPr>
        <w:t>In making any Standard of Conduct Determination, the Person or Persons making such determination will presume that Indemnitee has satisfied the applicable standard of conduct, and the Company may overcome such presumption only by its adducing clear and convincing evidence to the contrary. The knowledge and/or action, or failure to act, of any other director, officer, employee, agent or representative of the Company will not be imputed to Indemnitee for purposes of any Standard of Conduct Determination. Any Standard of Conduct Determination that Indemnitee has satisfied the applicable standard of conduct will be final and binding in all respects, including with respect to any litigation or other action or proceeding initiated by Indemnitee to enforce his or her rights hereunder. Any Standard of Conduct Determination that is adverse to Indemnitee may be challenged by Indemnitee in the Court of Chancery of the State of Delaware. No determination by the Company (including by its directors or any Independent Counsel) that Indemnitee has not satisfied any applicable standard of conduct will create a presumption that Indemnitee has not met any applicable standard of conduct.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09" w:right="239" w:bottom="1440" w:gutter="0" w:footer="0" w:header="0"/>
        </w:sectPr>
      </w:pPr>
    </w:p>
    <w:bookmarkStart w:id="116" w:name="page117"/>
    <w:bookmarkEnd w:id="116"/>
    <w:p>
      <w:pPr>
        <w:ind w:right="100" w:firstLine="1305"/>
        <w:spacing w:after="0" w:line="268" w:lineRule="auto"/>
        <w:tabs>
          <w:tab w:leader="none" w:pos="2175" w:val="left"/>
        </w:tabs>
        <w:numPr>
          <w:ilvl w:val="1"/>
          <w:numId w:val="62"/>
        </w:numPr>
        <w:rPr>
          <w:rFonts w:ascii="Arial" w:cs="Arial" w:eastAsia="Arial" w:hAnsi="Arial"/>
          <w:sz w:val="20"/>
          <w:szCs w:val="20"/>
          <w:color w:val="auto"/>
        </w:rPr>
      </w:pPr>
      <w:r>
        <w:rPr>
          <w:rFonts w:ascii="Arial" w:cs="Arial" w:eastAsia="Arial" w:hAnsi="Arial"/>
          <w:sz w:val="20"/>
          <w:szCs w:val="20"/>
          <w:color w:val="auto"/>
        </w:rPr>
        <w:t>Without limiting the generality or effect of Section 9(b), (i) to the extent that any Indemnifiable Claim relates to any Person (other than the Company) referred to in clause (i) of the first sentence of the definition of “Indemnifiable Claim,” Indemnitee will be deemed to have satisfied the applicable standard of conduct if Indemnitee acted in good faith and in a manner Indemnitee reasonably believed to be in or not opposed to the interests of such Person (or the owners or beneficiaries thereof, including in the case of any employee benefit plan the participants and beneficiaries thereof) and, with respect to any criminal action or proceeding, had no reasonable cause to believe that his or her conduct was unlawful, and (ii) in all cases, any belief of Indemnitee that is based on the records or books of account of the Company, including financial statements, or on information supplied to Indemnitee by the directors or officers of the Company in the course of their duties, or on the advice of legal counsel for the Company, the Board, any committee of the Board or any director, or on information or records given or reports made to the Company, the Board, any committee of the Board or any director by an independent certified public accountant or by an appraiser or other expert selected by or on behalf of the Company, the Board, any committee of the Board or any director will be deemed to be reasonable.</w:t>
      </w:r>
    </w:p>
    <w:p>
      <w:pPr>
        <w:spacing w:after="0" w:line="203" w:lineRule="exact"/>
        <w:rPr>
          <w:rFonts w:ascii="Arial" w:cs="Arial" w:eastAsia="Arial" w:hAnsi="Arial"/>
          <w:sz w:val="20"/>
          <w:szCs w:val="20"/>
          <w:color w:val="auto"/>
        </w:rPr>
      </w:pPr>
    </w:p>
    <w:p>
      <w:pPr>
        <w:ind w:right="240" w:firstLine="656"/>
        <w:spacing w:after="0" w:line="278" w:lineRule="auto"/>
        <w:tabs>
          <w:tab w:leader="none" w:pos="1572"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Adverse Presumption. </w:t>
      </w:r>
      <w:r>
        <w:rPr>
          <w:rFonts w:ascii="Arial" w:cs="Arial" w:eastAsia="Arial" w:hAnsi="Arial"/>
          <w:sz w:val="20"/>
          <w:szCs w:val="20"/>
          <w:color w:val="auto"/>
        </w:rPr>
        <w:t>For purposes of this Agreement, the termination of any Claim by judgment, order,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settlement (whether with or without court approval) or conviction, or upon a plea of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or its equivalent, will not create a presumption that Indemnitee did not meet any applicable standard of conduct or that indemnification hereunder is otherwise not permitted.</w:t>
      </w:r>
    </w:p>
    <w:p>
      <w:pPr>
        <w:spacing w:after="0" w:line="190" w:lineRule="exact"/>
        <w:rPr>
          <w:rFonts w:ascii="Arial" w:cs="Arial" w:eastAsia="Arial" w:hAnsi="Arial"/>
          <w:sz w:val="20"/>
          <w:szCs w:val="20"/>
          <w:b w:val="1"/>
          <w:bCs w:val="1"/>
          <w:color w:val="auto"/>
        </w:rPr>
      </w:pPr>
    </w:p>
    <w:p>
      <w:pPr>
        <w:ind w:left="1580" w:hanging="924"/>
        <w:spacing w:after="0" w:line="219" w:lineRule="exact"/>
        <w:tabs>
          <w:tab w:leader="none" w:pos="1580"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Exclusivity. </w:t>
      </w:r>
      <w:r>
        <w:rPr>
          <w:rFonts w:ascii="Arial" w:cs="Arial" w:eastAsia="Arial" w:hAnsi="Arial"/>
          <w:sz w:val="19"/>
          <w:szCs w:val="19"/>
          <w:color w:val="auto"/>
        </w:rPr>
        <w:t>The rights of Indemnitee hereunder will be in addition to any other rights Indemnitee may have</w:t>
      </w:r>
    </w:p>
    <w:p>
      <w:pPr>
        <w:spacing w:after="0" w:line="62" w:lineRule="exact"/>
        <w:rPr>
          <w:rFonts w:ascii="Arial" w:cs="Arial" w:eastAsia="Arial" w:hAnsi="Arial"/>
          <w:sz w:val="19"/>
          <w:szCs w:val="19"/>
          <w:b w:val="1"/>
          <w:bCs w:val="1"/>
          <w:color w:val="auto"/>
        </w:rPr>
      </w:pPr>
    </w:p>
    <w:p>
      <w:pPr>
        <w:ind w:right="40"/>
        <w:spacing w:after="0" w:line="268" w:lineRule="auto"/>
        <w:rPr>
          <w:rFonts w:ascii="Arial" w:cs="Arial" w:eastAsia="Arial" w:hAnsi="Arial"/>
          <w:sz w:val="19"/>
          <w:szCs w:val="19"/>
          <w:b w:val="1"/>
          <w:bCs w:val="1"/>
          <w:color w:val="auto"/>
        </w:rPr>
      </w:pPr>
      <w:r>
        <w:rPr>
          <w:rFonts w:ascii="Arial" w:cs="Arial" w:eastAsia="Arial" w:hAnsi="Arial"/>
          <w:sz w:val="20"/>
          <w:szCs w:val="20"/>
          <w:color w:val="auto"/>
        </w:rPr>
        <w:t>against the Company under the Constituent Documents, or the substantive laws of the Company’s jurisdiction of incorporation, any other contract or otherwise (collectively, “</w:t>
      </w:r>
      <w:r>
        <w:rPr>
          <w:rFonts w:ascii="Arial" w:cs="Arial" w:eastAsia="Arial" w:hAnsi="Arial"/>
          <w:sz w:val="20"/>
          <w:szCs w:val="20"/>
          <w:b w:val="1"/>
          <w:bCs w:val="1"/>
          <w:i w:val="1"/>
          <w:iCs w:val="1"/>
          <w:color w:val="auto"/>
        </w:rPr>
        <w:t>Other Indemnity Provisions</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 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 The Company will not adopt any amendment to any of the Constituent Documents the effect of which would be to deny, diminish or encumber Indemnitee’s right to indemnification under this Agreement or any Other Indemnity Provision.</w:t>
      </w:r>
    </w:p>
    <w:p>
      <w:pPr>
        <w:spacing w:after="0" w:line="203" w:lineRule="exact"/>
        <w:rPr>
          <w:rFonts w:ascii="Arial" w:cs="Arial" w:eastAsia="Arial" w:hAnsi="Arial"/>
          <w:sz w:val="19"/>
          <w:szCs w:val="19"/>
          <w:b w:val="1"/>
          <w:bCs w:val="1"/>
          <w:color w:val="auto"/>
        </w:rPr>
      </w:pPr>
    </w:p>
    <w:p>
      <w:pPr>
        <w:ind w:left="1580" w:hanging="924"/>
        <w:spacing w:after="0"/>
        <w:tabs>
          <w:tab w:leader="none" w:pos="158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Liability Insurance and Funding.</w:t>
      </w:r>
    </w:p>
    <w:p>
      <w:pPr>
        <w:spacing w:after="0" w:line="280" w:lineRule="exact"/>
        <w:rPr>
          <w:rFonts w:ascii="Arial" w:cs="Arial" w:eastAsia="Arial" w:hAnsi="Arial"/>
          <w:sz w:val="20"/>
          <w:szCs w:val="20"/>
          <w:b w:val="1"/>
          <w:bCs w:val="1"/>
          <w:color w:val="auto"/>
        </w:rPr>
      </w:pPr>
    </w:p>
    <w:p>
      <w:pPr>
        <w:ind w:right="20" w:firstLine="1305"/>
        <w:spacing w:after="0" w:line="285" w:lineRule="auto"/>
        <w:tabs>
          <w:tab w:leader="none" w:pos="2187"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Company will, from time to time, make the good faith determination whether or not it is practicable for the Company to obtain and maintain a policy or policies of insurance with reputable insurance companies providing the officers and directors of the Company with coverage for Expenses from wrongful acts, or to ensure the Company’s performance of its indemnification obligations under this Agreement. Among other considerations, the Company will weigh the costs of obtaining such insurance coverage against the protection afforded by such coverage. All decisions as to whether and to what extent the Company maintains directors’ and officers’ liability insurance will be made by the Board in its sole and absolute discretion.</w:t>
      </w:r>
    </w:p>
    <w:p>
      <w:pPr>
        <w:spacing w:after="0" w:line="212" w:lineRule="exact"/>
        <w:rPr>
          <w:rFonts w:ascii="Arial" w:cs="Arial" w:eastAsia="Arial" w:hAnsi="Arial"/>
          <w:sz w:val="19"/>
          <w:szCs w:val="19"/>
          <w:color w:val="auto"/>
        </w:rPr>
      </w:pPr>
    </w:p>
    <w:p>
      <w:pPr>
        <w:ind w:right="40" w:firstLine="1305"/>
        <w:spacing w:after="0" w:line="269" w:lineRule="auto"/>
        <w:tabs>
          <w:tab w:leader="none" w:pos="2187"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Company will provide Indemnitee with a copy of all directors’ and officers’ liability insurance applications, binders, policies, declarations, endorsements and other related materials, and will provide Indemnitee with a reasonable opportunity to review and comment on the same. In all policies of directors’ and officers’ liability insurance, Indemnitee will be named as an insured in such a manner as to provide Indemnitee the same rights and benefits as are accorded to the most favorably insured of the Company’s directors, if Indemnitee is a director; or as are accorded to the most favorably insured of the Company’s officers, if Indemnitee is not a director of the Company but is an officer; or as are accorded to the most favorably insured of the Company’s key employees, if Indemnitee is not an officer or director but is a key employee.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09" w:right="259" w:bottom="1440" w:gutter="0" w:footer="0" w:header="0"/>
        </w:sectPr>
      </w:pPr>
    </w:p>
    <w:bookmarkStart w:id="117" w:name="page118"/>
    <w:bookmarkEnd w:id="117"/>
    <w:p>
      <w:pPr>
        <w:ind w:right="60" w:firstLine="1305"/>
        <w:spacing w:after="0" w:line="281" w:lineRule="auto"/>
        <w:tabs>
          <w:tab w:leader="none" w:pos="2175" w:val="left"/>
        </w:tabs>
        <w:numPr>
          <w:ilvl w:val="1"/>
          <w:numId w:val="64"/>
        </w:numPr>
        <w:rPr>
          <w:rFonts w:ascii="Arial" w:cs="Arial" w:eastAsia="Arial" w:hAnsi="Arial"/>
          <w:sz w:val="19"/>
          <w:szCs w:val="19"/>
          <w:color w:val="auto"/>
        </w:rPr>
      </w:pPr>
      <w:r>
        <w:rPr>
          <w:rFonts w:ascii="Arial" w:cs="Arial" w:eastAsia="Arial" w:hAnsi="Arial"/>
          <w:sz w:val="19"/>
          <w:szCs w:val="19"/>
          <w:color w:val="auto"/>
        </w:rPr>
        <w:t>At or prior to any Change in Control, the Company will obtain a prepaid, fully earned and non-cancellable “tail” directors’ and officers’ liability insurance policy in respect of acts or omissions occurring at or prior to the Change in Control with a claims period of six (6) years from the Change in Control, covering Indemnitee, to the extent that Indemnitee is covered by directors’ and officers’ liability insurance immediately prior to the Change in Control, with the coverage and amounts and</w:t>
      </w:r>
    </w:p>
    <w:p>
      <w:pPr>
        <w:spacing w:after="0" w:line="3" w:lineRule="exact"/>
        <w:rPr>
          <w:rFonts w:ascii="Arial" w:cs="Arial" w:eastAsia="Arial" w:hAnsi="Arial"/>
          <w:sz w:val="19"/>
          <w:szCs w:val="19"/>
          <w:color w:val="auto"/>
        </w:rPr>
      </w:pPr>
    </w:p>
    <w:p>
      <w:pPr>
        <w:ind w:right="20"/>
        <w:spacing w:after="0" w:line="269" w:lineRule="auto"/>
        <w:rPr>
          <w:rFonts w:ascii="Arial" w:cs="Arial" w:eastAsia="Arial" w:hAnsi="Arial"/>
          <w:sz w:val="19"/>
          <w:szCs w:val="19"/>
          <w:color w:val="auto"/>
        </w:rPr>
      </w:pPr>
      <w:r>
        <w:rPr>
          <w:rFonts w:ascii="Arial" w:cs="Arial" w:eastAsia="Arial" w:hAnsi="Arial"/>
          <w:sz w:val="20"/>
          <w:szCs w:val="20"/>
          <w:color w:val="auto"/>
        </w:rPr>
        <w:t xml:space="preserve">containing terms and conditions that are not less advantageous to the directors and officers of the Company and its subsidiaries than those of the D&amp;O Insurance in effect immediately prior to such Change in Control;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aggregate premium therefor is not in excess of 200% of the annual premium then paid by the Company for coverage for its then-current policy year for such insurance, and if the premium therefor would be in excess of such amount, the Company will purchase such “tail” policy with the greatest coverage available as to matters occurring prior to the Change in Control as is available for a cost not exceeding that premium amount. Any such tail policy may not be amended, modified, cancelled or revoked after the Change in Control by the Company or any successor thereto in any manner that is adverse to Indemnitee.</w:t>
      </w:r>
    </w:p>
    <w:p>
      <w:pPr>
        <w:spacing w:after="0" w:line="221" w:lineRule="exact"/>
        <w:rPr>
          <w:rFonts w:ascii="Arial" w:cs="Arial" w:eastAsia="Arial" w:hAnsi="Arial"/>
          <w:sz w:val="19"/>
          <w:szCs w:val="19"/>
          <w:color w:val="auto"/>
        </w:rPr>
      </w:pPr>
    </w:p>
    <w:p>
      <w:pPr>
        <w:ind w:right="240" w:firstLine="1305"/>
        <w:spacing w:after="0" w:line="271" w:lineRule="auto"/>
        <w:tabs>
          <w:tab w:leader="none" w:pos="2187"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Company may, but will not be required to, create a trust fund, grant a security interest or use other means, including a letter of credit, to ensure the payment of such amounts as may be necessary to satisfy its obligations to indemnify and advance expenses pursuant to this Agreement.</w:t>
      </w:r>
    </w:p>
    <w:p>
      <w:pPr>
        <w:spacing w:after="0" w:line="196" w:lineRule="exact"/>
        <w:rPr>
          <w:rFonts w:ascii="Arial" w:cs="Arial" w:eastAsia="Arial" w:hAnsi="Arial"/>
          <w:sz w:val="20"/>
          <w:szCs w:val="20"/>
          <w:color w:val="auto"/>
        </w:rPr>
      </w:pPr>
    </w:p>
    <w:p>
      <w:pPr>
        <w:ind w:right="220" w:firstLine="656"/>
        <w:spacing w:after="0" w:line="275" w:lineRule="auto"/>
        <w:tabs>
          <w:tab w:leader="none" w:pos="1572"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Subrogation. </w:t>
      </w:r>
      <w:r>
        <w:rPr>
          <w:rFonts w:ascii="Arial" w:cs="Arial" w:eastAsia="Arial" w:hAnsi="Arial"/>
          <w:sz w:val="20"/>
          <w:szCs w:val="20"/>
          <w:color w:val="auto"/>
        </w:rPr>
        <w:t>In the event of payment under this Agreement, the Company will be subrogated to the extent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payment to all of the related rights of recovery of Indemnitee against other Persons (other than Indemnitee’s successors), including any Person referred to in clause (i) of the definition of “Indemnifiable Claim” in Section 1(i). Indemnitee will execute all papers reasonably required to evidence such rights (all of Indemnitee’s reasonable Expenses, including attorneys’ fees and charges, related thereto to be reimbursed by or, at the option of Indemnitee, advanced by the Company).</w:t>
      </w:r>
    </w:p>
    <w:p>
      <w:pPr>
        <w:spacing w:after="0" w:line="195" w:lineRule="exact"/>
        <w:rPr>
          <w:rFonts w:ascii="Arial" w:cs="Arial" w:eastAsia="Arial" w:hAnsi="Arial"/>
          <w:sz w:val="20"/>
          <w:szCs w:val="20"/>
          <w:b w:val="1"/>
          <w:bCs w:val="1"/>
          <w:color w:val="auto"/>
        </w:rPr>
      </w:pPr>
    </w:p>
    <w:p>
      <w:pPr>
        <w:ind w:right="140" w:firstLine="656"/>
        <w:spacing w:after="0" w:line="274" w:lineRule="auto"/>
        <w:tabs>
          <w:tab w:leader="none" w:pos="1572"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Duplication of Payments. </w:t>
      </w:r>
      <w:r>
        <w:rPr>
          <w:rFonts w:ascii="Arial" w:cs="Arial" w:eastAsia="Arial" w:hAnsi="Arial"/>
          <w:sz w:val="20"/>
          <w:szCs w:val="20"/>
          <w:color w:val="auto"/>
        </w:rPr>
        <w:t>The Company will not be liable under this Agreement to make any payment to</w:t>
      </w:r>
      <w:r>
        <w:rPr>
          <w:rFonts w:ascii="Arial" w:cs="Arial" w:eastAsia="Arial" w:hAnsi="Arial"/>
          <w:sz w:val="20"/>
          <w:szCs w:val="20"/>
          <w:b w:val="1"/>
          <w:bCs w:val="1"/>
          <w:color w:val="auto"/>
        </w:rPr>
        <w:t xml:space="preserve"> </w:t>
      </w:r>
      <w:r>
        <w:rPr>
          <w:rFonts w:ascii="Arial" w:cs="Arial" w:eastAsia="Arial" w:hAnsi="Arial"/>
          <w:sz w:val="20"/>
          <w:szCs w:val="20"/>
          <w:color w:val="auto"/>
        </w:rPr>
        <w:t>Indemnitee in respect of any Indemnifiable Losses to the extent Indemnitee has otherwise actually received and is entitled to retain payment (net of any Expenses incurred in connection therewith and any repayment by Indemnitee made with respect thereto) under any insurance policy, the Constituent Documents and Other Indemnity Provisions or otherwise (including from any Person referred to in clause (i) of the definition of “Indemnifiable Claim” in Section 1(i)) in respect of such Indemnifiable Losses otherwise indemnifiable hereunder.</w:t>
      </w:r>
    </w:p>
    <w:p>
      <w:pPr>
        <w:spacing w:after="0" w:line="193" w:lineRule="exact"/>
        <w:rPr>
          <w:rFonts w:ascii="Arial" w:cs="Arial" w:eastAsia="Arial" w:hAnsi="Arial"/>
          <w:sz w:val="20"/>
          <w:szCs w:val="20"/>
          <w:b w:val="1"/>
          <w:bCs w:val="1"/>
          <w:color w:val="auto"/>
        </w:rPr>
      </w:pPr>
    </w:p>
    <w:p>
      <w:pPr>
        <w:ind w:firstLine="656"/>
        <w:spacing w:after="0" w:line="284" w:lineRule="auto"/>
        <w:tabs>
          <w:tab w:leader="none" w:pos="157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Defense of Claims. </w:t>
      </w:r>
      <w:r>
        <w:rPr>
          <w:rFonts w:ascii="Arial" w:cs="Arial" w:eastAsia="Arial" w:hAnsi="Arial"/>
          <w:sz w:val="19"/>
          <w:szCs w:val="19"/>
          <w:color w:val="auto"/>
        </w:rPr>
        <w:t>Except for any Indemnifiable Claim asserted by or in the right of the Company (as to which</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 will be entitled to exclusively control the defense), the Company will be entitled to participate in the defense of any Indemnifiable Claim or to assume the defense thereof, with counsel reasonably satisfactory to Indemnitee. The Company’s participation in the defense of any Indemnifiable Claim of which the Company has not assumed the defense will not in any manner affect the rights of Indemnitee under this Agreement, including Indemnitee’s right to control the defense of such Indemnifiable Claims. With respect to the period (if any) commencing at the time at which the Company notifies Indemnitee that the Company has assumed the defense of any Indemnifiable Claim and continuing for so long as the Company is using its reasonable best efforts to provide an effective defense of such Indemnifiable Claim, the Company will have the right to control the defense of such Indemnifiable Claim and will have no obligation under this Agreement in respect of any attorneys’ or experts’ fees or expenses or any other costs or expenses paid or incurred by Indemnitee in connection with defending such Indemnifiable Claim (other than such costs and expenses paid or incurred by Indemnitee in connection with any cooperation in the Company’s defense of such</w:t>
      </w:r>
    </w:p>
    <w:p>
      <w:pPr>
        <w:spacing w:after="0" w:line="2" w:lineRule="exact"/>
        <w:rPr>
          <w:rFonts w:ascii="Arial" w:cs="Arial" w:eastAsia="Arial" w:hAnsi="Arial"/>
          <w:sz w:val="19"/>
          <w:szCs w:val="19"/>
          <w:b w:val="1"/>
          <w:bCs w:val="1"/>
          <w:color w:val="auto"/>
        </w:rPr>
      </w:pPr>
    </w:p>
    <w:p>
      <w:pPr>
        <w:ind w:right="40"/>
        <w:spacing w:after="0" w:line="269" w:lineRule="auto"/>
        <w:rPr>
          <w:rFonts w:ascii="Arial" w:cs="Arial" w:eastAsia="Arial" w:hAnsi="Arial"/>
          <w:sz w:val="19"/>
          <w:szCs w:val="19"/>
          <w:b w:val="1"/>
          <w:bCs w:val="1"/>
          <w:color w:val="auto"/>
        </w:rPr>
      </w:pPr>
      <w:r>
        <w:rPr>
          <w:rFonts w:ascii="Arial" w:cs="Arial" w:eastAsia="Arial" w:hAnsi="Arial"/>
          <w:sz w:val="20"/>
          <w:szCs w:val="20"/>
          <w:color w:val="auto"/>
        </w:rPr>
        <w:t xml:space="preserve">Indemnifiable Claim or other action undertaken by Indemnitee at the request of the Company or with the consent of the Company (which consent will not be unreasonably withheld, conditioned or 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Indemnitee believes, after consultation with counsel selected by Indemnitee, that (a) the use of counsel chosen by the Company to represent Indemnitee would present such counsel with a conflict, (b) the named parties in any such Indemnifiable Claim (including any impleaded parties) include both the Company and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09" w:right="259" w:bottom="1440" w:gutter="0" w:footer="0" w:header="0"/>
        </w:sectPr>
      </w:pPr>
    </w:p>
    <w:bookmarkStart w:id="118" w:name="page119"/>
    <w:bookmarkEnd w:id="118"/>
    <w:p>
      <w:pPr>
        <w:ind w:right="20"/>
        <w:spacing w:after="0" w:line="268" w:lineRule="auto"/>
        <w:rPr>
          <w:sz w:val="20"/>
          <w:szCs w:val="20"/>
          <w:color w:val="auto"/>
        </w:rPr>
      </w:pPr>
      <w:r>
        <w:rPr>
          <w:rFonts w:ascii="Arial" w:cs="Arial" w:eastAsia="Arial" w:hAnsi="Arial"/>
          <w:sz w:val="20"/>
          <w:szCs w:val="20"/>
          <w:color w:val="auto"/>
        </w:rPr>
        <w:t xml:space="preserve">Indemnitee and Indemnitee concludes that there may be one or more legal defenses available to him or her that are different from or in addition to those available to the Company, or (c) any such representation by such counsel chosen by the Company would be precluded under the applicable standards of professional conduct then prevailing, then Indemnitee will be entitled to retain and use the services of separate counsel (but not more than one law firm plus, if applicable, local counsel in respect of any particular Indemnifiable Claim) at the Company’s expense. Nothing in this Agreement will limit Indemnitee’s right to retain or use his or her own counsel at his or her own expense in connection with any Indemnifiable Claim;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all events Indemnitee will not unreasonably interfere with the conduct of the defense by the Company of any Indemnifiable Claim that the Company has assumed and of which the Company is using its reasonable best efforts to provide an effective defense. The Company will not be liable to Indemnitee under this Agreement for any amounts paid in settlement of any threatened or pending Indemnifiable Claim effected without the Company’s prior written consent. The Company will not, without the prior written consent of Indemnitee, effect any settlement of any threatened or pending Indemnifiable Claim to which Indemnitee is, or could have been, a party unless such settlement solely involves the payment of money and includes a complete and unconditional release of Indemnitee from all liability on any claims that are the subject matter of such Indemnifiable Claim. Neither the Company nor Indemnitee will unreasonably withhold, condition or delay its consent to any proposed settlement;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Indemnitee may withhold consent to any settlement that does not provide a complete and unconditional release of Indemnitee.</w:t>
      </w:r>
    </w:p>
    <w:p>
      <w:pPr>
        <w:spacing w:after="0" w:line="202" w:lineRule="exact"/>
        <w:rPr>
          <w:sz w:val="20"/>
          <w:szCs w:val="20"/>
          <w:color w:val="auto"/>
        </w:rPr>
      </w:pPr>
    </w:p>
    <w:p>
      <w:pPr>
        <w:ind w:left="1580" w:hanging="924"/>
        <w:spacing w:after="0"/>
        <w:tabs>
          <w:tab w:leader="none" w:pos="158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Successors and Binding Agreement.</w:t>
      </w:r>
    </w:p>
    <w:p>
      <w:pPr>
        <w:spacing w:after="0" w:line="280" w:lineRule="exact"/>
        <w:rPr>
          <w:rFonts w:ascii="Arial" w:cs="Arial" w:eastAsia="Arial" w:hAnsi="Arial"/>
          <w:sz w:val="20"/>
          <w:szCs w:val="20"/>
          <w:b w:val="1"/>
          <w:bCs w:val="1"/>
          <w:color w:val="auto"/>
        </w:rPr>
      </w:pPr>
    </w:p>
    <w:p>
      <w:pPr>
        <w:ind w:firstLine="1305"/>
        <w:spacing w:after="0" w:line="281" w:lineRule="auto"/>
        <w:tabs>
          <w:tab w:leader="none" w:pos="2187"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Company will require any successor (whether direct or indirect, by purchase, merger, consolidation, reorganization or otherwise) to all or substantially all of the business or assets of the Company, by agreement in form and substance satisfactory to Indemnitee and his or her counsel,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any Person</w:t>
      </w:r>
    </w:p>
    <w:p>
      <w:pPr>
        <w:spacing w:after="0" w:line="3" w:lineRule="exact"/>
        <w:rPr>
          <w:rFonts w:ascii="Arial" w:cs="Arial" w:eastAsia="Arial" w:hAnsi="Arial"/>
          <w:sz w:val="19"/>
          <w:szCs w:val="19"/>
          <w:color w:val="auto"/>
        </w:rPr>
      </w:pPr>
    </w:p>
    <w:p>
      <w:pPr>
        <w:ind w:right="440"/>
        <w:spacing w:after="0" w:line="271" w:lineRule="auto"/>
        <w:rPr>
          <w:rFonts w:ascii="Arial" w:cs="Arial" w:eastAsia="Arial" w:hAnsi="Arial"/>
          <w:sz w:val="19"/>
          <w:szCs w:val="19"/>
          <w:color w:val="auto"/>
        </w:rPr>
      </w:pPr>
      <w:r>
        <w:rPr>
          <w:rFonts w:ascii="Arial" w:cs="Arial" w:eastAsia="Arial" w:hAnsi="Arial"/>
          <w:sz w:val="20"/>
          <w:szCs w:val="20"/>
          <w:color w:val="auto"/>
        </w:rPr>
        <w:t>acquiring directly or indirectly all or substantially all of the business or assets of the Company whether by purchase, merger, consolidation, reorganization or otherwise (and such successor will thereafter be deemed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for purposes of this Agreement), but will not otherwise be assignable or delegatable by the Company.</w:t>
      </w:r>
    </w:p>
    <w:p>
      <w:pPr>
        <w:spacing w:after="0" w:line="220" w:lineRule="exact"/>
        <w:rPr>
          <w:rFonts w:ascii="Arial" w:cs="Arial" w:eastAsia="Arial" w:hAnsi="Arial"/>
          <w:sz w:val="19"/>
          <w:szCs w:val="19"/>
          <w:color w:val="auto"/>
        </w:rPr>
      </w:pPr>
    </w:p>
    <w:p>
      <w:pPr>
        <w:ind w:right="860" w:firstLine="1305"/>
        <w:spacing w:after="0" w:line="275" w:lineRule="auto"/>
        <w:tabs>
          <w:tab w:leader="none" w:pos="2187"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This Agreement will inure to the benefit of and be enforceable by Indemnitee’s personal or legal representatives, executors, administrators, heirs, distributees, legatees and other successors.</w:t>
      </w:r>
    </w:p>
    <w:p>
      <w:pPr>
        <w:spacing w:after="0" w:line="215" w:lineRule="exact"/>
        <w:rPr>
          <w:rFonts w:ascii="Arial" w:cs="Arial" w:eastAsia="Arial" w:hAnsi="Arial"/>
          <w:sz w:val="20"/>
          <w:szCs w:val="20"/>
          <w:color w:val="auto"/>
        </w:rPr>
      </w:pPr>
    </w:p>
    <w:p>
      <w:pPr>
        <w:ind w:right="200" w:firstLine="1305"/>
        <w:spacing w:after="0" w:line="269" w:lineRule="auto"/>
        <w:tabs>
          <w:tab w:leader="none" w:pos="2175"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This Agreement is personal in nature and neither of the parties hereto will, without the consent of the other, assign or delegate this Agreement or any rights or obligations hereunder except as expressly provided in Sections 16(a) and 16(b). Without limiting the generality or effect of the foregoing, Indemnitee’s right to receive payments hereunder will not be assignable, whether by pledge, creation of a security interest or otherwise, other than by a transfer by Indemnitee’s will or by the laws of descent and distribution, and, in the event of any attempted assignment or transfer contrary to this Section 16(c), the Company will have no liability to pay any amount so attempted to be assigned or transferred.</w:t>
      </w:r>
    </w:p>
    <w:p>
      <w:pPr>
        <w:spacing w:after="0" w:line="222" w:lineRule="exact"/>
        <w:rPr>
          <w:rFonts w:ascii="Arial" w:cs="Arial" w:eastAsia="Arial" w:hAnsi="Arial"/>
          <w:sz w:val="20"/>
          <w:szCs w:val="20"/>
          <w:color w:val="auto"/>
        </w:rPr>
      </w:pPr>
    </w:p>
    <w:p>
      <w:pPr>
        <w:ind w:right="480" w:firstLine="1305"/>
        <w:spacing w:after="0" w:line="275" w:lineRule="auto"/>
        <w:tabs>
          <w:tab w:leader="none" w:pos="2187" w:val="left"/>
        </w:tabs>
        <w:numPr>
          <w:ilvl w:val="1"/>
          <w:numId w:val="66"/>
        </w:numPr>
        <w:rPr>
          <w:rFonts w:ascii="Arial" w:cs="Arial" w:eastAsia="Arial" w:hAnsi="Arial"/>
          <w:sz w:val="20"/>
          <w:szCs w:val="20"/>
          <w:color w:val="auto"/>
        </w:rPr>
      </w:pPr>
      <w:r>
        <w:rPr>
          <w:rFonts w:ascii="Arial" w:cs="Arial" w:eastAsia="Arial" w:hAnsi="Arial"/>
          <w:sz w:val="20"/>
          <w:szCs w:val="20"/>
          <w:color w:val="auto"/>
        </w:rPr>
        <w:t>Indemnitee hereby agrees to serve or continue to serve as a director of the Company, for so long as Indemnitee is duly elected or appointed or until Indemnitee tenders his or her resignation or is removed.</w:t>
      </w:r>
    </w:p>
    <w:p>
      <w:pPr>
        <w:spacing w:after="0" w:line="191" w:lineRule="exact"/>
        <w:rPr>
          <w:rFonts w:ascii="Arial" w:cs="Arial" w:eastAsia="Arial" w:hAnsi="Arial"/>
          <w:sz w:val="20"/>
          <w:szCs w:val="20"/>
          <w:color w:val="auto"/>
        </w:rPr>
      </w:pPr>
    </w:p>
    <w:p>
      <w:pPr>
        <w:ind w:right="240" w:firstLine="656"/>
        <w:spacing w:after="0" w:line="284" w:lineRule="auto"/>
        <w:tabs>
          <w:tab w:leader="none" w:pos="1572"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For all purposes of this Agreement, all communications, including notices, consents, requests or</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required or permitted to be given hereunder will be in writing and will be deemed to have been duly given when hand delivered or dispatched by electronic facsimile (with receipt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08" w:right="259" w:bottom="1440" w:gutter="0" w:footer="0" w:header="0"/>
        </w:sectPr>
      </w:pPr>
    </w:p>
    <w:bookmarkStart w:id="119" w:name="page120"/>
    <w:bookmarkEnd w:id="119"/>
    <w:p>
      <w:pPr>
        <w:ind w:right="340"/>
        <w:spacing w:after="0" w:line="251" w:lineRule="exact"/>
        <w:rPr>
          <w:sz w:val="20"/>
          <w:szCs w:val="20"/>
          <w:color w:val="auto"/>
        </w:rPr>
      </w:pPr>
      <w:r>
        <w:rPr>
          <w:rFonts w:ascii="Arial" w:cs="Arial" w:eastAsia="Arial" w:hAnsi="Arial"/>
          <w:sz w:val="20"/>
          <w:szCs w:val="20"/>
          <w:color w:val="auto"/>
        </w:rPr>
        <w:t>thereof orally confirmed), or five business days after having been mailed by United States registered or certified mail, return receipt requested, postage prepaid or one business day after having been sent for next</w:t>
      </w:r>
      <w:r>
        <w:rPr>
          <w:rFonts w:ascii="MS PGothic" w:cs="MS PGothic" w:eastAsia="MS PGothic" w:hAnsi="MS PGothic"/>
          <w:sz w:val="20"/>
          <w:szCs w:val="20"/>
          <w:color w:val="auto"/>
        </w:rPr>
        <w:t>‑</w:t>
      </w:r>
      <w:r>
        <w:rPr>
          <w:rFonts w:ascii="Arial" w:cs="Arial" w:eastAsia="Arial" w:hAnsi="Arial"/>
          <w:sz w:val="20"/>
          <w:szCs w:val="20"/>
          <w:color w:val="auto"/>
        </w:rPr>
        <w:t>day delivery by a nationally recognized overnight courier service, addressed to the Company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ABM Industries Incorporated</w:t>
      </w:r>
    </w:p>
    <w:p>
      <w:pPr>
        <w:ind w:left="1960"/>
        <w:spacing w:after="0" w:line="193" w:lineRule="auto"/>
        <w:rPr>
          <w:sz w:val="20"/>
          <w:szCs w:val="20"/>
          <w:color w:val="auto"/>
        </w:rPr>
      </w:pPr>
      <w:r>
        <w:rPr>
          <w:rFonts w:ascii="Arial" w:cs="Arial" w:eastAsia="Arial" w:hAnsi="Arial"/>
          <w:sz w:val="20"/>
          <w:szCs w:val="20"/>
          <w:color w:val="auto"/>
        </w:rPr>
        <w:t>One Liberty Plaza,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New York, New York 10006</w:t>
      </w:r>
    </w:p>
    <w:p>
      <w:pPr>
        <w:ind w:left="1960"/>
        <w:spacing w:after="0"/>
        <w:rPr>
          <w:sz w:val="20"/>
          <w:szCs w:val="20"/>
          <w:color w:val="auto"/>
        </w:rPr>
      </w:pPr>
      <w:r>
        <w:rPr>
          <w:rFonts w:ascii="Arial" w:cs="Arial" w:eastAsia="Arial" w:hAnsi="Arial"/>
          <w:sz w:val="20"/>
          <w:szCs w:val="20"/>
          <w:color w:val="auto"/>
        </w:rPr>
        <w:t>Attn: General Counsel</w:t>
      </w:r>
    </w:p>
    <w:p>
      <w:pPr>
        <w:ind w:left="1960"/>
        <w:spacing w:after="0"/>
        <w:rPr>
          <w:sz w:val="20"/>
          <w:szCs w:val="20"/>
          <w:color w:val="auto"/>
        </w:rPr>
      </w:pPr>
      <w:r>
        <w:rPr>
          <w:rFonts w:ascii="Arial" w:cs="Arial" w:eastAsia="Arial" w:hAnsi="Arial"/>
          <w:sz w:val="20"/>
          <w:szCs w:val="20"/>
          <w:color w:val="auto"/>
        </w:rPr>
        <w:t>Fax: 1-866-787-7495</w:t>
      </w:r>
    </w:p>
    <w:p>
      <w:pPr>
        <w:spacing w:after="0" w:line="229"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color w:val="auto"/>
        </w:rPr>
        <w:t>and to Indemnitee at the applicable address shown on the signature page hereto. Notices of changes of address will be effective when given in accordance with this Section 17.</w:t>
      </w:r>
    </w:p>
    <w:p>
      <w:pPr>
        <w:spacing w:after="0" w:line="205" w:lineRule="exact"/>
        <w:rPr>
          <w:sz w:val="20"/>
          <w:szCs w:val="20"/>
          <w:color w:val="auto"/>
        </w:rPr>
      </w:pPr>
    </w:p>
    <w:p>
      <w:pPr>
        <w:ind w:firstLine="656"/>
        <w:spacing w:after="0" w:line="293" w:lineRule="auto"/>
        <w:tabs>
          <w:tab w:leader="none" w:pos="1572"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interpretation, construction and performance of this Agreement will be governed</w:t>
      </w:r>
      <w:r>
        <w:rPr>
          <w:rFonts w:ascii="Arial" w:cs="Arial" w:eastAsia="Arial" w:hAnsi="Arial"/>
          <w:sz w:val="19"/>
          <w:szCs w:val="19"/>
          <w:b w:val="1"/>
          <w:bCs w:val="1"/>
          <w:color w:val="auto"/>
        </w:rPr>
        <w:t xml:space="preserve"> </w:t>
      </w:r>
      <w:r>
        <w:rPr>
          <w:rFonts w:ascii="Arial" w:cs="Arial" w:eastAsia="Arial" w:hAnsi="Arial"/>
          <w:sz w:val="19"/>
          <w:szCs w:val="19"/>
          <w:color w:val="auto"/>
        </w:rPr>
        <w:t>by and construed in accordance with the substantive laws of the State of Delaware, without giving effect to the principles of conflict of laws of such State. The Company and Indemnitee each hereby irrevocably consent to the jurisdiction of the Chancery Court of the State of Delaware for all purposes in connection with any action or proceeding which arises out of or relates to this Agreement and agree that any action instituted under this Agreement will be brought only in the Chancery Court of the State of Delaware.</w:t>
      </w:r>
    </w:p>
    <w:p>
      <w:pPr>
        <w:spacing w:after="0" w:line="178" w:lineRule="exact"/>
        <w:rPr>
          <w:rFonts w:ascii="Arial" w:cs="Arial" w:eastAsia="Arial" w:hAnsi="Arial"/>
          <w:sz w:val="19"/>
          <w:szCs w:val="19"/>
          <w:b w:val="1"/>
          <w:bCs w:val="1"/>
          <w:color w:val="auto"/>
        </w:rPr>
      </w:pPr>
    </w:p>
    <w:p>
      <w:pPr>
        <w:ind w:right="20" w:firstLine="656"/>
        <w:spacing w:after="0" w:line="271" w:lineRule="auto"/>
        <w:tabs>
          <w:tab w:leader="none" w:pos="1572"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Validity. </w:t>
      </w:r>
      <w:r>
        <w:rPr>
          <w:rFonts w:ascii="Arial" w:cs="Arial" w:eastAsia="Arial" w:hAnsi="Arial"/>
          <w:sz w:val="20"/>
          <w:szCs w:val="20"/>
          <w:color w:val="auto"/>
        </w:rPr>
        <w:t>If any provision of this Agreement or the application of any provision hereof to any Person or</w:t>
      </w:r>
      <w:r>
        <w:rPr>
          <w:rFonts w:ascii="Arial" w:cs="Arial" w:eastAsia="Arial" w:hAnsi="Arial"/>
          <w:sz w:val="20"/>
          <w:szCs w:val="20"/>
          <w:b w:val="1"/>
          <w:bCs w:val="1"/>
          <w:color w:val="auto"/>
        </w:rPr>
        <w:t xml:space="preserve"> </w:t>
      </w:r>
      <w:r>
        <w:rPr>
          <w:rFonts w:ascii="Arial" w:cs="Arial" w:eastAsia="Arial" w:hAnsi="Arial"/>
          <w:sz w:val="20"/>
          <w:szCs w:val="20"/>
          <w:color w:val="auto"/>
        </w:rPr>
        <w:t>circumstance is held invalid, unenforceable or otherwise illegal, the remainder of this Agreement and the application of such provision to any other Person or circumstance will not be affected, and the provision so held to be invalid, unenforceable or otherwise illegal will be reformed to the extent, and only to the extent, necessary to make it enforceable, valid or legal. In the event that any court or other adjudicative body declines to reform any provision of this Agreement held to be invalid, unenforceable or otherwise illegal as contemplated by the immediately preceding sentence, the parties thereto will take all such action as may be necessary or appropriate to replace the provision so held to be invalid, unenforceable or otherwise illegal with one or more alternative provisions that effectuate the purpose and intent of the original provisions of this Agreement as fully as possible without being invalid, unenforceable or otherwise illegal. This Agreement will replace and supersede any indemnification agreement in effect between Indemnitee and the Company immediately prior to the execution and delivery of this Agreement by Indemnitee and the Company.</w:t>
      </w:r>
    </w:p>
    <w:p>
      <w:pPr>
        <w:spacing w:after="0" w:line="195" w:lineRule="exact"/>
        <w:rPr>
          <w:rFonts w:ascii="Arial" w:cs="Arial" w:eastAsia="Arial" w:hAnsi="Arial"/>
          <w:sz w:val="20"/>
          <w:szCs w:val="20"/>
          <w:b w:val="1"/>
          <w:bCs w:val="1"/>
          <w:color w:val="auto"/>
        </w:rPr>
      </w:pPr>
    </w:p>
    <w:p>
      <w:pPr>
        <w:ind w:right="160" w:firstLine="656"/>
        <w:spacing w:after="0" w:line="275" w:lineRule="auto"/>
        <w:tabs>
          <w:tab w:leader="none" w:pos="1572"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Specific Performance</w:t>
      </w:r>
      <w:r>
        <w:rPr>
          <w:rFonts w:ascii="Arial" w:cs="Arial" w:eastAsia="Arial" w:hAnsi="Arial"/>
          <w:sz w:val="20"/>
          <w:szCs w:val="20"/>
          <w:color w:val="auto"/>
        </w:rPr>
        <w:t>. The parties recognize that if any provision of this Agreement is violated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Indemnitee may be without an adequate remedy at law. Accordingly, in the event of any such violation, Indemnitee will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95" w:lineRule="exact"/>
        <w:rPr>
          <w:rFonts w:ascii="Arial" w:cs="Arial" w:eastAsia="Arial" w:hAnsi="Arial"/>
          <w:sz w:val="20"/>
          <w:szCs w:val="20"/>
          <w:b w:val="1"/>
          <w:bCs w:val="1"/>
          <w:color w:val="auto"/>
        </w:rPr>
      </w:pPr>
    </w:p>
    <w:p>
      <w:pPr>
        <w:ind w:right="40" w:firstLine="656"/>
        <w:spacing w:after="0" w:line="290" w:lineRule="auto"/>
        <w:tabs>
          <w:tab w:leader="none" w:pos="1572"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Period of Limitation. </w:t>
      </w:r>
      <w:r>
        <w:rPr>
          <w:rFonts w:ascii="Arial" w:cs="Arial" w:eastAsia="Arial" w:hAnsi="Arial"/>
          <w:sz w:val="19"/>
          <w:szCs w:val="19"/>
          <w:color w:val="auto"/>
        </w:rPr>
        <w:t>No legal action will be brought and no cause of action will be asserted by or in the right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any of its Subsidiaries) against Indemnitee, Indemnitee’s spouse, heirs, executors or personal or legal representatives, administrators or estate after the expiration of two years from the date of accrual of such cause of action, and any</w:t>
      </w:r>
    </w:p>
    <w:p>
      <w:pPr>
        <w:spacing w:after="0" w:line="1" w:lineRule="exact"/>
        <w:rPr>
          <w:rFonts w:ascii="Arial" w:cs="Arial" w:eastAsia="Arial" w:hAnsi="Arial"/>
          <w:sz w:val="19"/>
          <w:szCs w:val="19"/>
          <w:b w:val="1"/>
          <w:bCs w:val="1"/>
          <w:color w:val="auto"/>
        </w:rPr>
      </w:pPr>
    </w:p>
    <w:p>
      <w:pPr>
        <w:jc w:val="both"/>
        <w:ind w:right="180"/>
        <w:spacing w:after="0" w:line="271" w:lineRule="auto"/>
        <w:rPr>
          <w:rFonts w:ascii="Arial" w:cs="Arial" w:eastAsia="Arial" w:hAnsi="Arial"/>
          <w:sz w:val="19"/>
          <w:szCs w:val="19"/>
          <w:b w:val="1"/>
          <w:bCs w:val="1"/>
          <w:color w:val="auto"/>
        </w:rPr>
      </w:pPr>
      <w:r>
        <w:rPr>
          <w:rFonts w:ascii="Arial" w:cs="Arial" w:eastAsia="Arial" w:hAnsi="Arial"/>
          <w:sz w:val="20"/>
          <w:szCs w:val="20"/>
          <w:color w:val="auto"/>
        </w:rPr>
        <w:t xml:space="preserve">claim or cause of action of the Company will be extinguished and deemed released unless asserted by the timely filing of a legal action within such two-year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any shorter period of limitations is otherwise applicable to any such cause of action such shorter period will govern.</w:t>
      </w:r>
    </w:p>
    <w:p>
      <w:pPr>
        <w:spacing w:after="0" w:line="196" w:lineRule="exact"/>
        <w:rPr>
          <w:rFonts w:ascii="Arial" w:cs="Arial" w:eastAsia="Arial" w:hAnsi="Arial"/>
          <w:sz w:val="19"/>
          <w:szCs w:val="19"/>
          <w:b w:val="1"/>
          <w:bCs w:val="1"/>
          <w:color w:val="auto"/>
        </w:rPr>
      </w:pPr>
    </w:p>
    <w:p>
      <w:pPr>
        <w:ind w:right="240" w:firstLine="656"/>
        <w:spacing w:after="0" w:line="278" w:lineRule="auto"/>
        <w:tabs>
          <w:tab w:leader="none" w:pos="1572"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No provision of this Agreement may be waived, modified or discharged unless such waiver,</w:t>
      </w:r>
      <w:r>
        <w:rPr>
          <w:rFonts w:ascii="Arial" w:cs="Arial" w:eastAsia="Arial" w:hAnsi="Arial"/>
          <w:sz w:val="20"/>
          <w:szCs w:val="20"/>
          <w:b w:val="1"/>
          <w:bCs w:val="1"/>
          <w:color w:val="auto"/>
        </w:rPr>
        <w:t xml:space="preserve"> </w:t>
      </w:r>
      <w:r>
        <w:rPr>
          <w:rFonts w:ascii="Arial" w:cs="Arial" w:eastAsia="Arial" w:hAnsi="Arial"/>
          <w:sz w:val="20"/>
          <w:szCs w:val="20"/>
          <w:color w:val="auto"/>
        </w:rPr>
        <w:t>modification or discharge is agreed to in writing signed by Indemnitee and the Company. No waiver by either party hereto at any time of any breach by the other party hereto or compliance with any condition or provision of this Agreement to be performed by such other party will be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9" w:right="239" w:bottom="1440" w:gutter="0" w:footer="0" w:header="0"/>
        </w:sectPr>
      </w:pPr>
    </w:p>
    <w:bookmarkStart w:id="120" w:name="page121"/>
    <w:bookmarkEnd w:id="120"/>
    <w:p>
      <w:pPr>
        <w:jc w:val="both"/>
        <w:ind w:right="20"/>
        <w:spacing w:after="0" w:line="271" w:lineRule="auto"/>
        <w:rPr>
          <w:sz w:val="20"/>
          <w:szCs w:val="20"/>
          <w:color w:val="auto"/>
        </w:rPr>
      </w:pPr>
      <w:r>
        <w:rPr>
          <w:rFonts w:ascii="Arial" w:cs="Arial" w:eastAsia="Arial" w:hAnsi="Arial"/>
          <w:sz w:val="20"/>
          <w:szCs w:val="20"/>
          <w:color w:val="auto"/>
        </w:rPr>
        <w:t>deemed a waiver of similar or dissimilar provisions or conditions at the same or at any prior or subsequent time. No agreements or representations, oral or otherwise, expressed or implied with respect to the subject matter hereof have been made by either party hereto that are not set forth expressly in this Agreement.</w:t>
      </w:r>
    </w:p>
    <w:p>
      <w:pPr>
        <w:spacing w:after="0" w:line="196" w:lineRule="exact"/>
        <w:rPr>
          <w:sz w:val="20"/>
          <w:szCs w:val="20"/>
          <w:color w:val="auto"/>
        </w:rPr>
      </w:pPr>
    </w:p>
    <w:p>
      <w:pPr>
        <w:ind w:left="1580" w:hanging="924"/>
        <w:spacing w:after="0"/>
        <w:tabs>
          <w:tab w:leader="none" w:pos="158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Legal Fees and Expenses; Interest.</w:t>
      </w:r>
    </w:p>
    <w:p>
      <w:pPr>
        <w:spacing w:after="0" w:line="280" w:lineRule="exact"/>
        <w:rPr>
          <w:rFonts w:ascii="Arial" w:cs="Arial" w:eastAsia="Arial" w:hAnsi="Arial"/>
          <w:sz w:val="20"/>
          <w:szCs w:val="20"/>
          <w:b w:val="1"/>
          <w:bCs w:val="1"/>
          <w:color w:val="auto"/>
        </w:rPr>
      </w:pPr>
    </w:p>
    <w:p>
      <w:pPr>
        <w:ind w:right="40" w:firstLine="1305"/>
        <w:spacing w:after="0" w:line="267" w:lineRule="auto"/>
        <w:tabs>
          <w:tab w:leader="none" w:pos="2187" w:val="left"/>
        </w:tabs>
        <w:numPr>
          <w:ilvl w:val="1"/>
          <w:numId w:val="68"/>
        </w:numPr>
        <w:rPr>
          <w:rFonts w:ascii="Arial" w:cs="Arial" w:eastAsia="Arial" w:hAnsi="Arial"/>
          <w:sz w:val="20"/>
          <w:szCs w:val="20"/>
          <w:color w:val="auto"/>
        </w:rPr>
      </w:pPr>
      <w:r>
        <w:rPr>
          <w:rFonts w:ascii="Arial" w:cs="Arial" w:eastAsia="Arial" w:hAnsi="Arial"/>
          <w:sz w:val="20"/>
          <w:szCs w:val="20"/>
          <w:color w:val="auto"/>
        </w:rPr>
        <w:t>It is the intent of the Company that Indemnitee not be required to incur legal fees and or other Expenses associated with the interpretation, enforcement or defense of Indemnitee’s rights under this Agreement by litigation or otherwise because the cost and expense thereof would substantially detract from the benefits intended to be extended to Indemnitee hereunder. Accordingly, without limiting the generality or effect of any other provision hereof, if it should appear to Indemnitee that the Company has failed to comply with any of its obligations under this Agreement (including its obligations under Section 3) or in the event that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the Company irrevocably authorizes Indemnitee from time to time to retain counsel of Indemnitee’s choice, at the expense of the Company as hereafter provided, to advise and represent Indemnitee in connection with any such interpretation, enforcement or defense, including the initiation or defense of any litigation or other legal action, whether by or against the Company or any director, officer, stockholder or other Person affiliated with the Company, in any jurisdiction. The Company will pay and be solely financially responsible for any and all reasonable attorneys’ and related fees and expenses incurred by Indemnitee in connection with any of the foregoing to the fullest extent permitted or required by the laws of the State of Delaware in effect on the date hereof or as such laws may from time to time hereafter be amended to increase the scope of such permitted or required payment of such fees and expenses.</w:t>
      </w:r>
    </w:p>
    <w:p>
      <w:pPr>
        <w:spacing w:after="0" w:line="11" w:lineRule="exact"/>
        <w:rPr>
          <w:rFonts w:ascii="Arial" w:cs="Arial" w:eastAsia="Arial" w:hAnsi="Arial"/>
          <w:sz w:val="20"/>
          <w:szCs w:val="20"/>
          <w:color w:val="auto"/>
        </w:rPr>
      </w:pPr>
    </w:p>
    <w:p>
      <w:pPr>
        <w:ind w:right="300" w:firstLine="1305"/>
        <w:spacing w:after="0" w:line="271" w:lineRule="auto"/>
        <w:tabs>
          <w:tab w:leader="none" w:pos="2187"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amount due to Indemnitee under this Agreement that is not paid by the Company by the date on which it is due will accrue interest at the maximum legal rate under Delaware law from the date on which such amount is due to the date on which such amount is paid to Indemnitee.</w:t>
      </w:r>
    </w:p>
    <w:p>
      <w:pPr>
        <w:spacing w:after="0" w:line="196" w:lineRule="exact"/>
        <w:rPr>
          <w:rFonts w:ascii="Arial" w:cs="Arial" w:eastAsia="Arial" w:hAnsi="Arial"/>
          <w:sz w:val="20"/>
          <w:szCs w:val="20"/>
          <w:color w:val="auto"/>
        </w:rPr>
      </w:pPr>
    </w:p>
    <w:p>
      <w:pPr>
        <w:ind w:right="40" w:firstLine="656"/>
        <w:spacing w:after="0" w:line="271" w:lineRule="auto"/>
        <w:tabs>
          <w:tab w:leader="none" w:pos="1572"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Certain Interpretive Matters. </w:t>
      </w:r>
      <w:r>
        <w:rPr>
          <w:rFonts w:ascii="Arial" w:cs="Arial" w:eastAsia="Arial" w:hAnsi="Arial"/>
          <w:sz w:val="20"/>
          <w:szCs w:val="20"/>
          <w:color w:val="auto"/>
        </w:rPr>
        <w:t>Unless the context of this Agreement otherwise requires, (a) “it” or “its” or words</w:t>
      </w:r>
      <w:r>
        <w:rPr>
          <w:rFonts w:ascii="Arial" w:cs="Arial" w:eastAsia="Arial" w:hAnsi="Arial"/>
          <w:sz w:val="20"/>
          <w:szCs w:val="20"/>
          <w:b w:val="1"/>
          <w:bCs w:val="1"/>
          <w:color w:val="auto"/>
        </w:rPr>
        <w:t xml:space="preserve"> </w:t>
      </w:r>
      <w:r>
        <w:rPr>
          <w:rFonts w:ascii="Arial" w:cs="Arial" w:eastAsia="Arial" w:hAnsi="Arial"/>
          <w:sz w:val="20"/>
          <w:szCs w:val="20"/>
          <w:color w:val="auto"/>
        </w:rPr>
        <w:t>of any gender include each other gender, (b) words using the singular or plural number also include the plural or singular number, respectively, (c) the terms “hereof,” “herein,” “hereby” and derivative or similar words refer to this entire Agreement, (d) the terms “ “Section” or “Exhibit” refer to the specified Section or Exhibit of or to this Agreement, (e) the terms “include,” “includes” and “including” will be deemed to be followed by the words “without limitation” (whether or not so expressed), and (f) the word “or” is disjunctive but not necessarily exclusive. Whenever this Agreement refers to a number of days, such number will refer to calendar days unless business days are specified and whenever action must be taken (including the giving of notice or the delivery of documents) under this Agreement during a certain period of time or by a particular date that ends or occurs on a non-business day, then such period or date will be extended until the immediately following business day. As used herein, “business day” means any day other than Saturday, Sunday or a United States federal holiday.</w:t>
      </w:r>
    </w:p>
    <w:p>
      <w:pPr>
        <w:spacing w:after="0" w:line="198" w:lineRule="exact"/>
        <w:rPr>
          <w:rFonts w:ascii="Arial" w:cs="Arial" w:eastAsia="Arial" w:hAnsi="Arial"/>
          <w:sz w:val="20"/>
          <w:szCs w:val="20"/>
          <w:b w:val="1"/>
          <w:bCs w:val="1"/>
          <w:color w:val="auto"/>
        </w:rPr>
      </w:pPr>
    </w:p>
    <w:p>
      <w:pPr>
        <w:ind w:firstLine="656"/>
        <w:spacing w:after="0" w:line="300" w:lineRule="auto"/>
        <w:tabs>
          <w:tab w:leader="none" w:pos="1572"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counterparts, each of which will be deemed to be an original</w:t>
      </w:r>
      <w:r>
        <w:rPr>
          <w:rFonts w:ascii="Arial" w:cs="Arial" w:eastAsia="Arial" w:hAnsi="Arial"/>
          <w:sz w:val="20"/>
          <w:szCs w:val="20"/>
          <w:b w:val="1"/>
          <w:bCs w:val="1"/>
          <w:color w:val="auto"/>
        </w:rPr>
        <w:t xml:space="preserve"> </w:t>
      </w:r>
      <w:r>
        <w:rPr>
          <w:rFonts w:ascii="Arial" w:cs="Arial" w:eastAsia="Arial" w:hAnsi="Arial"/>
          <w:sz w:val="20"/>
          <w:szCs w:val="20"/>
          <w:color w:val="auto"/>
        </w:rPr>
        <w:t>but all of which together will constitute one and the same agreement.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09" w:right="239" w:bottom="1440" w:gutter="0" w:footer="0" w:header="0"/>
        </w:sectPr>
      </w:pPr>
    </w:p>
    <w:bookmarkStart w:id="121" w:name="page122"/>
    <w:bookmarkEnd w:id="121"/>
    <w:p>
      <w:pPr>
        <w:spacing w:after="0" w:line="247" w:lineRule="auto"/>
        <w:rPr>
          <w:sz w:val="20"/>
          <w:szCs w:val="20"/>
          <w:color w:val="auto"/>
        </w:rPr>
      </w:pPr>
      <w:r>
        <w:rPr>
          <w:rFonts w:ascii="Arial" w:cs="Arial" w:eastAsia="Arial" w:hAnsi="Arial"/>
          <w:sz w:val="20"/>
          <w:szCs w:val="20"/>
          <w:color w:val="auto"/>
        </w:rPr>
        <w:t>IN WITNESS WHEREOF, Indemnitee has executed and the Company has caused its duly authorized representative to execute this Agreement as of the date first above written.</w:t>
      </w: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ABM Industries Incorporated</w:t>
      </w:r>
    </w:p>
    <w:p>
      <w:pPr>
        <w:spacing w:after="0" w:line="200" w:lineRule="exact"/>
        <w:rPr>
          <w:sz w:val="20"/>
          <w:szCs w:val="20"/>
          <w:color w:val="auto"/>
        </w:rPr>
      </w:pPr>
    </w:p>
    <w:p>
      <w:pPr>
        <w:spacing w:after="0" w:line="250" w:lineRule="exact"/>
        <w:rPr>
          <w:sz w:val="20"/>
          <w:szCs w:val="20"/>
          <w:color w:val="auto"/>
        </w:rPr>
      </w:pPr>
    </w:p>
    <w:p>
      <w:pPr>
        <w:ind w:left="4540"/>
        <w:spacing w:after="0"/>
        <w:tabs>
          <w:tab w:leader="none" w:pos="5000" w:val="left"/>
          <w:tab w:leader="none" w:pos="95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b w:val="1"/>
          <w:bCs w:val="1"/>
          <w:color w:val="auto"/>
        </w:rPr>
        <w:t>____________________________________</w:t>
      </w:r>
      <w:r>
        <w:rPr>
          <w:sz w:val="20"/>
          <w:szCs w:val="20"/>
          <w:color w:val="auto"/>
        </w:rPr>
        <w:tab/>
      </w:r>
      <w:r>
        <w:rPr>
          <w:rFonts w:ascii="Arial" w:cs="Arial" w:eastAsia="Arial" w:hAnsi="Arial"/>
          <w:sz w:val="19"/>
          <w:szCs w:val="19"/>
          <w:color w:val="auto"/>
        </w:rPr>
        <w:t>Name:</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[INDEMNITEE]</w:t>
      </w:r>
    </w:p>
    <w:p>
      <w:pPr>
        <w:spacing w:after="0" w:line="200" w:lineRule="exact"/>
        <w:rPr>
          <w:sz w:val="20"/>
          <w:szCs w:val="20"/>
          <w:color w:val="auto"/>
        </w:rPr>
      </w:pPr>
    </w:p>
    <w:p>
      <w:pPr>
        <w:spacing w:after="0" w:line="232" w:lineRule="exact"/>
        <w:rPr>
          <w:sz w:val="20"/>
          <w:szCs w:val="20"/>
          <w:color w:val="auto"/>
        </w:rPr>
      </w:pPr>
    </w:p>
    <w:p>
      <w:pPr>
        <w:ind w:left="4540"/>
        <w:spacing w:after="0"/>
        <w:tabs>
          <w:tab w:leader="none" w:pos="9320" w:val="left"/>
        </w:tabs>
        <w:rPr>
          <w:sz w:val="20"/>
          <w:szCs w:val="20"/>
          <w:color w:val="auto"/>
        </w:rPr>
      </w:pPr>
      <w:r>
        <w:rPr>
          <w:rFonts w:ascii="Arial" w:cs="Arial" w:eastAsia="Arial" w:hAnsi="Arial"/>
          <w:sz w:val="18"/>
          <w:szCs w:val="18"/>
          <w:b w:val="1"/>
          <w:bCs w:val="1"/>
          <w:color w:val="auto"/>
        </w:rPr>
        <w:t>__________________________________________</w:t>
      </w:r>
      <w:r>
        <w:rPr>
          <w:sz w:val="20"/>
          <w:szCs w:val="20"/>
          <w:color w:val="auto"/>
        </w:rPr>
        <w:tab/>
      </w:r>
      <w:r>
        <w:rPr>
          <w:rFonts w:ascii="Arial" w:cs="Arial" w:eastAsia="Arial" w:hAnsi="Arial"/>
          <w:sz w:val="20"/>
          <w:szCs w:val="20"/>
          <w:b w:val="1"/>
          <w:bCs w:val="1"/>
          <w:color w:val="auto"/>
        </w:rPr>
        <w:t>[Indemnitee]</w:t>
      </w:r>
    </w:p>
    <w:p>
      <w:pPr>
        <w:spacing w:after="0" w:line="200" w:lineRule="exact"/>
        <w:rPr>
          <w:sz w:val="20"/>
          <w:szCs w:val="20"/>
          <w:color w:val="auto"/>
        </w:rPr>
      </w:pPr>
    </w:p>
    <w:p>
      <w:pPr>
        <w:spacing w:after="0" w:line="232"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[ADDRESS]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[CITY, STATE, ZIP]</w:t>
      </w:r>
    </w:p>
    <w:p>
      <w:pPr>
        <w:ind w:left="50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b w:val="1"/>
          <w:bCs w:val="1"/>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595" w:right="51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UNDERTAKING</w:t>
      </w:r>
    </w:p>
    <w:p>
      <w:pPr>
        <w:spacing w:after="0" w:line="21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9"/>
          <w:szCs w:val="19"/>
          <w:color w:val="auto"/>
        </w:rPr>
        <w:t xml:space="preserve">This Undertaking is submitted pursuant to the Indemnification Agreement, dated as of </w:t>
      </w:r>
      <w:r>
        <w:rPr>
          <w:rFonts w:ascii="Arial" w:cs="Arial" w:eastAsia="Arial" w:hAnsi="Arial"/>
          <w:sz w:val="19"/>
          <w:szCs w:val="19"/>
          <w:b w:val="1"/>
          <w:bCs w:val="1"/>
          <w:color w:val="auto"/>
        </w:rPr>
        <w:t>[•]</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Indemnification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between ABM Industries Incorporated,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the undersigned. Capitalized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terms used and not otherwise defined herein have the meanings ascribed to such terms in the Indemnification Agreement.</w:t>
      </w:r>
    </w:p>
    <w:p>
      <w:pPr>
        <w:spacing w:after="0" w:line="154" w:lineRule="exact"/>
        <w:rPr>
          <w:sz w:val="20"/>
          <w:szCs w:val="20"/>
          <w:color w:val="auto"/>
        </w:rPr>
      </w:pPr>
    </w:p>
    <w:p>
      <w:pPr>
        <w:ind w:right="80" w:firstLine="648"/>
        <w:spacing w:after="0" w:line="272" w:lineRule="auto"/>
        <w:rPr>
          <w:sz w:val="20"/>
          <w:szCs w:val="20"/>
          <w:color w:val="auto"/>
        </w:rPr>
      </w:pPr>
      <w:r>
        <w:rPr>
          <w:rFonts w:ascii="Arial" w:cs="Arial" w:eastAsia="Arial" w:hAnsi="Arial"/>
          <w:sz w:val="20"/>
          <w:szCs w:val="20"/>
          <w:color w:val="auto"/>
        </w:rPr>
        <w:t xml:space="preserve">The undersigned hereby requests </w:t>
      </w:r>
      <w:r>
        <w:rPr>
          <w:rFonts w:ascii="Arial" w:cs="Arial" w:eastAsia="Arial" w:hAnsi="Arial"/>
          <w:sz w:val="20"/>
          <w:szCs w:val="20"/>
          <w:b w:val="1"/>
          <w:bCs w:val="1"/>
          <w:color w:val="auto"/>
        </w:rPr>
        <w:t>[payment], [advancement], [reimbursement]</w:t>
      </w:r>
      <w:r>
        <w:rPr>
          <w:rFonts w:ascii="Arial" w:cs="Arial" w:eastAsia="Arial" w:hAnsi="Arial"/>
          <w:sz w:val="20"/>
          <w:szCs w:val="20"/>
          <w:color w:val="auto"/>
        </w:rPr>
        <w:t xml:space="preserve"> by the Company of Expenses which the undersigned </w:t>
      </w:r>
      <w:r>
        <w:rPr>
          <w:rFonts w:ascii="Arial" w:cs="Arial" w:eastAsia="Arial" w:hAnsi="Arial"/>
          <w:sz w:val="20"/>
          <w:szCs w:val="20"/>
          <w:b w:val="1"/>
          <w:bCs w:val="1"/>
          <w:color w:val="auto"/>
        </w:rPr>
        <w:t>[has incurred] [reasonably expects to incur]</w:t>
      </w:r>
      <w:r>
        <w:rPr>
          <w:rFonts w:ascii="Arial" w:cs="Arial" w:eastAsia="Arial" w:hAnsi="Arial"/>
          <w:sz w:val="20"/>
          <w:szCs w:val="20"/>
          <w:color w:val="auto"/>
        </w:rPr>
        <w:t xml:space="preserve"> in connection with </w:t>
      </w:r>
      <w:r>
        <w:rPr>
          <w:rFonts w:ascii="Arial" w:cs="Arial" w:eastAsia="Arial" w:hAnsi="Arial"/>
          <w:sz w:val="20"/>
          <w:szCs w:val="20"/>
          <w:b w:val="1"/>
          <w:bCs w:val="1"/>
          <w:color w:val="auto"/>
        </w:rPr>
        <w:t>[•]</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Indemnifiable Claim</w:t>
      </w:r>
      <w:r>
        <w:rPr>
          <w:rFonts w:ascii="Arial" w:cs="Arial" w:eastAsia="Arial" w:hAnsi="Arial"/>
          <w:sz w:val="20"/>
          <w:szCs w:val="20"/>
          <w:color w:val="auto"/>
        </w:rPr>
        <w:t>”).</w:t>
      </w:r>
    </w:p>
    <w:p>
      <w:pPr>
        <w:spacing w:after="0" w:line="154"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 xml:space="preserve">The undersigned hereby undertakes to repay the </w:t>
      </w:r>
      <w:r>
        <w:rPr>
          <w:rFonts w:ascii="Arial" w:cs="Arial" w:eastAsia="Arial" w:hAnsi="Arial"/>
          <w:sz w:val="20"/>
          <w:szCs w:val="20"/>
          <w:b w:val="1"/>
          <w:bCs w:val="1"/>
          <w:color w:val="auto"/>
        </w:rPr>
        <w:t>[payment]</w:t>
      </w:r>
      <w:r>
        <w:rPr>
          <w:rFonts w:ascii="Arial" w:cs="Arial" w:eastAsia="Arial" w:hAnsi="Arial"/>
          <w:sz w:val="20"/>
          <w:szCs w:val="20"/>
          <w:color w:val="auto"/>
        </w:rPr>
        <w:t xml:space="preserve">, </w:t>
      </w:r>
      <w:r>
        <w:rPr>
          <w:rFonts w:ascii="Arial" w:cs="Arial" w:eastAsia="Arial" w:hAnsi="Arial"/>
          <w:sz w:val="20"/>
          <w:szCs w:val="20"/>
          <w:b w:val="1"/>
          <w:bCs w:val="1"/>
          <w:color w:val="auto"/>
        </w:rPr>
        <w:t>[advancement]</w:t>
      </w:r>
      <w:r>
        <w:rPr>
          <w:rFonts w:ascii="Arial" w:cs="Arial" w:eastAsia="Arial" w:hAnsi="Arial"/>
          <w:sz w:val="20"/>
          <w:szCs w:val="20"/>
          <w:color w:val="auto"/>
        </w:rPr>
        <w:t xml:space="preserve">, </w:t>
      </w:r>
      <w:r>
        <w:rPr>
          <w:rFonts w:ascii="Arial" w:cs="Arial" w:eastAsia="Arial" w:hAnsi="Arial"/>
          <w:sz w:val="20"/>
          <w:szCs w:val="20"/>
          <w:b w:val="1"/>
          <w:bCs w:val="1"/>
          <w:color w:val="auto"/>
        </w:rPr>
        <w:t>[reimbursement]</w:t>
      </w:r>
      <w:r>
        <w:rPr>
          <w:rFonts w:ascii="Arial" w:cs="Arial" w:eastAsia="Arial" w:hAnsi="Arial"/>
          <w:sz w:val="20"/>
          <w:szCs w:val="20"/>
          <w:color w:val="auto"/>
        </w:rPr>
        <w:t xml:space="preserve"> of Expenses made by the Company to or on behalf of the undersigned in response to the foregoing request to the extent it is determined, following the final disposition of the Indemnifiable Claim and in accordance with Section 8 or pursuant to the last sentence of Section 9(a) of the Indemnification Agreement, that the undersigned is not entitled to indemnification by the Company under the Indemnification Agreement with respect to the Indemnifiable Claim.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IN WITNESS WHEREOF, the undersigned has executed this Undertaking as of this </w:t>
      </w:r>
      <w:r>
        <w:rPr>
          <w:rFonts w:ascii="Arial" w:cs="Arial" w:eastAsia="Arial" w:hAnsi="Arial"/>
          <w:sz w:val="20"/>
          <w:szCs w:val="20"/>
          <w:b w:val="1"/>
          <w:bCs w:val="1"/>
          <w:color w:val="auto"/>
        </w:rPr>
        <w:t>[•]</w:t>
      </w:r>
      <w:r>
        <w:rPr>
          <w:rFonts w:ascii="Arial" w:cs="Arial" w:eastAsia="Arial" w:hAnsi="Arial"/>
          <w:sz w:val="20"/>
          <w:szCs w:val="20"/>
          <w:color w:val="auto"/>
        </w:rPr>
        <w:t xml:space="preserve"> day of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_________________________________________</w:t>
      </w:r>
    </w:p>
    <w:p>
      <w:pPr>
        <w:spacing w:after="0" w:line="28"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71" w:right="25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ABM INDUSTRIES INCORPORATED</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list of subsidiaries of the company as of October 31, 2018, omitting subsidiaries which, considered in the aggregate, would not constitute a significant subsidiary.</w:t>
      </w:r>
    </w:p>
    <w:p>
      <w:pPr>
        <w:spacing w:after="0" w:line="32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3680" w:type="dxa"/>
            <w:vAlign w:val="bottom"/>
          </w:tcPr>
          <w:p>
            <w:pPr>
              <w:ind w:left="1820"/>
              <w:spacing w:after="0"/>
              <w:rPr>
                <w:sz w:val="20"/>
                <w:szCs w:val="20"/>
                <w:color w:val="auto"/>
              </w:rPr>
            </w:pPr>
            <w:r>
              <w:rPr>
                <w:rFonts w:ascii="Arial" w:cs="Arial" w:eastAsia="Arial" w:hAnsi="Arial"/>
                <w:sz w:val="18"/>
                <w:szCs w:val="18"/>
                <w:b w:val="1"/>
                <w:bCs w:val="1"/>
                <w:color w:val="auto"/>
                <w:w w:val="95"/>
              </w:rPr>
              <w:t>Where Incorporated or</w:t>
            </w:r>
          </w:p>
        </w:tc>
      </w:tr>
      <w:tr>
        <w:trPr>
          <w:trHeight w:val="234"/>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3680" w:type="dxa"/>
            <w:vAlign w:val="bottom"/>
          </w:tcPr>
          <w:p>
            <w:pPr>
              <w:ind w:left="1820"/>
              <w:spacing w:after="0"/>
              <w:rPr>
                <w:sz w:val="20"/>
                <w:szCs w:val="20"/>
                <w:color w:val="auto"/>
              </w:rPr>
            </w:pPr>
            <w:r>
              <w:rPr>
                <w:rFonts w:ascii="Arial" w:cs="Arial" w:eastAsia="Arial" w:hAnsi="Arial"/>
                <w:sz w:val="18"/>
                <w:szCs w:val="18"/>
                <w:b w:val="1"/>
                <w:bCs w:val="1"/>
                <w:color w:val="auto"/>
              </w:rPr>
              <w:t>Organized</w:t>
            </w:r>
          </w:p>
        </w:tc>
      </w:tr>
      <w:tr>
        <w:trPr>
          <w:trHeight w:val="27"/>
        </w:trPr>
        <w:tc>
          <w:tcPr>
            <w:tcW w:w="62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20"/>
              <w:spacing w:after="0"/>
              <w:rPr>
                <w:sz w:val="20"/>
                <w:szCs w:val="20"/>
                <w:color w:val="auto"/>
              </w:rPr>
            </w:pPr>
            <w:r>
              <w:rPr>
                <w:rFonts w:ascii="Arial" w:cs="Arial" w:eastAsia="Arial" w:hAnsi="Arial"/>
                <w:sz w:val="18"/>
                <w:szCs w:val="18"/>
                <w:color w:val="auto"/>
                <w:w w:val="97"/>
              </w:rPr>
              <w:t>(*)ABM Aviation, Inc.</w:t>
            </w:r>
          </w:p>
        </w:tc>
        <w:tc>
          <w:tcPr>
            <w:tcW w:w="3680" w:type="dxa"/>
            <w:vAlign w:val="bottom"/>
          </w:tcPr>
          <w:p>
            <w:pPr>
              <w:ind w:left="1820"/>
              <w:spacing w:after="0"/>
              <w:rPr>
                <w:sz w:val="20"/>
                <w:szCs w:val="20"/>
                <w:color w:val="auto"/>
              </w:rPr>
            </w:pPr>
            <w:r>
              <w:rPr>
                <w:rFonts w:ascii="Arial" w:cs="Arial" w:eastAsia="Arial" w:hAnsi="Arial"/>
                <w:sz w:val="18"/>
                <w:szCs w:val="18"/>
                <w:color w:val="auto"/>
              </w:rPr>
              <w:t>Georgia</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Omni Serv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1000"/>
              <w:spacing w:after="0"/>
              <w:rPr>
                <w:sz w:val="20"/>
                <w:szCs w:val="20"/>
                <w:color w:val="auto"/>
              </w:rPr>
            </w:pPr>
            <w:r>
              <w:rPr>
                <w:rFonts w:ascii="Arial" w:cs="Arial" w:eastAsia="Arial" w:hAnsi="Arial"/>
                <w:sz w:val="18"/>
                <w:szCs w:val="18"/>
                <w:color w:val="auto"/>
              </w:rPr>
              <w:t>Air Serv Middle East Hospitality Services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UAE</w:t>
            </w:r>
          </w:p>
        </w:tc>
      </w:tr>
      <w:tr>
        <w:trPr>
          <w:trHeight w:val="270"/>
        </w:trPr>
        <w:tc>
          <w:tcPr>
            <w:tcW w:w="6240" w:type="dxa"/>
            <w:vAlign w:val="bottom"/>
          </w:tcPr>
          <w:p>
            <w:pPr>
              <w:ind w:left="1000"/>
              <w:spacing w:after="0"/>
              <w:rPr>
                <w:sz w:val="20"/>
                <w:szCs w:val="20"/>
                <w:color w:val="auto"/>
              </w:rPr>
            </w:pPr>
            <w:r>
              <w:rPr>
                <w:rFonts w:ascii="Arial" w:cs="Arial" w:eastAsia="Arial" w:hAnsi="Arial"/>
                <w:sz w:val="18"/>
                <w:szCs w:val="18"/>
                <w:color w:val="auto"/>
              </w:rPr>
              <w:t>OFJ Connections</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1220"/>
              <w:spacing w:after="0"/>
              <w:rPr>
                <w:sz w:val="20"/>
                <w:szCs w:val="20"/>
                <w:color w:val="auto"/>
              </w:rPr>
            </w:pPr>
            <w:r>
              <w:rPr>
                <w:rFonts w:ascii="Arial" w:cs="Arial" w:eastAsia="Arial" w:hAnsi="Arial"/>
                <w:sz w:val="18"/>
                <w:szCs w:val="18"/>
                <w:color w:val="auto"/>
              </w:rPr>
              <w:t>OFJ Airlinks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International (Holdings) B.V.</w:t>
            </w:r>
          </w:p>
        </w:tc>
        <w:tc>
          <w:tcPr>
            <w:tcW w:w="3680" w:type="dxa"/>
            <w:vAlign w:val="bottom"/>
          </w:tcPr>
          <w:p>
            <w:pPr>
              <w:ind w:left="1820"/>
              <w:spacing w:after="0"/>
              <w:rPr>
                <w:sz w:val="20"/>
                <w:szCs w:val="20"/>
                <w:color w:val="auto"/>
              </w:rPr>
            </w:pPr>
            <w:r>
              <w:rPr>
                <w:rFonts w:ascii="Arial" w:cs="Arial" w:eastAsia="Arial" w:hAnsi="Arial"/>
                <w:sz w:val="18"/>
                <w:szCs w:val="18"/>
                <w:color w:val="auto"/>
              </w:rPr>
              <w:t>Holland</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IFM Capital Ltd.</w:t>
            </w:r>
          </w:p>
        </w:tc>
        <w:tc>
          <w:tcPr>
            <w:tcW w:w="3680" w:type="dxa"/>
            <w:vAlign w:val="bottom"/>
          </w:tcPr>
          <w:p>
            <w:pPr>
              <w:ind w:left="1820"/>
              <w:spacing w:after="0"/>
              <w:rPr>
                <w:sz w:val="20"/>
                <w:szCs w:val="20"/>
                <w:color w:val="auto"/>
              </w:rPr>
            </w:pPr>
            <w:r>
              <w:rPr>
                <w:rFonts w:ascii="Arial" w:cs="Arial" w:eastAsia="Arial" w:hAnsi="Arial"/>
                <w:sz w:val="18"/>
                <w:szCs w:val="18"/>
                <w:color w:val="auto"/>
              </w:rPr>
              <w:t>Bermuda</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Group UK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1000"/>
              <w:spacing w:after="0"/>
              <w:rPr>
                <w:sz w:val="20"/>
                <w:szCs w:val="20"/>
                <w:color w:val="auto"/>
              </w:rPr>
            </w:pPr>
            <w:r>
              <w:rPr>
                <w:rFonts w:ascii="Arial" w:cs="Arial" w:eastAsia="Arial" w:hAnsi="Arial"/>
                <w:sz w:val="18"/>
                <w:szCs w:val="18"/>
                <w:color w:val="auto"/>
              </w:rPr>
              <w:t>ABM Facility Services UK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1000"/>
              <w:spacing w:after="0"/>
              <w:rPr>
                <w:sz w:val="20"/>
                <w:szCs w:val="20"/>
                <w:color w:val="auto"/>
              </w:rPr>
            </w:pPr>
            <w:r>
              <w:rPr>
                <w:rFonts w:ascii="Arial" w:cs="Arial" w:eastAsia="Arial" w:hAnsi="Arial"/>
                <w:sz w:val="18"/>
                <w:szCs w:val="18"/>
                <w:color w:val="auto"/>
              </w:rPr>
              <w:t>ABM Facility Services Scotland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1220"/>
              <w:spacing w:after="0"/>
              <w:rPr>
                <w:sz w:val="20"/>
                <w:szCs w:val="20"/>
                <w:color w:val="auto"/>
              </w:rPr>
            </w:pPr>
            <w:r>
              <w:rPr>
                <w:rFonts w:ascii="Arial" w:cs="Arial" w:eastAsia="Arial" w:hAnsi="Arial"/>
                <w:sz w:val="18"/>
                <w:szCs w:val="18"/>
                <w:color w:val="auto"/>
              </w:rPr>
              <w:t>Eclipse Contract Cleaning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Scotland</w:t>
            </w:r>
          </w:p>
        </w:tc>
      </w:tr>
      <w:tr>
        <w:trPr>
          <w:trHeight w:val="270"/>
        </w:trPr>
        <w:tc>
          <w:tcPr>
            <w:tcW w:w="6240" w:type="dxa"/>
            <w:vAlign w:val="bottom"/>
          </w:tcPr>
          <w:p>
            <w:pPr>
              <w:ind w:left="1000"/>
              <w:spacing w:after="0"/>
              <w:rPr>
                <w:sz w:val="20"/>
                <w:szCs w:val="20"/>
                <w:color w:val="auto"/>
              </w:rPr>
            </w:pPr>
            <w:r>
              <w:rPr>
                <w:rFonts w:ascii="Arial" w:cs="Arial" w:eastAsia="Arial" w:hAnsi="Arial"/>
                <w:sz w:val="18"/>
                <w:szCs w:val="18"/>
                <w:color w:val="auto"/>
              </w:rPr>
              <w:t>GBM Services (Civic)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1000"/>
              <w:spacing w:after="0"/>
              <w:rPr>
                <w:sz w:val="20"/>
                <w:szCs w:val="20"/>
                <w:color w:val="auto"/>
              </w:rPr>
            </w:pPr>
            <w:r>
              <w:rPr>
                <w:rFonts w:ascii="Arial" w:cs="Arial" w:eastAsia="Arial" w:hAnsi="Arial"/>
                <w:sz w:val="18"/>
                <w:szCs w:val="18"/>
                <w:color w:val="auto"/>
              </w:rPr>
              <w:t>BRBIBR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1220"/>
              <w:spacing w:after="0"/>
              <w:rPr>
                <w:sz w:val="20"/>
                <w:szCs w:val="20"/>
                <w:color w:val="auto"/>
              </w:rPr>
            </w:pPr>
            <w:r>
              <w:rPr>
                <w:rFonts w:ascii="Arial" w:cs="Arial" w:eastAsia="Arial" w:hAnsi="Arial"/>
                <w:sz w:val="18"/>
                <w:szCs w:val="18"/>
                <w:color w:val="auto"/>
              </w:rPr>
              <w:t>ABM Critical Solutions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Westway Services Holdings (2014) Ltd.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1000"/>
              <w:spacing w:after="0"/>
              <w:rPr>
                <w:sz w:val="20"/>
                <w:szCs w:val="20"/>
                <w:color w:val="auto"/>
              </w:rPr>
            </w:pPr>
            <w:r>
              <w:rPr>
                <w:rFonts w:ascii="Arial" w:cs="Arial" w:eastAsia="Arial" w:hAnsi="Arial"/>
                <w:sz w:val="18"/>
                <w:szCs w:val="18"/>
                <w:color w:val="auto"/>
              </w:rPr>
              <w:t>Westway Services Holdings (2010) Ltd.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1220"/>
              <w:spacing w:after="0"/>
              <w:rPr>
                <w:sz w:val="20"/>
                <w:szCs w:val="20"/>
                <w:color w:val="auto"/>
              </w:rPr>
            </w:pPr>
            <w:r>
              <w:rPr>
                <w:rFonts w:ascii="Arial" w:cs="Arial" w:eastAsia="Arial" w:hAnsi="Arial"/>
                <w:sz w:val="18"/>
                <w:szCs w:val="18"/>
                <w:color w:val="auto"/>
              </w:rPr>
              <w:t>ABM Technical Solutions Limited</w:t>
            </w:r>
          </w:p>
        </w:tc>
        <w:tc>
          <w:tcPr>
            <w:tcW w:w="3680" w:type="dxa"/>
            <w:vAlign w:val="bottom"/>
          </w:tcPr>
          <w:p>
            <w:pPr>
              <w:ind w:left="1820"/>
              <w:spacing w:after="0"/>
              <w:rPr>
                <w:sz w:val="20"/>
                <w:szCs w:val="20"/>
                <w:color w:val="auto"/>
              </w:rPr>
            </w:pPr>
            <w:r>
              <w:rPr>
                <w:rFonts w:ascii="Arial" w:cs="Arial" w:eastAsia="Arial" w:hAnsi="Arial"/>
                <w:sz w:val="18"/>
                <w:szCs w:val="18"/>
                <w:color w:val="auto"/>
              </w:rPr>
              <w:t>England</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Onsite Services - Canada ULC</w:t>
            </w:r>
          </w:p>
        </w:tc>
        <w:tc>
          <w:tcPr>
            <w:tcW w:w="3680" w:type="dxa"/>
            <w:vAlign w:val="bottom"/>
          </w:tcPr>
          <w:p>
            <w:pPr>
              <w:ind w:left="1820"/>
              <w:spacing w:after="0"/>
              <w:rPr>
                <w:sz w:val="20"/>
                <w:szCs w:val="20"/>
                <w:color w:val="auto"/>
              </w:rPr>
            </w:pPr>
            <w:r>
              <w:rPr>
                <w:rFonts w:ascii="Arial" w:cs="Arial" w:eastAsia="Arial" w:hAnsi="Arial"/>
                <w:sz w:val="18"/>
                <w:szCs w:val="18"/>
                <w:color w:val="auto"/>
              </w:rPr>
              <w:t>Canada</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ABM General Services, Inc.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ABM Healthcare Support Services, Inc.</w:t>
            </w:r>
          </w:p>
        </w:tc>
        <w:tc>
          <w:tcPr>
            <w:tcW w:w="3680" w:type="dxa"/>
            <w:vAlign w:val="bottom"/>
          </w:tcPr>
          <w:p>
            <w:pPr>
              <w:ind w:left="1820"/>
              <w:spacing w:after="0"/>
              <w:rPr>
                <w:sz w:val="20"/>
                <w:szCs w:val="20"/>
                <w:color w:val="auto"/>
              </w:rPr>
            </w:pPr>
            <w:r>
              <w:rPr>
                <w:rFonts w:ascii="Arial" w:cs="Arial" w:eastAsia="Arial" w:hAnsi="Arial"/>
                <w:sz w:val="18"/>
                <w:szCs w:val="18"/>
                <w:color w:val="auto"/>
              </w:rPr>
              <w:t>Michigan</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ABM Industrial Services, Inc.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ABM Industry Groups,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ABM Security Services, Inc.</w:t>
            </w:r>
          </w:p>
        </w:tc>
        <w:tc>
          <w:tcPr>
            <w:tcW w:w="3680" w:type="dxa"/>
            <w:vAlign w:val="bottom"/>
          </w:tcPr>
          <w:p>
            <w:pPr>
              <w:ind w:left="1820"/>
              <w:spacing w:after="0"/>
              <w:rPr>
                <w:sz w:val="20"/>
                <w:szCs w:val="20"/>
                <w:color w:val="auto"/>
              </w:rPr>
            </w:pPr>
            <w:r>
              <w:rPr>
                <w:rFonts w:ascii="Arial" w:cs="Arial" w:eastAsia="Arial" w:hAnsi="Arial"/>
                <w:sz w:val="18"/>
                <w:szCs w:val="18"/>
                <w:color w:val="auto"/>
              </w:rPr>
              <w:t>California</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ABM Texas General Services, Inc.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OneSource Facility Services, Inc.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ABM Building &amp; Energy Solutions,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Building Services,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Building Solutions,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Electrical Power Services,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Electrical Power Solutions,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Electrical &amp; Lighting Services,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Electrical &amp; Lighting Solutions, Inc.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ABM Facility Support Services,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RenewEnergy Solutions,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ABM Franchising Group,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560"/>
              <w:spacing w:after="0"/>
              <w:rPr>
                <w:sz w:val="20"/>
                <w:szCs w:val="20"/>
                <w:color w:val="auto"/>
              </w:rPr>
            </w:pPr>
            <w:r>
              <w:rPr>
                <w:rFonts w:ascii="Arial" w:cs="Arial" w:eastAsia="Arial" w:hAnsi="Arial"/>
                <w:sz w:val="18"/>
                <w:szCs w:val="18"/>
                <w:color w:val="auto"/>
              </w:rPr>
              <w:t>Grade Sub Two, LLC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780"/>
              <w:spacing w:after="0"/>
              <w:rPr>
                <w:sz w:val="20"/>
                <w:szCs w:val="20"/>
                <w:color w:val="auto"/>
              </w:rPr>
            </w:pPr>
            <w:r>
              <w:rPr>
                <w:rFonts w:ascii="Arial" w:cs="Arial" w:eastAsia="Arial" w:hAnsi="Arial"/>
                <w:sz w:val="18"/>
                <w:szCs w:val="18"/>
                <w:color w:val="auto"/>
              </w:rPr>
              <w:t>GCA Services Group, Inc.</w:t>
            </w:r>
          </w:p>
        </w:tc>
        <w:tc>
          <w:tcPr>
            <w:tcW w:w="368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240" w:type="dxa"/>
            <w:vAlign w:val="bottom"/>
          </w:tcPr>
          <w:p>
            <w:pPr>
              <w:ind w:left="1000"/>
              <w:spacing w:after="0"/>
              <w:rPr>
                <w:sz w:val="20"/>
                <w:szCs w:val="20"/>
                <w:color w:val="auto"/>
              </w:rPr>
            </w:pPr>
            <w:r>
              <w:rPr>
                <w:rFonts w:ascii="Arial" w:cs="Arial" w:eastAsia="Arial" w:hAnsi="Arial"/>
                <w:sz w:val="18"/>
                <w:szCs w:val="18"/>
                <w:color w:val="auto"/>
              </w:rPr>
              <w:t>Associated Facility Management, LLC</w:t>
            </w:r>
          </w:p>
        </w:tc>
        <w:tc>
          <w:tcPr>
            <w:tcW w:w="3680" w:type="dxa"/>
            <w:vAlign w:val="bottom"/>
          </w:tcPr>
          <w:p>
            <w:pPr>
              <w:ind w:left="1820"/>
              <w:spacing w:after="0"/>
              <w:rPr>
                <w:sz w:val="20"/>
                <w:szCs w:val="20"/>
                <w:color w:val="auto"/>
              </w:rPr>
            </w:pPr>
            <w:r>
              <w:rPr>
                <w:rFonts w:ascii="Arial" w:cs="Arial" w:eastAsia="Arial" w:hAnsi="Arial"/>
                <w:sz w:val="18"/>
                <w:szCs w:val="18"/>
                <w:color w:val="auto"/>
              </w:rPr>
              <w:t>Nevada</w:t>
            </w:r>
          </w:p>
        </w:tc>
      </w:tr>
    </w:tbl>
    <w:p>
      <w:pPr>
        <w:sectPr>
          <w:pgSz w:w="11900" w:h="16838" w:orient="portrait"/>
          <w:cols w:equalWidth="0" w:num="1">
            <w:col w:w="11420"/>
          </w:cols>
          <w:pgMar w:left="240" w:top="801" w:right="239" w:bottom="1440" w:gutter="0" w:footer="0" w:header="0"/>
        </w:sectPr>
      </w:pPr>
    </w:p>
    <w:bookmarkStart w:id="124" w:name="page125"/>
    <w:bookmarkEnd w:id="124"/>
    <w:p>
      <w:pPr>
        <w:ind w:left="1980"/>
        <w:spacing w:after="0"/>
        <w:rPr>
          <w:sz w:val="20"/>
          <w:szCs w:val="20"/>
          <w:color w:val="auto"/>
        </w:rPr>
      </w:pPr>
      <w:r>
        <w:rPr>
          <w:rFonts w:ascii="Arial" w:cs="Arial" w:eastAsia="Arial" w:hAnsi="Arial"/>
          <w:sz w:val="18"/>
          <w:szCs w:val="18"/>
          <w:color w:val="auto"/>
        </w:rPr>
        <w:t>GCA Cleaning Specialties, LP</w:t>
      </w:r>
    </w:p>
    <w:p>
      <w:pPr>
        <w:spacing w:after="0" w:line="6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GCA Services Group Mountain States, LP</w:t>
      </w:r>
    </w:p>
    <w:p>
      <w:pPr>
        <w:spacing w:after="0" w:line="6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GCA Services Group of Texas, LP</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Associated Facility Ventures, LLC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Education Services,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Education Services Central States,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GCA Education Services of New England, Inc.</w:t>
      </w:r>
    </w:p>
    <w:p>
      <w:pPr>
        <w:spacing w:after="0" w:line="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K12 Education Services,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Nuclear Facility Services,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Plumbing Services,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Production Services,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Services Group of California,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Services Group of Colorado,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Services Group of North Carolina,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GCA Services Group of Northwestern States, Inc.</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Specialty Services LLC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GCA Staffing Services, Inc.</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National Building Maintenance Corp.</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IFM Assurance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00" w:lineRule="exact"/>
        <w:rPr>
          <w:sz w:val="20"/>
          <w:szCs w:val="20"/>
          <w:color w:val="auto"/>
        </w:rPr>
      </w:pPr>
    </w:p>
    <w:p>
      <w:pPr>
        <w:sectPr>
          <w:pgSz w:w="11900" w:h="16838" w:orient="portrait"/>
          <w:cols w:equalWidth="0" w:num="2">
            <w:col w:w="8100" w:space="720"/>
            <w:col w:w="1399"/>
          </w:cols>
          <w:pgMar w:left="240" w:top="746" w:right="1440"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*Subsidiary relationship to Company or to subsidiary parents shown by progressive indentation.</w:t>
      </w:r>
    </w:p>
    <w:p>
      <w:pPr>
        <w:sectPr>
          <w:pgSz w:w="11900" w:h="16838" w:orient="portrait"/>
          <w:cols w:equalWidth="0" w:num="1">
            <w:col w:w="10219"/>
          </w:cols>
          <w:pgMar w:left="240" w:top="746" w:right="1440"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statements listed below of ABM Industries Incorporated and subsidiaries of our reports dated December 21, 2018, with respect to the consolidated balance sheets of ABM Industries Incorporated and subsidiaries as of October 31, 2018 and 2017, and the related consolidated statements of comprehensive income, stockholders’ equity, and cash flows for each of the years in the three-year period ended October 31, 2018, and the related notes and financial statement Schedule II (collectively, the consolidated financial statements), and the effectiveness of internal control over financial reporting as of October 31, 2018, which reports appear in the October 31, 2018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ABM Industries Incorporated.</w:t>
      </w:r>
    </w:p>
    <w:p>
      <w:pPr>
        <w:spacing w:after="0" w:line="325"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Registration No.</w:t>
            </w:r>
          </w:p>
        </w:tc>
        <w:tc>
          <w:tcPr>
            <w:tcW w:w="1400" w:type="dxa"/>
            <w:vAlign w:val="bottom"/>
          </w:tcPr>
          <w:p>
            <w:pPr>
              <w:ind w:left="560"/>
              <w:spacing w:after="0"/>
              <w:rPr>
                <w:sz w:val="20"/>
                <w:szCs w:val="20"/>
                <w:color w:val="auto"/>
              </w:rPr>
            </w:pPr>
            <w:r>
              <w:rPr>
                <w:rFonts w:ascii="Arial" w:cs="Arial" w:eastAsia="Arial" w:hAnsi="Arial"/>
                <w:sz w:val="18"/>
                <w:szCs w:val="18"/>
                <w:color w:val="auto"/>
              </w:rPr>
              <w:t>Form</w:t>
            </w:r>
          </w:p>
        </w:tc>
        <w:tc>
          <w:tcPr>
            <w:tcW w:w="840" w:type="dxa"/>
            <w:vAlign w:val="bottom"/>
          </w:tcPr>
          <w:p>
            <w:pPr>
              <w:ind w:left="460"/>
              <w:spacing w:after="0"/>
              <w:rPr>
                <w:sz w:val="20"/>
                <w:szCs w:val="20"/>
                <w:color w:val="auto"/>
              </w:rPr>
            </w:pPr>
            <w:r>
              <w:rPr>
                <w:rFonts w:ascii="Arial" w:cs="Arial" w:eastAsia="Arial" w:hAnsi="Arial"/>
                <w:sz w:val="18"/>
                <w:szCs w:val="18"/>
                <w:color w:val="auto"/>
                <w:w w:val="99"/>
              </w:rPr>
              <w:t>Plan</w:t>
            </w:r>
          </w:p>
        </w:tc>
        <w:tc>
          <w:tcPr>
            <w:tcW w:w="5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tcPr>
          <w:p>
            <w:pPr>
              <w:ind w:left="20"/>
              <w:spacing w:after="0"/>
              <w:rPr>
                <w:sz w:val="20"/>
                <w:szCs w:val="20"/>
                <w:color w:val="auto"/>
              </w:rPr>
            </w:pPr>
            <w:r>
              <w:rPr>
                <w:rFonts w:ascii="Arial" w:cs="Arial" w:eastAsia="Arial" w:hAnsi="Arial"/>
                <w:sz w:val="18"/>
                <w:szCs w:val="18"/>
                <w:color w:val="auto"/>
              </w:rPr>
              <w:t>333-167464</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2004</w:t>
            </w:r>
          </w:p>
        </w:tc>
        <w:tc>
          <w:tcPr>
            <w:tcW w:w="59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333-78423</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6800" w:type="dxa"/>
            <w:vAlign w:val="bottom"/>
            <w:gridSpan w:val="2"/>
          </w:tcPr>
          <w:p>
            <w:pPr>
              <w:ind w:left="460"/>
              <w:spacing w:after="0"/>
              <w:rPr>
                <w:sz w:val="20"/>
                <w:szCs w:val="20"/>
                <w:color w:val="auto"/>
              </w:rPr>
            </w:pPr>
            <w:r>
              <w:rPr>
                <w:rFonts w:ascii="Arial" w:cs="Arial" w:eastAsia="Arial" w:hAnsi="Arial"/>
                <w:sz w:val="18"/>
                <w:szCs w:val="18"/>
                <w:color w:val="auto"/>
              </w:rPr>
              <w:t>“Age-Vested” Career Stock Option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333-78421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6800" w:type="dxa"/>
            <w:vAlign w:val="bottom"/>
            <w:gridSpan w:val="2"/>
          </w:tcPr>
          <w:p>
            <w:pPr>
              <w:ind w:left="460"/>
              <w:spacing w:after="0"/>
              <w:rPr>
                <w:sz w:val="20"/>
                <w:szCs w:val="20"/>
                <w:color w:val="auto"/>
              </w:rPr>
            </w:pPr>
            <w:r>
              <w:rPr>
                <w:rFonts w:ascii="Arial" w:cs="Arial" w:eastAsia="Arial" w:hAnsi="Arial"/>
                <w:sz w:val="18"/>
                <w:szCs w:val="18"/>
                <w:color w:val="auto"/>
              </w:rPr>
              <w:t>“Time-Vested” Incentive Stock Option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333-48857</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1996</w:t>
            </w:r>
          </w:p>
        </w:tc>
        <w:tc>
          <w:tcPr>
            <w:tcW w:w="596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333-85390</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2002</w:t>
            </w:r>
          </w:p>
        </w:tc>
        <w:tc>
          <w:tcPr>
            <w:tcW w:w="596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333-116487</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2004</w:t>
            </w:r>
          </w:p>
        </w:tc>
        <w:tc>
          <w:tcPr>
            <w:tcW w:w="59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333-137241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2006</w:t>
            </w:r>
          </w:p>
        </w:tc>
        <w:tc>
          <w:tcPr>
            <w:tcW w:w="59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333-159770</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2006</w:t>
            </w:r>
          </w:p>
        </w:tc>
        <w:tc>
          <w:tcPr>
            <w:tcW w:w="59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333-179991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2006</w:t>
            </w:r>
          </w:p>
        </w:tc>
        <w:tc>
          <w:tcPr>
            <w:tcW w:w="59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333-202521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2006</w:t>
            </w:r>
          </w:p>
        </w:tc>
        <w:tc>
          <w:tcPr>
            <w:tcW w:w="59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333-211991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2004</w:t>
            </w:r>
          </w:p>
        </w:tc>
        <w:tc>
          <w:tcPr>
            <w:tcW w:w="59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333-224183</w:t>
            </w:r>
          </w:p>
        </w:tc>
        <w:tc>
          <w:tcPr>
            <w:tcW w:w="1400" w:type="dxa"/>
            <w:vAlign w:val="bottom"/>
            <w:vMerge w:val="restart"/>
          </w:tcPr>
          <w:p>
            <w:pPr>
              <w:ind w:left="560"/>
              <w:spacing w:after="0"/>
              <w:rPr>
                <w:sz w:val="20"/>
                <w:szCs w:val="20"/>
                <w:color w:val="auto"/>
              </w:rPr>
            </w:pPr>
            <w:r>
              <w:rPr>
                <w:rFonts w:ascii="Arial" w:cs="Arial" w:eastAsia="Arial" w:hAnsi="Arial"/>
                <w:sz w:val="18"/>
                <w:szCs w:val="18"/>
                <w:color w:val="auto"/>
              </w:rPr>
              <w:t>S-8</w:t>
            </w:r>
          </w:p>
        </w:tc>
        <w:tc>
          <w:tcPr>
            <w:tcW w:w="6800" w:type="dxa"/>
            <w:vAlign w:val="bottom"/>
            <w:gridSpan w:val="2"/>
            <w:vMerge w:val="restart"/>
          </w:tcPr>
          <w:p>
            <w:pPr>
              <w:ind w:left="460"/>
              <w:spacing w:after="0"/>
              <w:rPr>
                <w:sz w:val="20"/>
                <w:szCs w:val="20"/>
                <w:color w:val="auto"/>
              </w:rPr>
            </w:pPr>
            <w:r>
              <w:rPr>
                <w:rFonts w:ascii="Arial" w:cs="Arial" w:eastAsia="Arial" w:hAnsi="Arial"/>
                <w:sz w:val="18"/>
                <w:szCs w:val="18"/>
                <w:color w:val="auto"/>
              </w:rPr>
              <w:t>Amended and Restated 2016 Equity Incentive Plan</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6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333-223233</w:t>
            </w:r>
          </w:p>
        </w:tc>
        <w:tc>
          <w:tcPr>
            <w:tcW w:w="1400" w:type="dxa"/>
            <w:vAlign w:val="bottom"/>
          </w:tcPr>
          <w:p>
            <w:pPr>
              <w:ind w:left="560"/>
              <w:spacing w:after="0"/>
              <w:rPr>
                <w:sz w:val="20"/>
                <w:szCs w:val="20"/>
                <w:color w:val="auto"/>
              </w:rPr>
            </w:pPr>
            <w:r>
              <w:rPr>
                <w:rFonts w:ascii="Arial" w:cs="Arial" w:eastAsia="Arial" w:hAnsi="Arial"/>
                <w:sz w:val="18"/>
                <w:szCs w:val="18"/>
                <w:color w:val="auto"/>
              </w:rPr>
              <w:t>S-3</w:t>
            </w:r>
          </w:p>
        </w:tc>
        <w:tc>
          <w:tcPr>
            <w:tcW w:w="6800" w:type="dxa"/>
            <w:vAlign w:val="bottom"/>
            <w:gridSpan w:val="2"/>
          </w:tcPr>
          <w:p>
            <w:pPr>
              <w:ind w:left="460"/>
              <w:spacing w:after="0"/>
              <w:rPr>
                <w:sz w:val="20"/>
                <w:szCs w:val="20"/>
                <w:color w:val="auto"/>
              </w:rPr>
            </w:pPr>
            <w:r>
              <w:rPr>
                <w:rFonts w:ascii="Arial" w:cs="Arial" w:eastAsia="Arial" w:hAnsi="Arial"/>
                <w:sz w:val="18"/>
                <w:szCs w:val="18"/>
                <w:color w:val="auto"/>
              </w:rPr>
              <w:t>ABM Industries Automatic Shelf Registration Statement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December 21, 2018</w:t>
      </w:r>
      <w:r>
        <w:rPr>
          <w:sz w:val="20"/>
          <w:szCs w:val="20"/>
          <w:color w:val="auto"/>
        </w:rPr>
        <w:tab/>
      </w:r>
      <w:r>
        <w:rPr>
          <w:rFonts w:ascii="Arial" w:cs="Arial" w:eastAsia="Arial" w:hAnsi="Arial"/>
          <w:sz w:val="16"/>
          <w:szCs w:val="16"/>
          <w:u w:val="single" w:color="auto"/>
          <w:color w:val="auto"/>
        </w:rPr>
        <w:t>/s/ Scott Salmirs</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Scott Salmirs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December 21, 2018</w:t>
            </w:r>
          </w:p>
        </w:tc>
        <w:tc>
          <w:tcPr>
            <w:tcW w:w="3800" w:type="dxa"/>
            <w:vAlign w:val="bottom"/>
            <w:gridSpan w:val="2"/>
          </w:tcPr>
          <w:p>
            <w:pPr>
              <w:spacing w:after="0"/>
              <w:rPr>
                <w:sz w:val="20"/>
                <w:szCs w:val="20"/>
                <w:color w:val="auto"/>
              </w:rPr>
            </w:pPr>
            <w:r>
              <w:rPr>
                <w:rFonts w:ascii="Arial" w:cs="Arial" w:eastAsia="Arial" w:hAnsi="Arial"/>
                <w:sz w:val="18"/>
                <w:szCs w:val="18"/>
                <w:color w:val="auto"/>
              </w:rPr>
              <w:t>/s/ D. Anthony Scaglione</w:t>
            </w:r>
          </w:p>
        </w:tc>
      </w:tr>
      <w:tr>
        <w:trPr>
          <w:trHeight w:val="20"/>
        </w:trPr>
        <w:tc>
          <w:tcPr>
            <w:tcW w:w="21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2"/>
        </w:trPr>
        <w:tc>
          <w:tcPr>
            <w:tcW w:w="2140" w:type="dxa"/>
            <w:vAlign w:val="bottom"/>
          </w:tcPr>
          <w:p>
            <w:pPr>
              <w:spacing w:after="0"/>
              <w:rPr>
                <w:sz w:val="19"/>
                <w:szCs w:val="19"/>
                <w:color w:val="auto"/>
              </w:rPr>
            </w:pPr>
          </w:p>
        </w:tc>
        <w:tc>
          <w:tcPr>
            <w:tcW w:w="3800" w:type="dxa"/>
            <w:vAlign w:val="bottom"/>
            <w:gridSpan w:val="2"/>
          </w:tcPr>
          <w:p>
            <w:pPr>
              <w:ind w:left="1760"/>
              <w:spacing w:after="0"/>
              <w:rPr>
                <w:sz w:val="20"/>
                <w:szCs w:val="20"/>
                <w:color w:val="auto"/>
              </w:rPr>
            </w:pPr>
            <w:r>
              <w:rPr>
                <w:rFonts w:ascii="Arial" w:cs="Arial" w:eastAsia="Arial" w:hAnsi="Arial"/>
                <w:sz w:val="18"/>
                <w:szCs w:val="18"/>
                <w:color w:val="auto"/>
              </w:rPr>
              <w:t>D. Anthony Scaglione</w:t>
            </w:r>
          </w:p>
        </w:tc>
      </w:tr>
      <w:tr>
        <w:trPr>
          <w:trHeight w:val="216"/>
        </w:trPr>
        <w:tc>
          <w:tcPr>
            <w:tcW w:w="2140" w:type="dxa"/>
            <w:vAlign w:val="bottom"/>
          </w:tcPr>
          <w:p>
            <w:pPr>
              <w:spacing w:after="0"/>
              <w:rPr>
                <w:sz w:val="18"/>
                <w:szCs w:val="18"/>
                <w:color w:val="auto"/>
              </w:rPr>
            </w:pPr>
          </w:p>
        </w:tc>
        <w:tc>
          <w:tcPr>
            <w:tcW w:w="3800" w:type="dxa"/>
            <w:vAlign w:val="bottom"/>
            <w:gridSpan w:val="2"/>
          </w:tcPr>
          <w:p>
            <w:pPr>
              <w:ind w:left="1760"/>
              <w:spacing w:after="0"/>
              <w:rPr>
                <w:sz w:val="20"/>
                <w:szCs w:val="20"/>
                <w:color w:val="auto"/>
              </w:rPr>
            </w:pPr>
            <w:r>
              <w:rPr>
                <w:rFonts w:ascii="Arial" w:cs="Arial" w:eastAsia="Arial" w:hAnsi="Arial"/>
                <w:sz w:val="18"/>
                <w:szCs w:val="18"/>
                <w:color w:val="auto"/>
              </w:rPr>
              <w:t>Chief Financial Officer</w:t>
            </w:r>
          </w:p>
        </w:tc>
      </w:tr>
      <w:tr>
        <w:trPr>
          <w:trHeight w:val="230"/>
        </w:trPr>
        <w:tc>
          <w:tcPr>
            <w:tcW w:w="2140" w:type="dxa"/>
            <w:vAlign w:val="bottom"/>
          </w:tcPr>
          <w:p>
            <w:pPr>
              <w:spacing w:after="0"/>
              <w:rPr>
                <w:sz w:val="20"/>
                <w:szCs w:val="20"/>
                <w:color w:val="auto"/>
              </w:rPr>
            </w:pPr>
          </w:p>
        </w:tc>
        <w:tc>
          <w:tcPr>
            <w:tcW w:w="3800" w:type="dxa"/>
            <w:vAlign w:val="bottom"/>
            <w:gridSpan w:val="2"/>
          </w:tcPr>
          <w:p>
            <w:pPr>
              <w:ind w:left="1760"/>
              <w:spacing w:after="0"/>
              <w:rPr>
                <w:sz w:val="20"/>
                <w:szCs w:val="20"/>
                <w:color w:val="auto"/>
              </w:rPr>
            </w:pPr>
            <w:r>
              <w:rPr>
                <w:rFonts w:ascii="Arial" w:cs="Arial" w:eastAsia="Arial" w:hAnsi="Arial"/>
                <w:sz w:val="18"/>
                <w:szCs w:val="18"/>
                <w:color w:val="auto"/>
                <w:w w:val="93"/>
              </w:rPr>
              <w:t>(Principal Financial Officer)</w:t>
            </w:r>
          </w:p>
        </w:tc>
      </w:tr>
    </w:tbl>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connection with the Annual Report of ABM Industries Incorporated (the “Company”) for the year ended October 31, 2018,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71" w:lineRule="exact"/>
        <w:rPr>
          <w:sz w:val="20"/>
          <w:szCs w:val="20"/>
          <w:color w:val="auto"/>
        </w:rPr>
      </w:pPr>
    </w:p>
    <w:p>
      <w:pPr>
        <w:ind w:left="980" w:hanging="648"/>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December 21, 2018</w:t>
            </w:r>
          </w:p>
        </w:tc>
        <w:tc>
          <w:tcPr>
            <w:tcW w:w="3860" w:type="dxa"/>
            <w:vAlign w:val="bottom"/>
            <w:gridSpan w:val="3"/>
          </w:tcPr>
          <w:p>
            <w:pPr>
              <w:spacing w:after="0"/>
              <w:rPr>
                <w:sz w:val="20"/>
                <w:szCs w:val="20"/>
                <w:color w:val="auto"/>
              </w:rPr>
            </w:pPr>
            <w:r>
              <w:rPr>
                <w:rFonts w:ascii="Arial" w:cs="Arial" w:eastAsia="Arial" w:hAnsi="Arial"/>
                <w:sz w:val="18"/>
                <w:szCs w:val="18"/>
                <w:color w:val="auto"/>
              </w:rPr>
              <w:t>/s/ Scott Salmirs</w:t>
            </w:r>
          </w:p>
        </w:tc>
      </w:tr>
      <w:tr>
        <w:trPr>
          <w:trHeight w:val="222"/>
        </w:trPr>
        <w:tc>
          <w:tcPr>
            <w:tcW w:w="2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Scott Salmirs</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Chief Executive Officer</w:t>
            </w:r>
          </w:p>
        </w:tc>
      </w:tr>
      <w:tr>
        <w:trPr>
          <w:trHeight w:val="230"/>
        </w:trPr>
        <w:tc>
          <w:tcPr>
            <w:tcW w:w="2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w w:val="93"/>
              </w:rPr>
              <w:t>(Principal Executive Officer)</w:t>
            </w:r>
          </w:p>
        </w:tc>
      </w:tr>
      <w:tr>
        <w:trPr>
          <w:trHeight w:val="608"/>
        </w:trPr>
        <w:tc>
          <w:tcPr>
            <w:tcW w:w="2140" w:type="dxa"/>
            <w:vAlign w:val="bottom"/>
          </w:tcPr>
          <w:p>
            <w:pPr>
              <w:spacing w:after="0"/>
              <w:rPr>
                <w:sz w:val="20"/>
                <w:szCs w:val="20"/>
                <w:color w:val="auto"/>
              </w:rPr>
            </w:pPr>
            <w:r>
              <w:rPr>
                <w:rFonts w:ascii="Arial" w:cs="Arial" w:eastAsia="Arial" w:hAnsi="Arial"/>
                <w:sz w:val="18"/>
                <w:szCs w:val="18"/>
                <w:color w:val="auto"/>
              </w:rPr>
              <w:t>December 21, 2018</w:t>
            </w:r>
          </w:p>
        </w:tc>
        <w:tc>
          <w:tcPr>
            <w:tcW w:w="3860" w:type="dxa"/>
            <w:vAlign w:val="bottom"/>
            <w:gridSpan w:val="3"/>
          </w:tcPr>
          <w:p>
            <w:pPr>
              <w:spacing w:after="0"/>
              <w:rPr>
                <w:sz w:val="20"/>
                <w:szCs w:val="20"/>
                <w:color w:val="auto"/>
              </w:rPr>
            </w:pPr>
            <w:r>
              <w:rPr>
                <w:rFonts w:ascii="Arial" w:cs="Arial" w:eastAsia="Arial" w:hAnsi="Arial"/>
                <w:sz w:val="18"/>
                <w:szCs w:val="18"/>
                <w:color w:val="auto"/>
              </w:rPr>
              <w:t>/s/ D. Anthony Scaglione</w:t>
            </w:r>
          </w:p>
        </w:tc>
      </w:tr>
      <w:tr>
        <w:trPr>
          <w:trHeight w:val="20"/>
        </w:trPr>
        <w:tc>
          <w:tcPr>
            <w:tcW w:w="2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2"/>
        </w:trPr>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D. Anthony Scaglione</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Chief Financial Officer</w:t>
            </w:r>
          </w:p>
        </w:tc>
      </w:tr>
      <w:tr>
        <w:trPr>
          <w:trHeight w:val="230"/>
        </w:trPr>
        <w:tc>
          <w:tcPr>
            <w:tcW w:w="2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w w:val="96"/>
              </w:rPr>
              <w:t>(Principal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56"/>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lvl w:ilvl="1">
      <w:lvlJc w:val="left"/>
      <w:lvlText w:val="•"/>
      <w:numFmt w:val="bullet"/>
      <w:start w:val="1"/>
    </w:lvl>
  </w:abstractNum>
  <w:abstractNum w:abstractNumId="5">
    <w:nsid w:val="2463B9EA"/>
    <w:multiLevelType w:val="hybridMultilevel"/>
    <w:lvl w:ilvl="0">
      <w:lvlJc w:val="left"/>
      <w:lvlText w:val="(%1)"/>
      <w:numFmt w:val="decimal"/>
      <w:start w:val="2"/>
    </w:lvl>
    <w:lvl w:ilvl="1">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9"/>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upperLetter"/>
      <w:start w:val="1"/>
    </w:lvl>
  </w:abstractNum>
  <w:abstractNum w:abstractNumId="46">
    <w:nsid w:val="354FE9F9"/>
    <w:multiLevelType w:val="hybridMultilevel"/>
    <w:lvl w:ilvl="0">
      <w:lvlJc w:val="left"/>
      <w:lvlText w:val="%1."/>
      <w:numFmt w:val="upperLetter"/>
      <w:start w:val="13"/>
    </w:lvl>
  </w:abstractNum>
  <w:abstractNum w:abstractNumId="47">
    <w:nsid w:val="15B5AF5C"/>
    <w:multiLevelType w:val="hybridMultilevel"/>
    <w:lvl w:ilvl="0">
      <w:lvlJc w:val="left"/>
      <w:lvlText w:val="%1."/>
      <w:numFmt w:val="upperLetter"/>
      <w:start w:val="14"/>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decimal"/>
      <w:start w:val="1"/>
    </w:lvl>
    <w:lvl w:ilvl="1">
      <w:lvlJc w:val="left"/>
      <w:lvlText w:val="(%2)"/>
      <w:numFmt w:val="lowerLetter"/>
      <w:start w:val="5"/>
    </w:lvl>
  </w:abstractNum>
  <w:abstractNum w:abstractNumId="51">
    <w:nsid w:val="3F6AB60F"/>
    <w:multiLevelType w:val="hybridMultilevel"/>
    <w:lvl w:ilvl="0">
      <w:lvlJc w:val="left"/>
      <w:lvlText w:val="(%1)"/>
      <w:numFmt w:val="decimal"/>
      <w:start w:val="2"/>
    </w:lvl>
    <w:lvl w:ilvl="1">
      <w:lvlJc w:val="left"/>
      <w:lvlText w:val="%2"/>
      <w:numFmt w:val="lowerLetter"/>
      <w:start w:val="1"/>
    </w:lvl>
  </w:abstractNum>
  <w:abstractNum w:abstractNumId="52">
    <w:nsid w:val="61574095"/>
    <w:multiLevelType w:val="hybridMultilevel"/>
    <w:lvl w:ilvl="0">
      <w:lvlJc w:val="left"/>
      <w:lvlText w:val="%1"/>
      <w:numFmt w:val="decimal"/>
      <w:start w:val="1"/>
    </w:lvl>
    <w:lvl w:ilvl="1">
      <w:lvlJc w:val="left"/>
      <w:lvlText w:val="(%2)"/>
      <w:numFmt w:val="lowerLetter"/>
      <w:start w:val="10"/>
    </w:lvl>
  </w:abstractNum>
  <w:abstractNum w:abstractNumId="53">
    <w:nsid w:val="7E0C57B1"/>
    <w:multiLevelType w:val="hybridMultilevel"/>
    <w:lvl w:ilvl="0">
      <w:lvlJc w:val="left"/>
      <w:lvlText w:val="%1."/>
      <w:numFmt w:val="decimal"/>
      <w:start w:val="2"/>
    </w:lvl>
    <w:lvl w:ilvl="1">
      <w:lvlJc w:val="left"/>
      <w:lvlText w:val="%2"/>
      <w:numFmt w:val="lowerLetter"/>
      <w:start w:val="1"/>
    </w:lvl>
  </w:abstractNum>
  <w:abstractNum w:abstractNumId="54">
    <w:nsid w:val="77AE35EB"/>
    <w:multiLevelType w:val="hybridMultilevel"/>
    <w:lvl w:ilvl="0">
      <w:lvlJc w:val="left"/>
      <w:lvlText w:val="(%1)"/>
      <w:numFmt w:val="lowerLetter"/>
      <w:start w:val="1"/>
    </w:lvl>
    <w:lvl w:ilvl="1">
      <w:lvlJc w:val="left"/>
      <w:lvlText w:val="%2"/>
      <w:numFmt w:val="decimal"/>
      <w:start w:val="1"/>
    </w:lvl>
  </w:abstractNum>
  <w:abstractNum w:abstractNumId="55">
    <w:nsid w:val="579BE4F1"/>
    <w:multiLevelType w:val="hybridMultilevel"/>
    <w:lvl w:ilvl="0">
      <w:lvlJc w:val="left"/>
      <w:lvlText w:val="(%1)"/>
      <w:numFmt w:val="lowerLetter"/>
      <w:start w:val="3"/>
    </w:lvl>
    <w:lvl w:ilvl="1">
      <w:lvlJc w:val="left"/>
      <w:lvlText w:val="%2."/>
      <w:numFmt w:val="decimal"/>
      <w:start w:val="4"/>
    </w:lvl>
  </w:abstractNum>
  <w:abstractNum w:abstractNumId="56">
    <w:nsid w:val="310C50B3"/>
    <w:multiLevelType w:val="hybridMultilevel"/>
    <w:lvl w:ilvl="0">
      <w:lvlJc w:val="left"/>
      <w:lvlText w:val="(%1)"/>
      <w:numFmt w:val="lowerLetter"/>
      <w:start w:val="2"/>
    </w:lvl>
    <w:lvl w:ilvl="1">
      <w:lvlJc w:val="left"/>
      <w:lvlText w:val="%2."/>
      <w:numFmt w:val="decimal"/>
      <w:start w:val="5"/>
    </w:lvl>
  </w:abstractNum>
  <w:abstractNum w:abstractNumId="57">
    <w:nsid w:val="5FF87E05"/>
    <w:multiLevelType w:val="hybridMultilevel"/>
    <w:lvl w:ilvl="0">
      <w:lvlJc w:val="left"/>
      <w:lvlText w:val="(%1)"/>
      <w:numFmt w:val="lowerLetter"/>
      <w:start w:val="35"/>
    </w:lvl>
    <w:lvl w:ilvl="1">
      <w:lvlJc w:val="left"/>
      <w:lvlText w:val="%2."/>
      <w:numFmt w:val="decimal"/>
      <w:start w:val="6"/>
    </w:lvl>
  </w:abstractNum>
  <w:abstractNum w:abstractNumId="58">
    <w:nsid w:val="2F305DEF"/>
    <w:multiLevelType w:val="hybridMultilevel"/>
    <w:lvl w:ilvl="0">
      <w:lvlJc w:val="left"/>
      <w:lvlText w:val="%1."/>
      <w:numFmt w:val="decimal"/>
      <w:start w:val="8"/>
    </w:lvl>
    <w:lvl w:ilvl="1">
      <w:lvlJc w:val="left"/>
      <w:lvlText w:val="(%2)"/>
      <w:numFmt w:val="lowerLetter"/>
      <w:start w:val="1"/>
    </w:lvl>
  </w:abstractNum>
  <w:abstractNum w:abstractNumId="59">
    <w:nsid w:val="25A70BF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0">
    <w:nsid w:val="1DBABF00"/>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1"/>
    </w:lvl>
  </w:abstractNum>
  <w:abstractNum w:abstractNumId="61">
    <w:nsid w:val="4AD084E9"/>
    <w:multiLevelType w:val="hybridMultilevel"/>
    <w:lvl w:ilvl="0">
      <w:lvlJc w:val="left"/>
      <w:lvlText w:val="%1"/>
      <w:numFmt w:val="decimal"/>
      <w:start w:val="1"/>
    </w:lvl>
    <w:lvl w:ilvl="1">
      <w:lvlJc w:val="left"/>
      <w:lvlText w:val="(%2)"/>
      <w:numFmt w:val="lowerLetter"/>
      <w:start w:val="3"/>
    </w:lvl>
  </w:abstractNum>
  <w:abstractNum w:abstractNumId="62">
    <w:nsid w:val="1F48EAA1"/>
    <w:multiLevelType w:val="hybridMultilevel"/>
    <w:lvl w:ilvl="0">
      <w:lvlJc w:val="left"/>
      <w:lvlText w:val="%1."/>
      <w:numFmt w:val="decimal"/>
      <w:start w:val="10"/>
    </w:lvl>
    <w:lvl w:ilvl="1">
      <w:lvlJc w:val="left"/>
      <w:lvlText w:val="(%2)"/>
      <w:numFmt w:val="lowerLetter"/>
      <w:start w:val="1"/>
    </w:lvl>
  </w:abstractNum>
  <w:abstractNum w:abstractNumId="63">
    <w:nsid w:val="1381823A"/>
    <w:multiLevelType w:val="hybridMultilevel"/>
    <w:lvl w:ilvl="0">
      <w:lvlJc w:val="left"/>
      <w:lvlText w:val="%1"/>
      <w:numFmt w:val="decimal"/>
      <w:start w:val="1"/>
    </w:lvl>
    <w:lvl w:ilvl="1">
      <w:lvlJc w:val="left"/>
      <w:lvlText w:val="(%2)"/>
      <w:numFmt w:val="lowerLetter"/>
      <w:start w:val="3"/>
    </w:lvl>
  </w:abstractNum>
  <w:abstractNum w:abstractNumId="64">
    <w:nsid w:val="5DB70AE5"/>
    <w:multiLevelType w:val="hybridMultilevel"/>
    <w:lvl w:ilvl="0">
      <w:lvlJc w:val="left"/>
      <w:lvlText w:val="%1."/>
      <w:numFmt w:val="decimal"/>
      <w:start w:val="13"/>
    </w:lvl>
    <w:lvl w:ilvl="1">
      <w:lvlJc w:val="left"/>
      <w:lvlText w:val="%2"/>
      <w:numFmt w:val="lowerLetter"/>
      <w:start w:val="1"/>
    </w:lvl>
  </w:abstractNum>
  <w:abstractNum w:abstractNumId="65">
    <w:nsid w:val="100F8FCA"/>
    <w:multiLevelType w:val="hybridMultilevel"/>
    <w:lvl w:ilvl="0">
      <w:lvlJc w:val="left"/>
      <w:lvlText w:val="%1."/>
      <w:numFmt w:val="decimal"/>
      <w:start w:val="16"/>
    </w:lvl>
    <w:lvl w:ilvl="1">
      <w:lvlJc w:val="left"/>
      <w:lvlText w:val="(%2)"/>
      <w:numFmt w:val="lowerLetter"/>
      <w:start w:val="1"/>
    </w:lvl>
  </w:abstractNum>
  <w:abstractNum w:abstractNumId="66">
    <w:nsid w:val="6590700B"/>
    <w:multiLevelType w:val="hybridMultilevel"/>
    <w:lvl w:ilvl="0">
      <w:lvlJc w:val="left"/>
      <w:lvlText w:val="%1."/>
      <w:numFmt w:val="decimal"/>
      <w:start w:val="18"/>
    </w:lvl>
  </w:abstractNum>
  <w:abstractNum w:abstractNumId="67">
    <w:nsid w:val="15014ACB"/>
    <w:multiLevelType w:val="hybridMultilevel"/>
    <w:lvl w:ilvl="0">
      <w:lvlJc w:val="left"/>
      <w:lvlText w:val="%1."/>
      <w:numFmt w:val="decimal"/>
      <w:start w:val="23"/>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hyperlink" Target="http://www.sec.gov/Archives/edgar/data/771497/000114420418015512/tv488684_ex1-1.htm" TargetMode="External"/><Relationship Id="rId151" Type="http://schemas.openxmlformats.org/officeDocument/2006/relationships/hyperlink" Target="http://www.sec.gov/Archives/edgar/data/771497/000157104917006648/t1702122_ex2-1.htm" TargetMode="External"/><Relationship Id="rId152" Type="http://schemas.openxmlformats.org/officeDocument/2006/relationships/hyperlink" Target="http://www.sec.gov/Archives/edgar/data/771497/000095014904000137/f95384exv3w1.txt" TargetMode="External"/><Relationship Id="rId153" Type="http://schemas.openxmlformats.org/officeDocument/2006/relationships/hyperlink" Target="http://www.sec.gov/Archives/edgar/data/771497/000114420418063816/tv508525_ex3-1.htm" TargetMode="External"/><Relationship Id="rId154" Type="http://schemas.openxmlformats.org/officeDocument/2006/relationships/hyperlink" Target="http://www.sec.gov/Archives/edgar/data/771497/000157104917007803/t1702518_ex10-1.htm" TargetMode="External"/><Relationship Id="rId155" Type="http://schemas.openxmlformats.org/officeDocument/2006/relationships/hyperlink" Target="http://www.sec.gov/Archives/edgar/data/771497/000157104917007803/t1702518_ex10-2.htm" TargetMode="External"/><Relationship Id="rId156" Type="http://schemas.openxmlformats.org/officeDocument/2006/relationships/hyperlink" Target="http://www.sec.gov/Archives/edgar/data/771497/000162828017012508/exhibit103103117.htm" TargetMode="External"/><Relationship Id="rId157" Type="http://schemas.openxmlformats.org/officeDocument/2006/relationships/hyperlink" Target="http://www.sec.gov/Archives/edgar/data/771497/000162828018011684/abm7312018ex101.htm" TargetMode="External"/><Relationship Id="rId158" Type="http://schemas.openxmlformats.org/officeDocument/2006/relationships/hyperlink" Target="http://www.sec.gov/Archives/edgar/data/771497/000162828018011684/abm7312018ex102.htm" TargetMode="External"/><Relationship Id="rId159" Type="http://schemas.openxmlformats.org/officeDocument/2006/relationships/hyperlink" Target="http://www.sec.gov/Archives/edgar/data/771497/000095013405000777/f04468exv10w17.htm" TargetMode="External"/><Relationship Id="rId160" Type="http://schemas.openxmlformats.org/officeDocument/2006/relationships/hyperlink" Target="http://www.sec.gov/Archives/edgar/data/771497/000095013406017513/f23539exv10w1.htm" TargetMode="External"/><Relationship Id="rId161" Type="http://schemas.openxmlformats.org/officeDocument/2006/relationships/hyperlink" Target="http://www.sec.gov/Archives/edgar/data/771497/000095012310116105/y87222exv10w7.htm" TargetMode="External"/><Relationship Id="rId162" Type="http://schemas.openxmlformats.org/officeDocument/2006/relationships/hyperlink" Target="http://www.sec.gov/Archives/edgar/data/771497/000095012308010739/y71046exv10w6.htm" TargetMode="External"/><Relationship Id="rId163" Type="http://schemas.openxmlformats.org/officeDocument/2006/relationships/hyperlink" Target="http://www.sec.gov/Archives/edgar/data/771497/000114420418013607/tv488007_ex10-1.htm" TargetMode="External"/><Relationship Id="rId164" Type="http://schemas.openxmlformats.org/officeDocument/2006/relationships/hyperlink" Target="http://www.sec.gov/Archives/edgar/data/771497/000119312513471774/d643440dex101.htm" TargetMode="External"/><Relationship Id="rId165" Type="http://schemas.openxmlformats.org/officeDocument/2006/relationships/hyperlink" Target="http://www.sec.gov/Archives/edgar/data/771497/000162828015004719/abm4302015ex102.htm" TargetMode="External"/><Relationship Id="rId166" Type="http://schemas.openxmlformats.org/officeDocument/2006/relationships/hyperlink" Target="http://www.sec.gov/Archives/edgar/data/771497/000119312513477634/d599535dex1016.htm" TargetMode="External"/><Relationship Id="rId167" Type="http://schemas.openxmlformats.org/officeDocument/2006/relationships/hyperlink" Target="http://www.sec.gov/Archives/edgar/data/771497/000162828015004719/abm4302015ex103.htm" TargetMode="External"/><Relationship Id="rId168" Type="http://schemas.openxmlformats.org/officeDocument/2006/relationships/hyperlink" Target="http://www.sec.gov/Archives/edgar/data/771497/000095012310116105/y87222exv10w13.htm" TargetMode="External"/><Relationship Id="rId169" Type="http://schemas.openxmlformats.org/officeDocument/2006/relationships/hyperlink" Target="http://www.sec.gov/Archives/edgar/data/771497/000095012310055999/c00586exv10w4.htm" TargetMode="External"/><Relationship Id="rId170" Type="http://schemas.openxmlformats.org/officeDocument/2006/relationships/hyperlink" Target="http://www.sec.gov/Archives/edgar/data/771497/000095012310055999/c00586exv10w5.htm" TargetMode="External"/><Relationship Id="rId171" Type="http://schemas.openxmlformats.org/officeDocument/2006/relationships/hyperlink" Target="http://www.sec.gov/Archives/edgar/data/771497/000119312513477634/d599535dex1020.htm" TargetMode="External"/><Relationship Id="rId172" Type="http://schemas.openxmlformats.org/officeDocument/2006/relationships/hyperlink" Target="http://www.sec.gov/Archives/edgar/data/771497/000157104915000264/t1500089_ex10-5.htm" TargetMode="External"/><Relationship Id="rId173" Type="http://schemas.openxmlformats.org/officeDocument/2006/relationships/hyperlink" Target="http://www.sec.gov/Archives/edgar/data/771497/000119312512382523/d383898dex101.htm" TargetMode="External"/><Relationship Id="rId174" Type="http://schemas.openxmlformats.org/officeDocument/2006/relationships/hyperlink" Target="http://www.sec.gov/Archives/edgar/data/771497/000095012310116105/y87222exv10w22.htm" TargetMode="External"/><Relationship Id="rId175" Type="http://schemas.openxmlformats.org/officeDocument/2006/relationships/hyperlink" Target="http://www.sec.gov/Archives/edgar/data/771497/000095012310031766/c98775exv10w3.htm" TargetMode="External"/><Relationship Id="rId176" Type="http://schemas.openxmlformats.org/officeDocument/2006/relationships/hyperlink" Target="http://www.sec.gov/Archives/edgar/data/771497/000095012308010739/y71046exv10w4.htm" TargetMode="External"/><Relationship Id="rId177" Type="http://schemas.openxmlformats.org/officeDocument/2006/relationships/hyperlink" Target="http://www.sec.gov/Archives/edgar/data/771497/000095012308010739/y71046exv10w5.htm" TargetMode="External"/><Relationship Id="rId178" Type="http://schemas.openxmlformats.org/officeDocument/2006/relationships/hyperlink" Target="http://www.sec.gov/Archives/edgar/data/771497/000095012311023988/c12908exv10w1.htm" TargetMode="External"/><Relationship Id="rId179" Type="http://schemas.openxmlformats.org/officeDocument/2006/relationships/hyperlink" Target="http://www.sec.gov/Archives/edgar/data/771497/000157104914005340/t1401994_ex10-1.htm" TargetMode="External"/><Relationship Id="rId180" Type="http://schemas.openxmlformats.org/officeDocument/2006/relationships/hyperlink" Target="http://www.sec.gov/Archives/edgar/data/771497/000119312512509900/d435349dex1034.htm" TargetMode="External"/><Relationship Id="rId181" Type="http://schemas.openxmlformats.org/officeDocument/2006/relationships/hyperlink" Target="http://www.sec.gov/Archives/edgar/data/771497/000095012308018635/y73611exv10w1.htm" TargetMode="External"/><Relationship Id="rId182" Type="http://schemas.openxmlformats.org/officeDocument/2006/relationships/hyperlink" Target="http://www.sec.gov/Archives/edgar/data/771497/000157104915000264/t1500089_ex10-4.htm" TargetMode="External"/><Relationship Id="rId183" Type="http://schemas.openxmlformats.org/officeDocument/2006/relationships/hyperlink" Target="http://www.sec.gov/Archives/edgar/data/771497/000162828017012508/exhibit102810312017.htm" TargetMode="External"/><Relationship Id="rId184" Type="http://schemas.openxmlformats.org/officeDocument/2006/relationships/hyperlink" Target="http://www.sec.gov/Archives/edgar/data/771497/000162828017012508/exhibit102910312017.htm" TargetMode="External"/><Relationship Id="rId185" Type="http://schemas.openxmlformats.org/officeDocument/2006/relationships/hyperlink" Target="http://www.sec.gov/Archives/edgar/data/771497/000162828015001452/abm1312015ex102.htm" TargetMode="External"/><Relationship Id="rId186" Type="http://schemas.openxmlformats.org/officeDocument/2006/relationships/hyperlink" Target="http://www.sec.gov/Archives/edgar/data/771497/000162828017012508/exhbitit103210312017.htm" TargetMode="External"/><Relationship Id="rId187" Type="http://schemas.openxmlformats.org/officeDocument/2006/relationships/hyperlink" Target="http://www.sec.gov/Archives/edgar/data/771497/000162828018002860/abm1312018ex101.htm" TargetMode="External"/><Relationship Id="rId188" Type="http://schemas.openxmlformats.org/officeDocument/2006/relationships/hyperlink" Target="http://www.sec.gov/Archives/edgar/data/771497/000162828018002860/abm1312018ex102.htm" TargetMode="External"/><Relationship Id="rId189" Type="http://schemas.openxmlformats.org/officeDocument/2006/relationships/hyperlink" Target="http://www.sec.gov/Archives/edgar/data/771497/000162828017012508/exhibit103310312017.htm" TargetMode="External"/><Relationship Id="rId190" Type="http://schemas.openxmlformats.org/officeDocument/2006/relationships/hyperlink" Target="http://www.sec.gov/Archives/edgar/data/771497/000162828017012508/exhibit103410312017.htm" TargetMode="External"/><Relationship Id="rId191" Type="http://schemas.openxmlformats.org/officeDocument/2006/relationships/hyperlink" Target="http://www.sec.gov/Archives/edgar/data/771497/000162828018002860/abm1312018ex103.htm" TargetMode="External"/><Relationship Id="rId192" Type="http://schemas.openxmlformats.org/officeDocument/2006/relationships/hyperlink" Target="http://www.sec.gov/Archives/edgar/data/771497/000162828018002860/abm1312018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2019-12-28T17:17:35Z</dcterms:created>
  <dcterms:modified xsi:type="dcterms:W3CDTF">2019-12-28T17:17:35Z</dcterms:modified>
</cp:coreProperties>
</file>