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1289050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1254760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21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8-K/A</w:t>
      </w:r>
    </w:p>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Amendment No. 1</w:t>
      </w:r>
    </w:p>
    <w:p>
      <w:pPr>
        <w:spacing w:after="0" w:line="18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 (September 30, 2021)</w:t>
      </w:r>
    </w:p>
    <w:p>
      <w:pPr>
        <w:spacing w:after="0" w:line="15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ABM Industries Incorporated</w:t>
      </w:r>
    </w:p>
    <w:p>
      <w:pPr>
        <w:spacing w:after="0" w:line="48" w:lineRule="exact"/>
        <w:rPr>
          <w:sz w:val="24"/>
          <w:szCs w:val="24"/>
          <w:color w:val="auto"/>
        </w:rPr>
      </w:pPr>
    </w:p>
    <w:p>
      <w:pPr>
        <w:ind w:left="1040"/>
        <w:spacing w:after="0"/>
        <w:rPr>
          <w:sz w:val="20"/>
          <w:szCs w:val="20"/>
          <w:color w:val="auto"/>
        </w:rPr>
      </w:pPr>
      <w:r>
        <w:rPr>
          <w:rFonts w:ascii="Arial" w:cs="Arial" w:eastAsia="Arial" w:hAnsi="Arial"/>
          <w:sz w:val="21"/>
          <w:szCs w:val="21"/>
          <w:b w:val="1"/>
          <w:bCs w:val="1"/>
          <w:color w:val="auto"/>
        </w:rPr>
        <w:t>_____________________________________________________________________________________</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2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gridSpan w:val="3"/>
          </w:tcPr>
          <w:p>
            <w:pPr>
              <w:jc w:val="right"/>
              <w:ind w:right="1560"/>
              <w:spacing w:after="0"/>
              <w:rPr>
                <w:sz w:val="20"/>
                <w:szCs w:val="20"/>
                <w:color w:val="auto"/>
              </w:rPr>
            </w:pPr>
            <w:r>
              <w:rPr>
                <w:rFonts w:ascii="Arial" w:cs="Arial" w:eastAsia="Arial" w:hAnsi="Arial"/>
                <w:sz w:val="18"/>
                <w:szCs w:val="18"/>
                <w:b w:val="1"/>
                <w:bCs w:val="1"/>
                <w:color w:val="auto"/>
              </w:rPr>
              <w:t>1-8929</w:t>
            </w:r>
          </w:p>
        </w:tc>
        <w:tc>
          <w:tcPr>
            <w:tcW w:w="140" w:type="dxa"/>
            <w:vAlign w:val="bottom"/>
          </w:tcPr>
          <w:p>
            <w:pPr>
              <w:spacing w:after="0"/>
              <w:rPr>
                <w:sz w:val="20"/>
                <w:szCs w:val="20"/>
                <w:color w:val="auto"/>
              </w:rPr>
            </w:pPr>
          </w:p>
        </w:tc>
        <w:tc>
          <w:tcPr>
            <w:tcW w:w="3660" w:type="dxa"/>
            <w:vAlign w:val="bottom"/>
          </w:tcPr>
          <w:p>
            <w:pPr>
              <w:jc w:val="right"/>
              <w:ind w:right="1310"/>
              <w:spacing w:after="0"/>
              <w:rPr>
                <w:sz w:val="20"/>
                <w:szCs w:val="20"/>
                <w:color w:val="auto"/>
              </w:rPr>
            </w:pPr>
            <w:r>
              <w:rPr>
                <w:rFonts w:ascii="Arial" w:cs="Arial" w:eastAsia="Arial" w:hAnsi="Arial"/>
                <w:sz w:val="18"/>
                <w:szCs w:val="18"/>
                <w:b w:val="1"/>
                <w:bCs w:val="1"/>
                <w:color w:val="auto"/>
              </w:rPr>
              <w:t>94-1369354</w:t>
            </w:r>
          </w:p>
        </w:tc>
        <w:tc>
          <w:tcPr>
            <w:tcW w:w="0" w:type="dxa"/>
            <w:vAlign w:val="bottom"/>
          </w:tcPr>
          <w:p>
            <w:pPr>
              <w:spacing w:after="0"/>
              <w:rPr>
                <w:sz w:val="1"/>
                <w:szCs w:val="1"/>
                <w:color w:val="auto"/>
              </w:rPr>
            </w:pPr>
          </w:p>
        </w:tc>
      </w:tr>
      <w:tr>
        <w:trPr>
          <w:trHeight w:val="224"/>
        </w:trPr>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of other jurisdiction of incorporation)</w:t>
            </w:r>
          </w:p>
        </w:tc>
        <w:tc>
          <w:tcPr>
            <w:tcW w:w="1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gridSpan w:val="3"/>
          </w:tcPr>
          <w:p>
            <w:pPr>
              <w:jc w:val="center"/>
              <w:ind w:right="620"/>
              <w:spacing w:after="0"/>
              <w:rPr>
                <w:sz w:val="20"/>
                <w:szCs w:val="20"/>
                <w:color w:val="auto"/>
              </w:rPr>
            </w:pPr>
            <w:r>
              <w:rPr>
                <w:rFonts w:ascii="Arial" w:cs="Arial" w:eastAsia="Arial" w:hAnsi="Arial"/>
                <w:sz w:val="18"/>
                <w:szCs w:val="18"/>
                <w:color w:val="auto"/>
                <w:w w:val="93"/>
              </w:rPr>
              <w:t>(Commission File Number)</w:t>
            </w:r>
          </w:p>
        </w:tc>
        <w:tc>
          <w:tcPr>
            <w:tcW w:w="14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445"/>
        </w:trPr>
        <w:tc>
          <w:tcPr>
            <w:tcW w:w="4420" w:type="dxa"/>
            <w:vAlign w:val="bottom"/>
            <w:gridSpan w:val="3"/>
          </w:tcPr>
          <w:p>
            <w:pPr>
              <w:jc w:val="center"/>
              <w:ind w:left="1070"/>
              <w:spacing w:after="0"/>
              <w:rPr>
                <w:sz w:val="20"/>
                <w:szCs w:val="20"/>
                <w:color w:val="auto"/>
              </w:rPr>
            </w:pPr>
            <w:r>
              <w:rPr>
                <w:rFonts w:ascii="Arial" w:cs="Arial" w:eastAsia="Arial" w:hAnsi="Arial"/>
                <w:sz w:val="18"/>
                <w:szCs w:val="18"/>
                <w:b w:val="1"/>
                <w:bCs w:val="1"/>
                <w:color w:val="auto"/>
                <w:w w:val="90"/>
              </w:rPr>
              <w:t>One Liberty Plaza, 7</w:t>
            </w:r>
            <w:r>
              <w:rPr>
                <w:rFonts w:ascii="Arial" w:cs="Arial" w:eastAsia="Arial" w:hAnsi="Arial"/>
                <w:sz w:val="23"/>
                <w:szCs w:val="23"/>
                <w:b w:val="1"/>
                <w:bCs w:val="1"/>
                <w:color w:val="auto"/>
                <w:w w:val="90"/>
                <w:vertAlign w:val="superscript"/>
              </w:rPr>
              <w:t>th</w:t>
            </w:r>
            <w:r>
              <w:rPr>
                <w:rFonts w:ascii="Arial" w:cs="Arial" w:eastAsia="Arial" w:hAnsi="Arial"/>
                <w:sz w:val="18"/>
                <w:szCs w:val="18"/>
                <w:b w:val="1"/>
                <w:bCs w:val="1"/>
                <w:color w:val="auto"/>
                <w:w w:val="90"/>
              </w:rPr>
              <w:t xml:space="preserve"> Floor</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60" w:type="dxa"/>
            <w:vAlign w:val="bottom"/>
            <w:vMerge w:val="restart"/>
          </w:tcPr>
          <w:p>
            <w:pPr>
              <w:jc w:val="right"/>
              <w:ind w:right="2470"/>
              <w:spacing w:after="0"/>
              <w:rPr>
                <w:sz w:val="20"/>
                <w:szCs w:val="20"/>
                <w:color w:val="auto"/>
              </w:rPr>
            </w:pPr>
            <w:r>
              <w:rPr>
                <w:rFonts w:ascii="Arial" w:cs="Arial" w:eastAsia="Arial" w:hAnsi="Arial"/>
                <w:sz w:val="18"/>
                <w:szCs w:val="18"/>
                <w:b w:val="1"/>
                <w:bCs w:val="1"/>
                <w:color w:val="auto"/>
              </w:rPr>
              <w:t>10006</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gridSpan w:val="3"/>
          </w:tcPr>
          <w:p>
            <w:pPr>
              <w:jc w:val="center"/>
              <w:ind w:left="1070"/>
              <w:spacing w:after="0"/>
              <w:rPr>
                <w:sz w:val="20"/>
                <w:szCs w:val="20"/>
                <w:color w:val="auto"/>
              </w:rPr>
            </w:pPr>
            <w:r>
              <w:rPr>
                <w:rFonts w:ascii="Arial" w:cs="Arial" w:eastAsia="Arial" w:hAnsi="Arial"/>
                <w:sz w:val="18"/>
                <w:szCs w:val="18"/>
                <w:b w:val="1"/>
                <w:bCs w:val="1"/>
                <w:color w:val="auto"/>
                <w:w w:val="93"/>
              </w:rPr>
              <w:t>New York, New York</w:t>
            </w:r>
          </w:p>
        </w:tc>
        <w:tc>
          <w:tcPr>
            <w:tcW w:w="1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20" w:type="dxa"/>
            <w:vAlign w:val="bottom"/>
            <w:gridSpan w:val="3"/>
          </w:tcPr>
          <w:p>
            <w:pPr>
              <w:jc w:val="center"/>
              <w:ind w:left="1050"/>
              <w:spacing w:after="0"/>
              <w:rPr>
                <w:sz w:val="20"/>
                <w:szCs w:val="20"/>
                <w:color w:val="auto"/>
              </w:rPr>
            </w:pPr>
            <w:r>
              <w:rPr>
                <w:rFonts w:ascii="Arial" w:cs="Arial" w:eastAsia="Arial" w:hAnsi="Arial"/>
                <w:sz w:val="18"/>
                <w:szCs w:val="18"/>
                <w:color w:val="auto"/>
                <w:w w:val="92"/>
              </w:rPr>
              <w:t>(Address of principal executive offices)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Pr>
          <w:p>
            <w:pPr>
              <w:jc w:val="center"/>
              <w:ind w:right="181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23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297-0200</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ind w:left="1040"/>
        <w:spacing w:after="0"/>
        <w:rPr>
          <w:sz w:val="20"/>
          <w:szCs w:val="20"/>
          <w:color w:val="auto"/>
        </w:rPr>
      </w:pPr>
      <w:r>
        <w:rPr>
          <w:rFonts w:ascii="Arial" w:cs="Arial" w:eastAsia="Arial" w:hAnsi="Arial"/>
          <w:sz w:val="18"/>
          <w:szCs w:val="18"/>
          <w:b w:val="1"/>
          <w:bCs w:val="1"/>
          <w:color w:val="auto"/>
        </w:rPr>
        <w:t>______________________________________________________________________________________________________</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5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pursuant to Rule 14d-2(b) under the Exchange Act (17 CFR 240.14d-2(b))</w:t>
      </w:r>
    </w:p>
    <w:p>
      <w:pPr>
        <w:spacing w:after="0" w:line="171" w:lineRule="exact"/>
        <w:rPr>
          <w:rFonts w:ascii="MS PGothic" w:cs="MS PGothic" w:eastAsia="MS PGothic" w:hAnsi="MS PGothic"/>
          <w:sz w:val="18"/>
          <w:szCs w:val="18"/>
          <w:color w:val="auto"/>
        </w:rPr>
      </w:pPr>
    </w:p>
    <w:p>
      <w:pPr>
        <w:ind w:right="4240" w:firstLine="8"/>
        <w:spacing w:after="0" w:line="368"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ABM</w:t>
            </w:r>
          </w:p>
        </w:tc>
        <w:tc>
          <w:tcPr>
            <w:tcW w:w="4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24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emerging growth company as defined in Rule 405 of Securities Act of 1933 (§230.405 of this chapter) or Rule 12b-2 of the Securities Exchange Act of 1934 (§240.12b-2 of this chapter).</w:t>
      </w:r>
    </w:p>
    <w:p>
      <w:pPr>
        <w:spacing w:after="0" w:line="116"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71" w:lineRule="exact"/>
        <w:rPr>
          <w:rFonts w:ascii="MS PGothic" w:cs="MS PGothic" w:eastAsia="MS PGothic" w:hAnsi="MS PGothic"/>
          <w:sz w:val="18"/>
          <w:szCs w:val="18"/>
          <w:color w:val="auto"/>
        </w:rPr>
      </w:pPr>
    </w:p>
    <w:p>
      <w:pPr>
        <w:ind w:right="20" w:firstLine="8"/>
        <w:spacing w:after="0" w:line="277" w:lineRule="auto"/>
        <w:tabs>
          <w:tab w:leader="none" w:pos="207"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134620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74" w:lineRule="exact"/>
        <w:rPr>
          <w:sz w:val="20"/>
          <w:szCs w:val="20"/>
          <w:color w:val="auto"/>
        </w:rPr>
      </w:pPr>
    </w:p>
    <w:p>
      <w:pPr>
        <w:jc w:val="both"/>
        <w:ind w:firstLine="267"/>
        <w:spacing w:after="0" w:line="254" w:lineRule="auto"/>
        <w:rPr>
          <w:sz w:val="20"/>
          <w:szCs w:val="20"/>
          <w:color w:val="auto"/>
        </w:rPr>
      </w:pPr>
      <w:r>
        <w:rPr>
          <w:rFonts w:ascii="Arial" w:cs="Arial" w:eastAsia="Arial" w:hAnsi="Arial"/>
          <w:sz w:val="18"/>
          <w:szCs w:val="18"/>
          <w:color w:val="auto"/>
        </w:rPr>
        <w:t>As previously disclosed in the Current Report on Form 8-K filed by ABM Industries Incorporated (“ABM”) on September 30, 2021 (the “Initial 8-K”), ABM completed its previously announced acquisition of Crown Building Maintenance Co. and Crown Energy Services, Inc. (collectively, the “Companies”) for $830 million in cash (subject to customary adjustments for working capital and net debt), pursuant to the terms of the Purchase Agreement, dated August 25, 2021, by and among ABM, the Companies, their owners and the other parties thereto.</w:t>
      </w:r>
    </w:p>
    <w:p>
      <w:pPr>
        <w:spacing w:after="0" w:line="231" w:lineRule="exact"/>
        <w:rPr>
          <w:sz w:val="20"/>
          <w:szCs w:val="20"/>
          <w:color w:val="auto"/>
        </w:rPr>
      </w:pPr>
    </w:p>
    <w:p>
      <w:pPr>
        <w:jc w:val="both"/>
        <w:ind w:right="20" w:firstLine="199"/>
        <w:spacing w:after="0" w:line="261" w:lineRule="auto"/>
        <w:rPr>
          <w:sz w:val="20"/>
          <w:szCs w:val="20"/>
          <w:color w:val="auto"/>
        </w:rPr>
      </w:pPr>
      <w:r>
        <w:rPr>
          <w:rFonts w:ascii="Arial" w:cs="Arial" w:eastAsia="Arial" w:hAnsi="Arial"/>
          <w:sz w:val="18"/>
          <w:szCs w:val="18"/>
          <w:color w:val="auto"/>
        </w:rPr>
        <w:t>This Current Report on Form 8-K/A amends the Initial 8-K to include the financial information required pursuant to Item 9.01(a) and 9.01(b) of Form 8-K. The remainder of the information in the Initial 8-K is not hereby amended.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(a) Financial Statements of Business Acquired</w:t>
      </w:r>
    </w:p>
    <w:p>
      <w:pPr>
        <w:spacing w:after="0" w:line="252" w:lineRule="exact"/>
        <w:rPr>
          <w:sz w:val="20"/>
          <w:szCs w:val="20"/>
          <w:color w:val="auto"/>
        </w:rPr>
      </w:pPr>
    </w:p>
    <w:p>
      <w:pPr>
        <w:jc w:val="both"/>
        <w:ind w:firstLine="274"/>
        <w:spacing w:after="0" w:line="261" w:lineRule="auto"/>
        <w:rPr>
          <w:sz w:val="20"/>
          <w:szCs w:val="20"/>
          <w:color w:val="auto"/>
        </w:rPr>
      </w:pPr>
      <w:r>
        <w:rPr>
          <w:rFonts w:ascii="Arial" w:cs="Arial" w:eastAsia="Arial" w:hAnsi="Arial"/>
          <w:sz w:val="18"/>
          <w:szCs w:val="18"/>
          <w:color w:val="auto"/>
        </w:rPr>
        <w:t>The financial statements of the Companies required by Item 9.01(a) of Form 8-K are filed herewith as Exhibits 99.1 and 99.2 and are incorporated herein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 Pro Forma Financial Information</w:t>
      </w:r>
    </w:p>
    <w:p>
      <w:pPr>
        <w:spacing w:after="0" w:line="252" w:lineRule="exact"/>
        <w:rPr>
          <w:sz w:val="20"/>
          <w:szCs w:val="20"/>
          <w:color w:val="auto"/>
        </w:rPr>
      </w:pPr>
    </w:p>
    <w:p>
      <w:pPr>
        <w:jc w:val="both"/>
        <w:ind w:firstLine="236"/>
        <w:spacing w:after="0" w:line="261" w:lineRule="auto"/>
        <w:rPr>
          <w:sz w:val="20"/>
          <w:szCs w:val="20"/>
          <w:color w:val="auto"/>
        </w:rPr>
      </w:pPr>
      <w:r>
        <w:rPr>
          <w:rFonts w:ascii="Arial" w:cs="Arial" w:eastAsia="Arial" w:hAnsi="Arial"/>
          <w:sz w:val="18"/>
          <w:szCs w:val="18"/>
          <w:color w:val="auto"/>
        </w:rPr>
        <w:t>The pro forma financial information required by Item 9.01(b) of Form 8-K is filed herewith as Exhibit 99.3 and are incorporated herein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a part of this Current Report on Form 8-K/A: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rPr>
              <w:t>Exhibit Description</w:t>
            </w:r>
          </w:p>
        </w:tc>
      </w:tr>
      <w:tr>
        <w:trPr>
          <w:trHeight w:val="183"/>
        </w:trPr>
        <w:tc>
          <w:tcPr>
            <w:tcW w:w="1680" w:type="dxa"/>
            <w:vAlign w:val="bottom"/>
            <w:gridSpan w:val="2"/>
          </w:tcPr>
          <w:p>
            <w:pPr>
              <w:ind w:left="40"/>
              <w:spacing w:after="0" w:line="182" w:lineRule="exact"/>
              <w:rPr>
                <w:sz w:val="20"/>
                <w:szCs w:val="20"/>
                <w:color w:val="auto"/>
              </w:rPr>
            </w:pPr>
            <w:r>
              <w:rPr>
                <w:rFonts w:ascii="Arial" w:cs="Arial" w:eastAsia="Arial" w:hAnsi="Arial"/>
                <w:sz w:val="18"/>
                <w:szCs w:val="18"/>
                <w:color w:val="auto"/>
              </w:rPr>
              <w:t>23.1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7"/>
          </w:tcPr>
          <w:p>
            <w:pPr>
              <w:spacing w:after="0" w:line="182" w:lineRule="exact"/>
              <w:rPr>
                <w:rFonts w:ascii="Arial" w:cs="Arial" w:eastAsia="Arial" w:hAnsi="Arial"/>
                <w:sz w:val="18"/>
                <w:szCs w:val="18"/>
                <w:color w:val="0000FF"/>
              </w:rPr>
            </w:pPr>
            <w:hyperlink w:anchor="page4">
              <w:r>
                <w:rPr>
                  <w:rFonts w:ascii="Arial" w:cs="Arial" w:eastAsia="Arial" w:hAnsi="Arial"/>
                  <w:sz w:val="18"/>
                  <w:szCs w:val="18"/>
                  <w:color w:val="0000FF"/>
                </w:rPr>
                <w:t>Consent of Armanino LLP, Independent Registered Public Accounting Firm</w:t>
              </w:r>
            </w:hyperlink>
          </w:p>
        </w:tc>
      </w:tr>
      <w:tr>
        <w:trPr>
          <w:trHeight w:val="20"/>
        </w:trPr>
        <w:tc>
          <w:tcPr>
            <w:tcW w:w="1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40" w:type="dxa"/>
            <w:vAlign w:val="bottom"/>
            <w:gridSpan w:val="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Audited Combined Financial Statements of Crown Building Maintenance Co. and Crown Energy Services, Inc. dba</w:t>
              </w:r>
            </w:hyperlink>
          </w:p>
        </w:tc>
      </w:tr>
      <w:tr>
        <w:trPr>
          <w:trHeight w:val="155"/>
        </w:trPr>
        <w:tc>
          <w:tcPr>
            <w:tcW w:w="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Able Services as of and for the years ended December 31, 2020 and 2019.</w:t>
              </w:r>
            </w:hyperlink>
          </w:p>
        </w:tc>
        <w:tc>
          <w:tcPr>
            <w:tcW w:w="344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40" w:type="dxa"/>
            <w:vAlign w:val="bottom"/>
            <w:gridSpan w:val="7"/>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Unaudited Combined Financial Statements of Crown Building Maintenance Co. and Crown Energy Services, Inc. dba</w:t>
              </w:r>
            </w:hyperlink>
          </w:p>
        </w:tc>
      </w:tr>
      <w:tr>
        <w:trPr>
          <w:trHeight w:val="155"/>
        </w:trPr>
        <w:tc>
          <w:tcPr>
            <w:tcW w:w="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w:anchor="page26">
              <w:r>
                <w:rPr>
                  <w:rFonts w:ascii="Arial" w:cs="Arial" w:eastAsia="Arial" w:hAnsi="Arial"/>
                  <w:sz w:val="18"/>
                  <w:szCs w:val="18"/>
                  <w:color w:val="0000FF"/>
                  <w:w w:val="99"/>
                </w:rPr>
                <w:t>Able Services as of and for the six month period ended June 30, 2021.</w:t>
              </w:r>
            </w:hyperlink>
          </w:p>
        </w:tc>
        <w:tc>
          <w:tcPr>
            <w:tcW w:w="3780" w:type="dxa"/>
            <w:vAlign w:val="bottom"/>
            <w:tcBorders>
              <w:top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40" w:type="dxa"/>
            <w:vAlign w:val="bottom"/>
            <w:gridSpan w:val="7"/>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Unaudited Pro Forma Condensed Combined Financial Statements</w:t>
              </w:r>
            </w:hyperlink>
          </w:p>
        </w:tc>
      </w:tr>
      <w:tr>
        <w:trPr>
          <w:trHeight w:val="1243"/>
        </w:trPr>
        <w:tc>
          <w:tcPr>
            <w:tcW w:w="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30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2"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ABM Industries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6360" w:val="left"/>
        </w:tabs>
        <w:rPr>
          <w:sz w:val="20"/>
          <w:szCs w:val="20"/>
          <w:color w:val="auto"/>
        </w:rPr>
      </w:pPr>
      <w:r>
        <w:rPr>
          <w:rFonts w:ascii="Arial" w:cs="Arial" w:eastAsia="Arial" w:hAnsi="Arial"/>
          <w:sz w:val="18"/>
          <w:szCs w:val="18"/>
          <w:u w:val="single" w:color="auto"/>
          <w:color w:val="auto"/>
        </w:rPr>
        <w:t>November 22, 2021</w:t>
      </w:r>
      <w:r>
        <w:rPr>
          <w:sz w:val="20"/>
          <w:szCs w:val="20"/>
          <w:color w:val="auto"/>
        </w:rPr>
        <w:tab/>
      </w:r>
      <w:r>
        <w:rPr>
          <w:rFonts w:ascii="Arial" w:cs="Arial" w:eastAsia="Arial" w:hAnsi="Arial"/>
          <w:sz w:val="18"/>
          <w:szCs w:val="18"/>
          <w:u w:val="single" w:color="auto"/>
          <w:color w:val="auto"/>
        </w:rPr>
        <w:t>/s/ Earl R. Ellis</w:t>
      </w:r>
    </w:p>
    <w:p>
      <w:pPr>
        <w:ind w:left="6380"/>
        <w:spacing w:after="0" w:line="229" w:lineRule="auto"/>
        <w:rPr>
          <w:sz w:val="20"/>
          <w:szCs w:val="20"/>
          <w:color w:val="auto"/>
        </w:rPr>
      </w:pPr>
      <w:r>
        <w:rPr>
          <w:rFonts w:ascii="Arial" w:cs="Arial" w:eastAsia="Arial" w:hAnsi="Arial"/>
          <w:sz w:val="18"/>
          <w:szCs w:val="18"/>
          <w:color w:val="auto"/>
        </w:rPr>
        <w:t>Earl R. Ellis</w:t>
      </w:r>
    </w:p>
    <w:p>
      <w:pPr>
        <w:ind w:left="6380"/>
        <w:spacing w:after="0" w:line="204" w:lineRule="auto"/>
        <w:rPr>
          <w:sz w:val="20"/>
          <w:szCs w:val="20"/>
          <w:color w:val="auto"/>
        </w:rPr>
      </w:pPr>
      <w:r>
        <w:rPr>
          <w:rFonts w:ascii="Arial" w:cs="Arial" w:eastAsia="Arial" w:hAnsi="Arial"/>
          <w:sz w:val="18"/>
          <w:szCs w:val="18"/>
          <w:color w:val="auto"/>
        </w:rPr>
        <w:t>Executive Vice President and Chief Financial Officer</w:t>
      </w:r>
    </w:p>
    <w:p>
      <w:pPr>
        <w:ind w:left="638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0"/>
        <w:spacing w:after="0"/>
        <w:tabs>
          <w:tab w:leader="none" w:pos="6420" w:val="left"/>
        </w:tabs>
        <w:rPr>
          <w:sz w:val="20"/>
          <w:szCs w:val="20"/>
          <w:color w:val="auto"/>
        </w:rPr>
      </w:pPr>
      <w:r>
        <w:rPr>
          <w:rFonts w:ascii="Arial" w:cs="Arial" w:eastAsia="Arial" w:hAnsi="Arial"/>
          <w:sz w:val="18"/>
          <w:szCs w:val="18"/>
          <w:u w:val="single" w:color="auto"/>
          <w:color w:val="auto"/>
        </w:rPr>
        <w:t>November 22, 2021</w:t>
      </w:r>
      <w:r>
        <w:rPr>
          <w:sz w:val="20"/>
          <w:szCs w:val="20"/>
          <w:color w:val="auto"/>
        </w:rPr>
        <w:tab/>
      </w:r>
      <w:r>
        <w:rPr>
          <w:rFonts w:ascii="Arial" w:cs="Arial" w:eastAsia="Arial" w:hAnsi="Arial"/>
          <w:sz w:val="18"/>
          <w:szCs w:val="18"/>
          <w:u w:val="single" w:color="auto"/>
          <w:color w:val="auto"/>
        </w:rPr>
        <w:t>/s/ Dean A. Chin</w:t>
      </w:r>
    </w:p>
    <w:p>
      <w:pPr>
        <w:ind w:left="6440"/>
        <w:spacing w:after="0" w:line="229" w:lineRule="auto"/>
        <w:rPr>
          <w:sz w:val="20"/>
          <w:szCs w:val="20"/>
          <w:color w:val="auto"/>
        </w:rPr>
      </w:pPr>
      <w:r>
        <w:rPr>
          <w:rFonts w:ascii="Arial" w:cs="Arial" w:eastAsia="Arial" w:hAnsi="Arial"/>
          <w:sz w:val="18"/>
          <w:szCs w:val="18"/>
          <w:color w:val="auto"/>
        </w:rPr>
        <w:t>Dean A. Chin</w:t>
      </w:r>
    </w:p>
    <w:p>
      <w:pPr>
        <w:ind w:left="6440"/>
        <w:spacing w:after="0" w:line="204" w:lineRule="auto"/>
        <w:rPr>
          <w:sz w:val="20"/>
          <w:szCs w:val="20"/>
          <w:color w:val="auto"/>
        </w:rPr>
      </w:pPr>
      <w:r>
        <w:rPr>
          <w:rFonts w:ascii="Arial" w:cs="Arial" w:eastAsia="Arial" w:hAnsi="Arial"/>
          <w:sz w:val="18"/>
          <w:szCs w:val="18"/>
          <w:color w:val="auto"/>
        </w:rPr>
        <w:t>Senior Vice President, Chief Accounting Officer,</w:t>
      </w:r>
    </w:p>
    <w:p>
      <w:pPr>
        <w:ind w:left="6440"/>
        <w:spacing w:after="0" w:line="203" w:lineRule="auto"/>
        <w:rPr>
          <w:sz w:val="20"/>
          <w:szCs w:val="20"/>
          <w:color w:val="auto"/>
        </w:rPr>
      </w:pPr>
      <w:r>
        <w:rPr>
          <w:rFonts w:ascii="Arial" w:cs="Arial" w:eastAsia="Arial" w:hAnsi="Arial"/>
          <w:sz w:val="18"/>
          <w:szCs w:val="18"/>
          <w:color w:val="auto"/>
        </w:rPr>
        <w:t>Controller, and Treasurer</w:t>
      </w:r>
    </w:p>
    <w:p>
      <w:pPr>
        <w:spacing w:after="0" w:line="1"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220"/>
          </w:cols>
          <w:pgMar w:left="320" w:top="886"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371475</wp:posOffset>
            </wp:positionV>
            <wp:extent cx="1388745" cy="4286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8874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39"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We hereby consent to the incorporation by reference in the registration statements listed below of ABM Industries Incorporated of our audit report dated November 2, 2021, with respect to the combined financial statements of Crown Building Maintenance Co. and Crown Energy Services, Inc., which comprise the combined balance sheets as of December 31, 2020 and 2019, and the related combined statements of income and retained earnings, and cash flows for the years then ended, and the related notes to the combined financial statements, and our review report dated November 2, 2021, with respect to the combined financial statements of Crown Building Maintenance Co. and Crown Energy Services, Inc., which comprise the combined balance sheet as of June 30, 2021, and the related combined statements of income and retained earnings, and cash flows for the period from January 1, 2021 to June 30, 2021, and the related notes to the combined financial statements.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Registration No.</w:t>
            </w:r>
          </w:p>
        </w:tc>
        <w:tc>
          <w:tcPr>
            <w:tcW w:w="10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Form</w:t>
            </w:r>
          </w:p>
        </w:tc>
        <w:tc>
          <w:tcPr>
            <w:tcW w:w="5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9"/>
              </w:rPr>
              <w:t>Plan</w:t>
            </w:r>
          </w:p>
        </w:tc>
        <w:tc>
          <w:tcPr>
            <w:tcW w:w="7660" w:type="dxa"/>
            <w:vAlign w:val="bottom"/>
            <w:tcBorders>
              <w:bottom w:val="single" w:sz="8" w:color="auto"/>
            </w:tcBorders>
          </w:tcPr>
          <w:p>
            <w:pPr>
              <w:spacing w:after="0"/>
              <w:rPr>
                <w:sz w:val="20"/>
                <w:szCs w:val="20"/>
                <w:color w:val="auto"/>
              </w:rPr>
            </w:pPr>
          </w:p>
        </w:tc>
      </w:tr>
      <w:tr>
        <w:trPr>
          <w:trHeight w:val="243"/>
        </w:trPr>
        <w:tc>
          <w:tcPr>
            <w:tcW w:w="1700" w:type="dxa"/>
            <w:vAlign w:val="bottom"/>
            <w:shd w:val="clear" w:color="auto" w:fill="DCE2EF"/>
          </w:tcPr>
          <w:p>
            <w:pPr>
              <w:ind w:left="20"/>
              <w:spacing w:after="0"/>
              <w:rPr>
                <w:sz w:val="20"/>
                <w:szCs w:val="20"/>
                <w:color w:val="auto"/>
              </w:rPr>
            </w:pPr>
            <w:r>
              <w:rPr>
                <w:rFonts w:ascii="Arial" w:cs="Arial" w:eastAsia="Arial" w:hAnsi="Arial"/>
                <w:sz w:val="18"/>
                <w:szCs w:val="18"/>
                <w:color w:val="auto"/>
              </w:rPr>
              <w:t>333-167464</w:t>
            </w:r>
          </w:p>
        </w:tc>
        <w:tc>
          <w:tcPr>
            <w:tcW w:w="1080" w:type="dxa"/>
            <w:vAlign w:val="bottom"/>
            <w:shd w:val="clear" w:color="auto" w:fill="DCE2EF"/>
          </w:tcPr>
          <w:p>
            <w:pPr>
              <w:ind w:left="480"/>
              <w:spacing w:after="0"/>
              <w:rPr>
                <w:sz w:val="20"/>
                <w:szCs w:val="20"/>
                <w:color w:val="auto"/>
              </w:rPr>
            </w:pPr>
            <w:r>
              <w:rPr>
                <w:rFonts w:ascii="Arial" w:cs="Arial" w:eastAsia="Arial" w:hAnsi="Arial"/>
                <w:sz w:val="18"/>
                <w:szCs w:val="18"/>
                <w:color w:val="auto"/>
              </w:rPr>
              <w:t>S-8</w:t>
            </w:r>
          </w:p>
        </w:tc>
        <w:tc>
          <w:tcPr>
            <w:tcW w:w="580" w:type="dxa"/>
            <w:vAlign w:val="bottom"/>
            <w:shd w:val="clear" w:color="auto" w:fill="DCE2EF"/>
          </w:tcPr>
          <w:p>
            <w:pPr>
              <w:ind w:left="200"/>
              <w:spacing w:after="0"/>
              <w:rPr>
                <w:sz w:val="20"/>
                <w:szCs w:val="20"/>
                <w:color w:val="auto"/>
              </w:rPr>
            </w:pPr>
            <w:r>
              <w:rPr>
                <w:rFonts w:ascii="Arial" w:cs="Arial" w:eastAsia="Arial" w:hAnsi="Arial"/>
                <w:sz w:val="18"/>
                <w:szCs w:val="18"/>
                <w:color w:val="auto"/>
                <w:w w:val="89"/>
              </w:rPr>
              <w:t>2004</w:t>
            </w:r>
          </w:p>
        </w:tc>
        <w:tc>
          <w:tcPr>
            <w:tcW w:w="7660" w:type="dxa"/>
            <w:vAlign w:val="bottom"/>
            <w:shd w:val="clear" w:color="auto" w:fill="DCE2EF"/>
          </w:tcPr>
          <w:p>
            <w:pPr>
              <w:ind w:left="20"/>
              <w:spacing w:after="0"/>
              <w:rPr>
                <w:sz w:val="20"/>
                <w:szCs w:val="20"/>
                <w:color w:val="auto"/>
              </w:rPr>
            </w:pPr>
            <w:r>
              <w:rPr>
                <w:rFonts w:ascii="Arial" w:cs="Arial" w:eastAsia="Arial" w:hAnsi="Arial"/>
                <w:sz w:val="18"/>
                <w:szCs w:val="18"/>
                <w:color w:val="auto"/>
              </w:rPr>
              <w:t>Employee Stock Purchase Plan</w:t>
            </w:r>
          </w:p>
        </w:tc>
      </w:tr>
      <w:tr>
        <w:trPr>
          <w:trHeight w:val="237"/>
        </w:trPr>
        <w:tc>
          <w:tcPr>
            <w:tcW w:w="1700" w:type="dxa"/>
            <w:vAlign w:val="bottom"/>
          </w:tcPr>
          <w:p>
            <w:pPr>
              <w:ind w:left="20"/>
              <w:spacing w:after="0"/>
              <w:rPr>
                <w:sz w:val="20"/>
                <w:szCs w:val="20"/>
                <w:color w:val="auto"/>
              </w:rPr>
            </w:pPr>
            <w:r>
              <w:rPr>
                <w:rFonts w:ascii="Arial" w:cs="Arial" w:eastAsia="Arial" w:hAnsi="Arial"/>
                <w:sz w:val="18"/>
                <w:szCs w:val="18"/>
                <w:color w:val="auto"/>
              </w:rPr>
              <w:t>333-78423</w:t>
            </w:r>
          </w:p>
        </w:tc>
        <w:tc>
          <w:tcPr>
            <w:tcW w:w="1080" w:type="dxa"/>
            <w:vAlign w:val="bottom"/>
          </w:tcPr>
          <w:p>
            <w:pPr>
              <w:ind w:left="480"/>
              <w:spacing w:after="0"/>
              <w:rPr>
                <w:sz w:val="20"/>
                <w:szCs w:val="20"/>
                <w:color w:val="auto"/>
              </w:rPr>
            </w:pPr>
            <w:r>
              <w:rPr>
                <w:rFonts w:ascii="Arial" w:cs="Arial" w:eastAsia="Arial" w:hAnsi="Arial"/>
                <w:sz w:val="18"/>
                <w:szCs w:val="18"/>
                <w:color w:val="auto"/>
              </w:rPr>
              <w:t>S-8</w:t>
            </w:r>
          </w:p>
        </w:tc>
        <w:tc>
          <w:tcPr>
            <w:tcW w:w="8240" w:type="dxa"/>
            <w:vAlign w:val="bottom"/>
            <w:gridSpan w:val="2"/>
          </w:tcPr>
          <w:p>
            <w:pPr>
              <w:ind w:left="200"/>
              <w:spacing w:after="0"/>
              <w:rPr>
                <w:sz w:val="20"/>
                <w:szCs w:val="20"/>
                <w:color w:val="auto"/>
              </w:rPr>
            </w:pPr>
            <w:r>
              <w:rPr>
                <w:rFonts w:ascii="Arial" w:cs="Arial" w:eastAsia="Arial" w:hAnsi="Arial"/>
                <w:sz w:val="18"/>
                <w:szCs w:val="18"/>
                <w:color w:val="auto"/>
              </w:rPr>
              <w:t>“Age-Vested” Career Stock Option Plan</w:t>
            </w:r>
          </w:p>
        </w:tc>
      </w:tr>
      <w:tr>
        <w:trPr>
          <w:trHeight w:val="249"/>
        </w:trPr>
        <w:tc>
          <w:tcPr>
            <w:tcW w:w="1700" w:type="dxa"/>
            <w:vAlign w:val="bottom"/>
            <w:shd w:val="clear" w:color="auto" w:fill="DCE2EF"/>
          </w:tcPr>
          <w:p>
            <w:pPr>
              <w:ind w:left="20"/>
              <w:spacing w:after="0"/>
              <w:rPr>
                <w:sz w:val="20"/>
                <w:szCs w:val="20"/>
                <w:color w:val="auto"/>
              </w:rPr>
            </w:pPr>
            <w:r>
              <w:rPr>
                <w:rFonts w:ascii="Arial" w:cs="Arial" w:eastAsia="Arial" w:hAnsi="Arial"/>
                <w:sz w:val="18"/>
                <w:szCs w:val="18"/>
                <w:color w:val="auto"/>
              </w:rPr>
              <w:t>333-78421</w:t>
            </w:r>
          </w:p>
        </w:tc>
        <w:tc>
          <w:tcPr>
            <w:tcW w:w="1080" w:type="dxa"/>
            <w:vAlign w:val="bottom"/>
            <w:shd w:val="clear" w:color="auto" w:fill="DCE2EF"/>
          </w:tcPr>
          <w:p>
            <w:pPr>
              <w:ind w:left="480"/>
              <w:spacing w:after="0"/>
              <w:rPr>
                <w:sz w:val="20"/>
                <w:szCs w:val="20"/>
                <w:color w:val="auto"/>
              </w:rPr>
            </w:pPr>
            <w:r>
              <w:rPr>
                <w:rFonts w:ascii="Arial" w:cs="Arial" w:eastAsia="Arial" w:hAnsi="Arial"/>
                <w:sz w:val="18"/>
                <w:szCs w:val="18"/>
                <w:color w:val="auto"/>
              </w:rPr>
              <w:t>S-8</w:t>
            </w:r>
          </w:p>
        </w:tc>
        <w:tc>
          <w:tcPr>
            <w:tcW w:w="8240" w:type="dxa"/>
            <w:vAlign w:val="bottom"/>
            <w:gridSpan w:val="2"/>
            <w:shd w:val="clear" w:color="auto" w:fill="DCE2EF"/>
          </w:tcPr>
          <w:p>
            <w:pPr>
              <w:ind w:left="200"/>
              <w:spacing w:after="0"/>
              <w:rPr>
                <w:sz w:val="20"/>
                <w:szCs w:val="20"/>
                <w:color w:val="auto"/>
              </w:rPr>
            </w:pPr>
            <w:r>
              <w:rPr>
                <w:rFonts w:ascii="Arial" w:cs="Arial" w:eastAsia="Arial" w:hAnsi="Arial"/>
                <w:sz w:val="18"/>
                <w:szCs w:val="18"/>
                <w:color w:val="auto"/>
              </w:rPr>
              <w:t>“Time-Vested” Incentive Stock Option Plan</w:t>
            </w:r>
          </w:p>
        </w:tc>
      </w:tr>
      <w:tr>
        <w:trPr>
          <w:trHeight w:val="237"/>
        </w:trPr>
        <w:tc>
          <w:tcPr>
            <w:tcW w:w="1700" w:type="dxa"/>
            <w:vAlign w:val="bottom"/>
          </w:tcPr>
          <w:p>
            <w:pPr>
              <w:ind w:left="20"/>
              <w:spacing w:after="0"/>
              <w:rPr>
                <w:sz w:val="20"/>
                <w:szCs w:val="20"/>
                <w:color w:val="auto"/>
              </w:rPr>
            </w:pPr>
            <w:r>
              <w:rPr>
                <w:rFonts w:ascii="Arial" w:cs="Arial" w:eastAsia="Arial" w:hAnsi="Arial"/>
                <w:sz w:val="18"/>
                <w:szCs w:val="18"/>
                <w:color w:val="auto"/>
              </w:rPr>
              <w:t>333-48857</w:t>
            </w:r>
          </w:p>
        </w:tc>
        <w:tc>
          <w:tcPr>
            <w:tcW w:w="1080" w:type="dxa"/>
            <w:vAlign w:val="bottom"/>
          </w:tcPr>
          <w:p>
            <w:pPr>
              <w:ind w:left="480"/>
              <w:spacing w:after="0"/>
              <w:rPr>
                <w:sz w:val="20"/>
                <w:szCs w:val="20"/>
                <w:color w:val="auto"/>
              </w:rPr>
            </w:pPr>
            <w:r>
              <w:rPr>
                <w:rFonts w:ascii="Arial" w:cs="Arial" w:eastAsia="Arial" w:hAnsi="Arial"/>
                <w:sz w:val="18"/>
                <w:szCs w:val="18"/>
                <w:color w:val="auto"/>
              </w:rPr>
              <w:t>S-8</w:t>
            </w:r>
          </w:p>
        </w:tc>
        <w:tc>
          <w:tcPr>
            <w:tcW w:w="580" w:type="dxa"/>
            <w:vAlign w:val="bottom"/>
          </w:tcPr>
          <w:p>
            <w:pPr>
              <w:ind w:left="200"/>
              <w:spacing w:after="0"/>
              <w:rPr>
                <w:sz w:val="20"/>
                <w:szCs w:val="20"/>
                <w:color w:val="auto"/>
              </w:rPr>
            </w:pPr>
            <w:r>
              <w:rPr>
                <w:rFonts w:ascii="Arial" w:cs="Arial" w:eastAsia="Arial" w:hAnsi="Arial"/>
                <w:sz w:val="18"/>
                <w:szCs w:val="18"/>
                <w:color w:val="auto"/>
                <w:w w:val="89"/>
              </w:rPr>
              <w:t>1996</w:t>
            </w:r>
          </w:p>
        </w:tc>
        <w:tc>
          <w:tcPr>
            <w:tcW w:w="7660" w:type="dxa"/>
            <w:vAlign w:val="bottom"/>
          </w:tcPr>
          <w:p>
            <w:pPr>
              <w:ind w:left="20"/>
              <w:spacing w:after="0"/>
              <w:rPr>
                <w:sz w:val="20"/>
                <w:szCs w:val="20"/>
                <w:color w:val="auto"/>
              </w:rPr>
            </w:pPr>
            <w:r>
              <w:rPr>
                <w:rFonts w:ascii="Arial" w:cs="Arial" w:eastAsia="Arial" w:hAnsi="Arial"/>
                <w:sz w:val="18"/>
                <w:szCs w:val="18"/>
                <w:color w:val="auto"/>
              </w:rPr>
              <w:t>Price Vested Performance Stock Option Plan</w:t>
            </w:r>
          </w:p>
        </w:tc>
      </w:tr>
      <w:tr>
        <w:trPr>
          <w:trHeight w:val="249"/>
        </w:trPr>
        <w:tc>
          <w:tcPr>
            <w:tcW w:w="1700" w:type="dxa"/>
            <w:vAlign w:val="bottom"/>
            <w:shd w:val="clear" w:color="auto" w:fill="DCE2EF"/>
          </w:tcPr>
          <w:p>
            <w:pPr>
              <w:ind w:left="20"/>
              <w:spacing w:after="0"/>
              <w:rPr>
                <w:sz w:val="20"/>
                <w:szCs w:val="20"/>
                <w:color w:val="auto"/>
              </w:rPr>
            </w:pPr>
            <w:r>
              <w:rPr>
                <w:rFonts w:ascii="Arial" w:cs="Arial" w:eastAsia="Arial" w:hAnsi="Arial"/>
                <w:sz w:val="18"/>
                <w:szCs w:val="18"/>
                <w:color w:val="auto"/>
              </w:rPr>
              <w:t>333-85390</w:t>
            </w:r>
          </w:p>
        </w:tc>
        <w:tc>
          <w:tcPr>
            <w:tcW w:w="1080" w:type="dxa"/>
            <w:vAlign w:val="bottom"/>
            <w:shd w:val="clear" w:color="auto" w:fill="DCE2EF"/>
          </w:tcPr>
          <w:p>
            <w:pPr>
              <w:ind w:left="480"/>
              <w:spacing w:after="0"/>
              <w:rPr>
                <w:sz w:val="20"/>
                <w:szCs w:val="20"/>
                <w:color w:val="auto"/>
              </w:rPr>
            </w:pPr>
            <w:r>
              <w:rPr>
                <w:rFonts w:ascii="Arial" w:cs="Arial" w:eastAsia="Arial" w:hAnsi="Arial"/>
                <w:sz w:val="18"/>
                <w:szCs w:val="18"/>
                <w:color w:val="auto"/>
              </w:rPr>
              <w:t>S-8</w:t>
            </w:r>
          </w:p>
        </w:tc>
        <w:tc>
          <w:tcPr>
            <w:tcW w:w="580" w:type="dxa"/>
            <w:vAlign w:val="bottom"/>
            <w:shd w:val="clear" w:color="auto" w:fill="DCE2EF"/>
          </w:tcPr>
          <w:p>
            <w:pPr>
              <w:ind w:left="200"/>
              <w:spacing w:after="0"/>
              <w:rPr>
                <w:sz w:val="20"/>
                <w:szCs w:val="20"/>
                <w:color w:val="auto"/>
              </w:rPr>
            </w:pPr>
            <w:r>
              <w:rPr>
                <w:rFonts w:ascii="Arial" w:cs="Arial" w:eastAsia="Arial" w:hAnsi="Arial"/>
                <w:sz w:val="18"/>
                <w:szCs w:val="18"/>
                <w:color w:val="auto"/>
                <w:w w:val="89"/>
              </w:rPr>
              <w:t>2002</w:t>
            </w:r>
          </w:p>
        </w:tc>
        <w:tc>
          <w:tcPr>
            <w:tcW w:w="7660" w:type="dxa"/>
            <w:vAlign w:val="bottom"/>
            <w:shd w:val="clear" w:color="auto" w:fill="DCE2EF"/>
          </w:tcPr>
          <w:p>
            <w:pPr>
              <w:ind w:left="20"/>
              <w:spacing w:after="0"/>
              <w:rPr>
                <w:sz w:val="20"/>
                <w:szCs w:val="20"/>
                <w:color w:val="auto"/>
              </w:rPr>
            </w:pPr>
            <w:r>
              <w:rPr>
                <w:rFonts w:ascii="Arial" w:cs="Arial" w:eastAsia="Arial" w:hAnsi="Arial"/>
                <w:sz w:val="18"/>
                <w:szCs w:val="18"/>
                <w:color w:val="auto"/>
              </w:rPr>
              <w:t>Price Vested Performance Stock Option Plan</w:t>
            </w:r>
          </w:p>
        </w:tc>
      </w:tr>
      <w:tr>
        <w:trPr>
          <w:trHeight w:val="237"/>
        </w:trPr>
        <w:tc>
          <w:tcPr>
            <w:tcW w:w="1700" w:type="dxa"/>
            <w:vAlign w:val="bottom"/>
          </w:tcPr>
          <w:p>
            <w:pPr>
              <w:ind w:left="20"/>
              <w:spacing w:after="0"/>
              <w:rPr>
                <w:sz w:val="20"/>
                <w:szCs w:val="20"/>
                <w:color w:val="auto"/>
              </w:rPr>
            </w:pPr>
            <w:r>
              <w:rPr>
                <w:rFonts w:ascii="Arial" w:cs="Arial" w:eastAsia="Arial" w:hAnsi="Arial"/>
                <w:sz w:val="18"/>
                <w:szCs w:val="18"/>
                <w:color w:val="auto"/>
              </w:rPr>
              <w:t>333-116487</w:t>
            </w:r>
          </w:p>
        </w:tc>
        <w:tc>
          <w:tcPr>
            <w:tcW w:w="1080" w:type="dxa"/>
            <w:vAlign w:val="bottom"/>
          </w:tcPr>
          <w:p>
            <w:pPr>
              <w:ind w:left="480"/>
              <w:spacing w:after="0"/>
              <w:rPr>
                <w:sz w:val="20"/>
                <w:szCs w:val="20"/>
                <w:color w:val="auto"/>
              </w:rPr>
            </w:pPr>
            <w:r>
              <w:rPr>
                <w:rFonts w:ascii="Arial" w:cs="Arial" w:eastAsia="Arial" w:hAnsi="Arial"/>
                <w:sz w:val="18"/>
                <w:szCs w:val="18"/>
                <w:color w:val="auto"/>
              </w:rPr>
              <w:t>S-8</w:t>
            </w: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2004</w:t>
            </w:r>
          </w:p>
        </w:tc>
        <w:tc>
          <w:tcPr>
            <w:tcW w:w="766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r>
      <w:tr>
        <w:trPr>
          <w:trHeight w:val="249"/>
        </w:trPr>
        <w:tc>
          <w:tcPr>
            <w:tcW w:w="1700" w:type="dxa"/>
            <w:vAlign w:val="bottom"/>
            <w:shd w:val="clear" w:color="auto" w:fill="DCE2EF"/>
          </w:tcPr>
          <w:p>
            <w:pPr>
              <w:ind w:left="20"/>
              <w:spacing w:after="0"/>
              <w:rPr>
                <w:sz w:val="20"/>
                <w:szCs w:val="20"/>
                <w:color w:val="auto"/>
              </w:rPr>
            </w:pPr>
            <w:r>
              <w:rPr>
                <w:rFonts w:ascii="Arial" w:cs="Arial" w:eastAsia="Arial" w:hAnsi="Arial"/>
                <w:sz w:val="18"/>
                <w:szCs w:val="18"/>
                <w:color w:val="auto"/>
              </w:rPr>
              <w:t>333-137241</w:t>
            </w:r>
          </w:p>
        </w:tc>
        <w:tc>
          <w:tcPr>
            <w:tcW w:w="1080" w:type="dxa"/>
            <w:vAlign w:val="bottom"/>
            <w:shd w:val="clear" w:color="auto" w:fill="DCE2EF"/>
          </w:tcPr>
          <w:p>
            <w:pPr>
              <w:ind w:left="480"/>
              <w:spacing w:after="0"/>
              <w:rPr>
                <w:sz w:val="20"/>
                <w:szCs w:val="20"/>
                <w:color w:val="auto"/>
              </w:rPr>
            </w:pPr>
            <w:r>
              <w:rPr>
                <w:rFonts w:ascii="Arial" w:cs="Arial" w:eastAsia="Arial" w:hAnsi="Arial"/>
                <w:sz w:val="18"/>
                <w:szCs w:val="18"/>
                <w:color w:val="auto"/>
              </w:rPr>
              <w:t>S-8</w:t>
            </w:r>
          </w:p>
        </w:tc>
        <w:tc>
          <w:tcPr>
            <w:tcW w:w="580" w:type="dxa"/>
            <w:vAlign w:val="bottom"/>
            <w:shd w:val="clear" w:color="auto" w:fill="DCE2EF"/>
          </w:tcPr>
          <w:p>
            <w:pPr>
              <w:ind w:left="200"/>
              <w:spacing w:after="0"/>
              <w:rPr>
                <w:sz w:val="20"/>
                <w:szCs w:val="20"/>
                <w:color w:val="auto"/>
              </w:rPr>
            </w:pPr>
            <w:r>
              <w:rPr>
                <w:rFonts w:ascii="Arial" w:cs="Arial" w:eastAsia="Arial" w:hAnsi="Arial"/>
                <w:sz w:val="18"/>
                <w:szCs w:val="18"/>
                <w:color w:val="auto"/>
                <w:w w:val="89"/>
              </w:rPr>
              <w:t>2006</w:t>
            </w:r>
          </w:p>
        </w:tc>
        <w:tc>
          <w:tcPr>
            <w:tcW w:w="7660" w:type="dxa"/>
            <w:vAlign w:val="bottom"/>
            <w:shd w:val="clear" w:color="auto" w:fill="DCE2EF"/>
          </w:tcPr>
          <w:p>
            <w:pPr>
              <w:ind w:left="20"/>
              <w:spacing w:after="0"/>
              <w:rPr>
                <w:sz w:val="20"/>
                <w:szCs w:val="20"/>
                <w:color w:val="auto"/>
              </w:rPr>
            </w:pPr>
            <w:r>
              <w:rPr>
                <w:rFonts w:ascii="Arial" w:cs="Arial" w:eastAsia="Arial" w:hAnsi="Arial"/>
                <w:sz w:val="18"/>
                <w:szCs w:val="18"/>
                <w:color w:val="auto"/>
              </w:rPr>
              <w:t>Equity Incentive Plan</w:t>
            </w:r>
          </w:p>
        </w:tc>
      </w:tr>
      <w:tr>
        <w:trPr>
          <w:trHeight w:val="237"/>
        </w:trPr>
        <w:tc>
          <w:tcPr>
            <w:tcW w:w="1700" w:type="dxa"/>
            <w:vAlign w:val="bottom"/>
          </w:tcPr>
          <w:p>
            <w:pPr>
              <w:ind w:left="20"/>
              <w:spacing w:after="0"/>
              <w:rPr>
                <w:sz w:val="20"/>
                <w:szCs w:val="20"/>
                <w:color w:val="auto"/>
              </w:rPr>
            </w:pPr>
            <w:r>
              <w:rPr>
                <w:rFonts w:ascii="Arial" w:cs="Arial" w:eastAsia="Arial" w:hAnsi="Arial"/>
                <w:sz w:val="18"/>
                <w:szCs w:val="18"/>
                <w:color w:val="auto"/>
              </w:rPr>
              <w:t>333-159770</w:t>
            </w:r>
          </w:p>
        </w:tc>
        <w:tc>
          <w:tcPr>
            <w:tcW w:w="1080" w:type="dxa"/>
            <w:vAlign w:val="bottom"/>
          </w:tcPr>
          <w:p>
            <w:pPr>
              <w:ind w:left="480"/>
              <w:spacing w:after="0"/>
              <w:rPr>
                <w:sz w:val="20"/>
                <w:szCs w:val="20"/>
                <w:color w:val="auto"/>
              </w:rPr>
            </w:pPr>
            <w:r>
              <w:rPr>
                <w:rFonts w:ascii="Arial" w:cs="Arial" w:eastAsia="Arial" w:hAnsi="Arial"/>
                <w:sz w:val="18"/>
                <w:szCs w:val="18"/>
                <w:color w:val="auto"/>
              </w:rPr>
              <w:t>S-8</w:t>
            </w: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2006</w:t>
            </w:r>
          </w:p>
        </w:tc>
        <w:tc>
          <w:tcPr>
            <w:tcW w:w="7660" w:type="dxa"/>
            <w:vAlign w:val="bottom"/>
          </w:tcPr>
          <w:p>
            <w:pPr>
              <w:ind w:left="20"/>
              <w:spacing w:after="0"/>
              <w:rPr>
                <w:sz w:val="20"/>
                <w:szCs w:val="20"/>
                <w:color w:val="auto"/>
              </w:rPr>
            </w:pPr>
            <w:r>
              <w:rPr>
                <w:rFonts w:ascii="Arial" w:cs="Arial" w:eastAsia="Arial" w:hAnsi="Arial"/>
                <w:sz w:val="18"/>
                <w:szCs w:val="18"/>
                <w:color w:val="auto"/>
              </w:rPr>
              <w:t>Equity Incentive Plan</w:t>
            </w:r>
          </w:p>
        </w:tc>
      </w:tr>
      <w:tr>
        <w:trPr>
          <w:trHeight w:val="249"/>
        </w:trPr>
        <w:tc>
          <w:tcPr>
            <w:tcW w:w="1700" w:type="dxa"/>
            <w:vAlign w:val="bottom"/>
            <w:shd w:val="clear" w:color="auto" w:fill="DCE2EF"/>
          </w:tcPr>
          <w:p>
            <w:pPr>
              <w:ind w:left="20"/>
              <w:spacing w:after="0"/>
              <w:rPr>
                <w:sz w:val="20"/>
                <w:szCs w:val="20"/>
                <w:color w:val="auto"/>
              </w:rPr>
            </w:pPr>
            <w:r>
              <w:rPr>
                <w:rFonts w:ascii="Arial" w:cs="Arial" w:eastAsia="Arial" w:hAnsi="Arial"/>
                <w:sz w:val="18"/>
                <w:szCs w:val="18"/>
                <w:color w:val="auto"/>
              </w:rPr>
              <w:t>333-179991</w:t>
            </w:r>
          </w:p>
        </w:tc>
        <w:tc>
          <w:tcPr>
            <w:tcW w:w="1080" w:type="dxa"/>
            <w:vAlign w:val="bottom"/>
            <w:shd w:val="clear" w:color="auto" w:fill="DCE2EF"/>
          </w:tcPr>
          <w:p>
            <w:pPr>
              <w:ind w:left="480"/>
              <w:spacing w:after="0"/>
              <w:rPr>
                <w:sz w:val="20"/>
                <w:szCs w:val="20"/>
                <w:color w:val="auto"/>
              </w:rPr>
            </w:pPr>
            <w:r>
              <w:rPr>
                <w:rFonts w:ascii="Arial" w:cs="Arial" w:eastAsia="Arial" w:hAnsi="Arial"/>
                <w:sz w:val="18"/>
                <w:szCs w:val="18"/>
                <w:color w:val="auto"/>
              </w:rPr>
              <w:t>S-8</w:t>
            </w:r>
          </w:p>
        </w:tc>
        <w:tc>
          <w:tcPr>
            <w:tcW w:w="580" w:type="dxa"/>
            <w:vAlign w:val="bottom"/>
            <w:shd w:val="clear" w:color="auto" w:fill="DCE2EF"/>
          </w:tcPr>
          <w:p>
            <w:pPr>
              <w:ind w:left="200"/>
              <w:spacing w:after="0"/>
              <w:rPr>
                <w:sz w:val="20"/>
                <w:szCs w:val="20"/>
                <w:color w:val="auto"/>
              </w:rPr>
            </w:pPr>
            <w:r>
              <w:rPr>
                <w:rFonts w:ascii="Arial" w:cs="Arial" w:eastAsia="Arial" w:hAnsi="Arial"/>
                <w:sz w:val="18"/>
                <w:szCs w:val="18"/>
                <w:color w:val="auto"/>
                <w:w w:val="89"/>
              </w:rPr>
              <w:t>2006</w:t>
            </w:r>
          </w:p>
        </w:tc>
        <w:tc>
          <w:tcPr>
            <w:tcW w:w="7660" w:type="dxa"/>
            <w:vAlign w:val="bottom"/>
            <w:shd w:val="clear" w:color="auto" w:fill="DCE2EF"/>
          </w:tcPr>
          <w:p>
            <w:pPr>
              <w:ind w:left="20"/>
              <w:spacing w:after="0"/>
              <w:rPr>
                <w:sz w:val="20"/>
                <w:szCs w:val="20"/>
                <w:color w:val="auto"/>
              </w:rPr>
            </w:pPr>
            <w:r>
              <w:rPr>
                <w:rFonts w:ascii="Arial" w:cs="Arial" w:eastAsia="Arial" w:hAnsi="Arial"/>
                <w:sz w:val="18"/>
                <w:szCs w:val="18"/>
                <w:color w:val="auto"/>
              </w:rPr>
              <w:t>Equity Incentive Plan</w:t>
            </w:r>
          </w:p>
        </w:tc>
      </w:tr>
      <w:tr>
        <w:trPr>
          <w:trHeight w:val="237"/>
        </w:trPr>
        <w:tc>
          <w:tcPr>
            <w:tcW w:w="1700" w:type="dxa"/>
            <w:vAlign w:val="bottom"/>
          </w:tcPr>
          <w:p>
            <w:pPr>
              <w:ind w:left="20"/>
              <w:spacing w:after="0"/>
              <w:rPr>
                <w:sz w:val="20"/>
                <w:szCs w:val="20"/>
                <w:color w:val="auto"/>
              </w:rPr>
            </w:pPr>
            <w:r>
              <w:rPr>
                <w:rFonts w:ascii="Arial" w:cs="Arial" w:eastAsia="Arial" w:hAnsi="Arial"/>
                <w:sz w:val="18"/>
                <w:szCs w:val="18"/>
                <w:color w:val="auto"/>
              </w:rPr>
              <w:t>333-202521</w:t>
            </w:r>
          </w:p>
        </w:tc>
        <w:tc>
          <w:tcPr>
            <w:tcW w:w="1080" w:type="dxa"/>
            <w:vAlign w:val="bottom"/>
          </w:tcPr>
          <w:p>
            <w:pPr>
              <w:ind w:left="480"/>
              <w:spacing w:after="0"/>
              <w:rPr>
                <w:sz w:val="20"/>
                <w:szCs w:val="20"/>
                <w:color w:val="auto"/>
              </w:rPr>
            </w:pPr>
            <w:r>
              <w:rPr>
                <w:rFonts w:ascii="Arial" w:cs="Arial" w:eastAsia="Arial" w:hAnsi="Arial"/>
                <w:sz w:val="18"/>
                <w:szCs w:val="18"/>
                <w:color w:val="auto"/>
              </w:rPr>
              <w:t>S-8</w:t>
            </w: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2006</w:t>
            </w:r>
          </w:p>
        </w:tc>
        <w:tc>
          <w:tcPr>
            <w:tcW w:w="7660" w:type="dxa"/>
            <w:vAlign w:val="bottom"/>
          </w:tcPr>
          <w:p>
            <w:pPr>
              <w:ind w:left="20"/>
              <w:spacing w:after="0"/>
              <w:rPr>
                <w:sz w:val="20"/>
                <w:szCs w:val="20"/>
                <w:color w:val="auto"/>
              </w:rPr>
            </w:pPr>
            <w:r>
              <w:rPr>
                <w:rFonts w:ascii="Arial" w:cs="Arial" w:eastAsia="Arial" w:hAnsi="Arial"/>
                <w:sz w:val="18"/>
                <w:szCs w:val="18"/>
                <w:color w:val="auto"/>
              </w:rPr>
              <w:t>Equity Incentive Plan</w:t>
            </w:r>
          </w:p>
        </w:tc>
      </w:tr>
      <w:tr>
        <w:trPr>
          <w:trHeight w:val="249"/>
        </w:trPr>
        <w:tc>
          <w:tcPr>
            <w:tcW w:w="1700" w:type="dxa"/>
            <w:vAlign w:val="bottom"/>
            <w:shd w:val="clear" w:color="auto" w:fill="DCE2EF"/>
          </w:tcPr>
          <w:p>
            <w:pPr>
              <w:ind w:left="20"/>
              <w:spacing w:after="0"/>
              <w:rPr>
                <w:sz w:val="20"/>
                <w:szCs w:val="20"/>
                <w:color w:val="auto"/>
              </w:rPr>
            </w:pPr>
            <w:r>
              <w:rPr>
                <w:rFonts w:ascii="Arial" w:cs="Arial" w:eastAsia="Arial" w:hAnsi="Arial"/>
                <w:sz w:val="18"/>
                <w:szCs w:val="18"/>
                <w:color w:val="auto"/>
              </w:rPr>
              <w:t>333-211991</w:t>
            </w:r>
          </w:p>
        </w:tc>
        <w:tc>
          <w:tcPr>
            <w:tcW w:w="1080" w:type="dxa"/>
            <w:vAlign w:val="bottom"/>
            <w:shd w:val="clear" w:color="auto" w:fill="DCE2EF"/>
          </w:tcPr>
          <w:p>
            <w:pPr>
              <w:ind w:left="480"/>
              <w:spacing w:after="0"/>
              <w:rPr>
                <w:sz w:val="20"/>
                <w:szCs w:val="20"/>
                <w:color w:val="auto"/>
              </w:rPr>
            </w:pPr>
            <w:r>
              <w:rPr>
                <w:rFonts w:ascii="Arial" w:cs="Arial" w:eastAsia="Arial" w:hAnsi="Arial"/>
                <w:sz w:val="18"/>
                <w:szCs w:val="18"/>
                <w:color w:val="auto"/>
              </w:rPr>
              <w:t>S-8</w:t>
            </w:r>
          </w:p>
        </w:tc>
        <w:tc>
          <w:tcPr>
            <w:tcW w:w="580" w:type="dxa"/>
            <w:vAlign w:val="bottom"/>
            <w:shd w:val="clear" w:color="auto" w:fill="DCE2EF"/>
          </w:tcPr>
          <w:p>
            <w:pPr>
              <w:ind w:left="200"/>
              <w:spacing w:after="0"/>
              <w:rPr>
                <w:sz w:val="20"/>
                <w:szCs w:val="20"/>
                <w:color w:val="auto"/>
              </w:rPr>
            </w:pPr>
            <w:r>
              <w:rPr>
                <w:rFonts w:ascii="Arial" w:cs="Arial" w:eastAsia="Arial" w:hAnsi="Arial"/>
                <w:sz w:val="18"/>
                <w:szCs w:val="18"/>
                <w:color w:val="auto"/>
                <w:w w:val="89"/>
              </w:rPr>
              <w:t>2004</w:t>
            </w:r>
          </w:p>
        </w:tc>
        <w:tc>
          <w:tcPr>
            <w:tcW w:w="7660" w:type="dxa"/>
            <w:vAlign w:val="bottom"/>
            <w:shd w:val="clear" w:color="auto" w:fill="DCE2EF"/>
          </w:tcPr>
          <w:p>
            <w:pPr>
              <w:ind w:left="20"/>
              <w:spacing w:after="0"/>
              <w:rPr>
                <w:sz w:val="20"/>
                <w:szCs w:val="20"/>
                <w:color w:val="auto"/>
              </w:rPr>
            </w:pPr>
            <w:r>
              <w:rPr>
                <w:rFonts w:ascii="Arial" w:cs="Arial" w:eastAsia="Arial" w:hAnsi="Arial"/>
                <w:sz w:val="18"/>
                <w:szCs w:val="18"/>
                <w:color w:val="auto"/>
              </w:rPr>
              <w:t>Employee Stock Purchase Plan</w:t>
            </w:r>
          </w:p>
        </w:tc>
      </w:tr>
      <w:tr>
        <w:trPr>
          <w:trHeight w:val="237"/>
        </w:trPr>
        <w:tc>
          <w:tcPr>
            <w:tcW w:w="1700" w:type="dxa"/>
            <w:vAlign w:val="bottom"/>
          </w:tcPr>
          <w:p>
            <w:pPr>
              <w:ind w:left="20"/>
              <w:spacing w:after="0"/>
              <w:rPr>
                <w:sz w:val="20"/>
                <w:szCs w:val="20"/>
                <w:color w:val="auto"/>
              </w:rPr>
            </w:pPr>
            <w:r>
              <w:rPr>
                <w:rFonts w:ascii="Arial" w:cs="Arial" w:eastAsia="Arial" w:hAnsi="Arial"/>
                <w:sz w:val="18"/>
                <w:szCs w:val="18"/>
                <w:color w:val="auto"/>
              </w:rPr>
              <w:t>333-224183</w:t>
            </w:r>
          </w:p>
        </w:tc>
        <w:tc>
          <w:tcPr>
            <w:tcW w:w="1080" w:type="dxa"/>
            <w:vAlign w:val="bottom"/>
          </w:tcPr>
          <w:p>
            <w:pPr>
              <w:ind w:left="480"/>
              <w:spacing w:after="0"/>
              <w:rPr>
                <w:sz w:val="20"/>
                <w:szCs w:val="20"/>
                <w:color w:val="auto"/>
              </w:rPr>
            </w:pPr>
            <w:r>
              <w:rPr>
                <w:rFonts w:ascii="Arial" w:cs="Arial" w:eastAsia="Arial" w:hAnsi="Arial"/>
                <w:sz w:val="18"/>
                <w:szCs w:val="18"/>
                <w:color w:val="auto"/>
              </w:rPr>
              <w:t>S-8</w:t>
            </w:r>
          </w:p>
        </w:tc>
        <w:tc>
          <w:tcPr>
            <w:tcW w:w="8240" w:type="dxa"/>
            <w:vAlign w:val="bottom"/>
            <w:gridSpan w:val="2"/>
          </w:tcPr>
          <w:p>
            <w:pPr>
              <w:ind w:left="200"/>
              <w:spacing w:after="0"/>
              <w:rPr>
                <w:sz w:val="20"/>
                <w:szCs w:val="20"/>
                <w:color w:val="auto"/>
              </w:rPr>
            </w:pPr>
            <w:r>
              <w:rPr>
                <w:rFonts w:ascii="Arial" w:cs="Arial" w:eastAsia="Arial" w:hAnsi="Arial"/>
                <w:sz w:val="18"/>
                <w:szCs w:val="18"/>
                <w:color w:val="auto"/>
              </w:rPr>
              <w:t>Amended and Restated 2016 Equity Incentive Plan</w:t>
            </w:r>
          </w:p>
        </w:tc>
      </w:tr>
      <w:tr>
        <w:trPr>
          <w:trHeight w:val="249"/>
        </w:trPr>
        <w:tc>
          <w:tcPr>
            <w:tcW w:w="1700" w:type="dxa"/>
            <w:vAlign w:val="bottom"/>
            <w:shd w:val="clear" w:color="auto" w:fill="DCE2EF"/>
          </w:tcPr>
          <w:p>
            <w:pPr>
              <w:ind w:left="20"/>
              <w:spacing w:after="0"/>
              <w:rPr>
                <w:sz w:val="20"/>
                <w:szCs w:val="20"/>
                <w:color w:val="auto"/>
              </w:rPr>
            </w:pPr>
            <w:r>
              <w:rPr>
                <w:rFonts w:ascii="Arial" w:cs="Arial" w:eastAsia="Arial" w:hAnsi="Arial"/>
                <w:sz w:val="18"/>
                <w:szCs w:val="18"/>
                <w:color w:val="auto"/>
              </w:rPr>
              <w:t>333-223233</w:t>
            </w:r>
          </w:p>
        </w:tc>
        <w:tc>
          <w:tcPr>
            <w:tcW w:w="1080" w:type="dxa"/>
            <w:vAlign w:val="bottom"/>
            <w:shd w:val="clear" w:color="auto" w:fill="DCE2EF"/>
          </w:tcPr>
          <w:p>
            <w:pPr>
              <w:ind w:left="480"/>
              <w:spacing w:after="0"/>
              <w:rPr>
                <w:sz w:val="20"/>
                <w:szCs w:val="20"/>
                <w:color w:val="auto"/>
              </w:rPr>
            </w:pPr>
            <w:r>
              <w:rPr>
                <w:rFonts w:ascii="Arial" w:cs="Arial" w:eastAsia="Arial" w:hAnsi="Arial"/>
                <w:sz w:val="18"/>
                <w:szCs w:val="18"/>
                <w:color w:val="auto"/>
              </w:rPr>
              <w:t>S-3</w:t>
            </w:r>
          </w:p>
        </w:tc>
        <w:tc>
          <w:tcPr>
            <w:tcW w:w="8240" w:type="dxa"/>
            <w:vAlign w:val="bottom"/>
            <w:gridSpan w:val="2"/>
            <w:shd w:val="clear" w:color="auto" w:fill="DCE2EF"/>
          </w:tcPr>
          <w:p>
            <w:pPr>
              <w:ind w:left="200"/>
              <w:spacing w:after="0"/>
              <w:rPr>
                <w:sz w:val="20"/>
                <w:szCs w:val="20"/>
                <w:color w:val="auto"/>
              </w:rPr>
            </w:pPr>
            <w:r>
              <w:rPr>
                <w:rFonts w:ascii="Arial" w:cs="Arial" w:eastAsia="Arial" w:hAnsi="Arial"/>
                <w:sz w:val="18"/>
                <w:szCs w:val="18"/>
                <w:color w:val="auto"/>
              </w:rPr>
              <w:t>ABM Industries Automatic Shelf Registration Statement</w:t>
            </w:r>
          </w:p>
        </w:tc>
      </w:tr>
      <w:tr>
        <w:trPr>
          <w:trHeight w:val="230"/>
        </w:trPr>
        <w:tc>
          <w:tcPr>
            <w:tcW w:w="1700" w:type="dxa"/>
            <w:vAlign w:val="bottom"/>
          </w:tcPr>
          <w:p>
            <w:pPr>
              <w:ind w:left="20"/>
              <w:spacing w:after="0"/>
              <w:rPr>
                <w:sz w:val="20"/>
                <w:szCs w:val="20"/>
                <w:color w:val="auto"/>
              </w:rPr>
            </w:pPr>
            <w:r>
              <w:rPr>
                <w:rFonts w:ascii="Arial" w:cs="Arial" w:eastAsia="Arial" w:hAnsi="Arial"/>
                <w:sz w:val="18"/>
                <w:szCs w:val="18"/>
                <w:color w:val="auto"/>
              </w:rPr>
              <w:t>333-254769</w:t>
            </w:r>
          </w:p>
        </w:tc>
        <w:tc>
          <w:tcPr>
            <w:tcW w:w="1080" w:type="dxa"/>
            <w:vAlign w:val="bottom"/>
          </w:tcPr>
          <w:p>
            <w:pPr>
              <w:ind w:left="480"/>
              <w:spacing w:after="0"/>
              <w:rPr>
                <w:sz w:val="20"/>
                <w:szCs w:val="20"/>
                <w:color w:val="auto"/>
              </w:rPr>
            </w:pPr>
            <w:r>
              <w:rPr>
                <w:rFonts w:ascii="Arial" w:cs="Arial" w:eastAsia="Arial" w:hAnsi="Arial"/>
                <w:sz w:val="18"/>
                <w:szCs w:val="18"/>
                <w:color w:val="auto"/>
              </w:rPr>
              <w:t>S-8</w:t>
            </w: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2021</w:t>
            </w:r>
          </w:p>
        </w:tc>
        <w:tc>
          <w:tcPr>
            <w:tcW w:w="7660" w:type="dxa"/>
            <w:vAlign w:val="bottom"/>
          </w:tcPr>
          <w:p>
            <w:pPr>
              <w:ind w:left="20"/>
              <w:spacing w:after="0"/>
              <w:rPr>
                <w:sz w:val="20"/>
                <w:szCs w:val="20"/>
                <w:color w:val="auto"/>
              </w:rPr>
            </w:pPr>
            <w:r>
              <w:rPr>
                <w:rFonts w:ascii="Arial" w:cs="Arial" w:eastAsia="Arial" w:hAnsi="Arial"/>
                <w:sz w:val="18"/>
                <w:szCs w:val="18"/>
                <w:color w:val="auto"/>
              </w:rPr>
              <w:t>Equity and Incentive 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1714500" cy="3429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Armanino </w:t>
      </w:r>
      <w:r>
        <w:rPr>
          <w:rFonts w:ascii="Arial" w:cs="Arial" w:eastAsia="Arial" w:hAnsi="Arial"/>
          <w:sz w:val="23"/>
          <w:szCs w:val="23"/>
          <w:color w:val="auto"/>
          <w:vertAlign w:val="superscript"/>
        </w:rPr>
        <w:t>LLP</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San Ramon, California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November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1395095</wp:posOffset>
            </wp:positionV>
            <wp:extent cx="985520" cy="6254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85520" cy="6254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ind w:left="9120"/>
        <w:spacing w:after="0"/>
        <w:rPr>
          <w:sz w:val="20"/>
          <w:szCs w:val="20"/>
          <w:color w:val="auto"/>
        </w:rPr>
      </w:pPr>
      <w:r>
        <w:rPr>
          <w:rFonts w:ascii="Arial" w:cs="Arial" w:eastAsia="Arial" w:hAnsi="Arial"/>
          <w:sz w:val="17"/>
          <w:szCs w:val="17"/>
          <w:b w:val="1"/>
          <w:bCs w:val="1"/>
          <w:color w:val="auto"/>
        </w:rPr>
        <w:t>Exhibit 23.1</w:t>
      </w:r>
    </w:p>
    <w:p>
      <w:pPr>
        <w:sectPr>
          <w:pgSz w:w="11900" w:h="16838" w:orient="portrait"/>
          <w:cols w:equalWidth="0" w:num="1">
            <w:col w:w="10120"/>
          </w:cols>
          <w:pgMar w:left="1440" w:top="118"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Crown Building Maintenance Co. and Crown Energy Services, Inc.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dba Able Services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auto"/>
        </w:rPr>
        <w:t>Combined Financial Statements - Restated</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2020 and 2019</w:t>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340" w:type="dxa"/>
            <w:vAlign w:val="bottom"/>
            <w:gridSpan w:val="2"/>
          </w:tcPr>
          <w:p>
            <w:pPr>
              <w:ind w:left="420"/>
              <w:spacing w:after="0"/>
              <w:rPr>
                <w:sz w:val="20"/>
                <w:szCs w:val="20"/>
                <w:color w:val="auto"/>
              </w:rPr>
            </w:pPr>
            <w:r>
              <w:rPr>
                <w:rFonts w:ascii="Arial" w:cs="Arial" w:eastAsia="Arial" w:hAnsi="Arial"/>
                <w:sz w:val="18"/>
                <w:szCs w:val="18"/>
                <w:b w:val="1"/>
                <w:bCs w:val="1"/>
                <w:color w:val="auto"/>
                <w:w w:val="89"/>
              </w:rPr>
              <w:t>Exhibit 99.1</w:t>
            </w:r>
          </w:p>
        </w:tc>
      </w:tr>
      <w:tr>
        <w:trPr>
          <w:trHeight w:val="769"/>
        </w:trPr>
        <w:tc>
          <w:tcPr>
            <w:tcW w:w="4360" w:type="dxa"/>
            <w:vAlign w:val="bottom"/>
          </w:tcPr>
          <w:p>
            <w:pPr>
              <w:spacing w:after="0"/>
              <w:rPr>
                <w:sz w:val="24"/>
                <w:szCs w:val="24"/>
                <w:color w:val="auto"/>
              </w:rPr>
            </w:pPr>
          </w:p>
        </w:tc>
        <w:tc>
          <w:tcPr>
            <w:tcW w:w="6860" w:type="dxa"/>
            <w:vAlign w:val="bottom"/>
            <w:gridSpan w:val="3"/>
          </w:tcPr>
          <w:p>
            <w:pPr>
              <w:ind w:left="340"/>
              <w:spacing w:after="0"/>
              <w:rPr>
                <w:sz w:val="20"/>
                <w:szCs w:val="20"/>
                <w:color w:val="auto"/>
              </w:rPr>
            </w:pPr>
            <w:r>
              <w:rPr>
                <w:rFonts w:ascii="Arial" w:cs="Arial" w:eastAsia="Arial" w:hAnsi="Arial"/>
                <w:sz w:val="18"/>
                <w:szCs w:val="18"/>
                <w:color w:val="auto"/>
              </w:rPr>
              <w:t>TABLE OF CONTENTS</w:t>
            </w:r>
          </w:p>
        </w:tc>
      </w:tr>
      <w:tr>
        <w:trPr>
          <w:trHeight w:val="378"/>
        </w:trPr>
        <w:tc>
          <w:tcPr>
            <w:tcW w:w="4360" w:type="dxa"/>
            <w:vAlign w:val="bottom"/>
          </w:tcPr>
          <w:p>
            <w:pPr>
              <w:spacing w:after="0"/>
              <w:rPr>
                <w:sz w:val="24"/>
                <w:szCs w:val="24"/>
                <w:color w:val="auto"/>
              </w:rPr>
            </w:pPr>
          </w:p>
        </w:tc>
        <w:tc>
          <w:tcPr>
            <w:tcW w:w="6860" w:type="dxa"/>
            <w:vAlign w:val="bottom"/>
            <w:gridSpan w:val="3"/>
          </w:tcPr>
          <w:p>
            <w:pPr>
              <w:ind w:left="5520"/>
              <w:spacing w:after="0"/>
              <w:rPr>
                <w:sz w:val="20"/>
                <w:szCs w:val="20"/>
                <w:color w:val="auto"/>
              </w:rPr>
            </w:pPr>
            <w:r>
              <w:rPr>
                <w:rFonts w:ascii="Arial" w:cs="Arial" w:eastAsia="Arial" w:hAnsi="Arial"/>
                <w:sz w:val="18"/>
                <w:szCs w:val="18"/>
                <w:color w:val="auto"/>
              </w:rPr>
              <w:t>Page No.</w:t>
            </w:r>
          </w:p>
        </w:tc>
      </w:tr>
      <w:tr>
        <w:trPr>
          <w:trHeight w:val="250"/>
        </w:trPr>
        <w:tc>
          <w:tcPr>
            <w:tcW w:w="4360" w:type="dxa"/>
            <w:vAlign w:val="bottom"/>
          </w:tcPr>
          <w:p>
            <w:pPr>
              <w:spacing w:after="0"/>
              <w:rPr>
                <w:sz w:val="20"/>
                <w:szCs w:val="20"/>
                <w:color w:val="auto"/>
              </w:rPr>
            </w:pPr>
            <w:r>
              <w:rPr>
                <w:rFonts w:ascii="Arial" w:cs="Arial" w:eastAsia="Arial" w:hAnsi="Arial"/>
                <w:sz w:val="18"/>
                <w:szCs w:val="18"/>
                <w:color w:val="auto"/>
              </w:rPr>
              <w:t>Independent Auditor’s Report</w:t>
            </w:r>
          </w:p>
        </w:tc>
        <w:tc>
          <w:tcPr>
            <w:tcW w:w="5520" w:type="dxa"/>
            <w:vAlign w:val="bottom"/>
          </w:tcPr>
          <w:p>
            <w:pPr>
              <w:spacing w:after="0"/>
              <w:rPr>
                <w:sz w:val="21"/>
                <w:szCs w:val="21"/>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1-2</w:t>
            </w:r>
          </w:p>
        </w:tc>
        <w:tc>
          <w:tcPr>
            <w:tcW w:w="680" w:type="dxa"/>
            <w:vAlign w:val="bottom"/>
          </w:tcPr>
          <w:p>
            <w:pPr>
              <w:spacing w:after="0"/>
              <w:rPr>
                <w:sz w:val="21"/>
                <w:szCs w:val="21"/>
                <w:color w:val="auto"/>
              </w:rPr>
            </w:pPr>
          </w:p>
        </w:tc>
      </w:tr>
      <w:tr>
        <w:trPr>
          <w:trHeight w:val="499"/>
        </w:trPr>
        <w:tc>
          <w:tcPr>
            <w:tcW w:w="4360" w:type="dxa"/>
            <w:vAlign w:val="bottom"/>
          </w:tcPr>
          <w:p>
            <w:pPr>
              <w:spacing w:after="0"/>
              <w:rPr>
                <w:sz w:val="20"/>
                <w:szCs w:val="20"/>
                <w:color w:val="auto"/>
              </w:rPr>
            </w:pPr>
            <w:r>
              <w:rPr>
                <w:rFonts w:ascii="Arial" w:cs="Arial" w:eastAsia="Arial" w:hAnsi="Arial"/>
                <w:sz w:val="18"/>
                <w:szCs w:val="18"/>
                <w:color w:val="auto"/>
              </w:rPr>
              <w:t>Combined Balance Sheets</w:t>
            </w:r>
          </w:p>
        </w:tc>
        <w:tc>
          <w:tcPr>
            <w:tcW w:w="6180" w:type="dxa"/>
            <w:vAlign w:val="bottom"/>
            <w:gridSpan w:val="2"/>
          </w:tcPr>
          <w:p>
            <w:pPr>
              <w:jc w:val="center"/>
              <w:ind w:left="5410"/>
              <w:spacing w:after="0"/>
              <w:rPr>
                <w:sz w:val="20"/>
                <w:szCs w:val="20"/>
                <w:color w:val="auto"/>
              </w:rPr>
            </w:pPr>
            <w:r>
              <w:rPr>
                <w:rFonts w:ascii="Arial" w:cs="Arial" w:eastAsia="Arial" w:hAnsi="Arial"/>
                <w:sz w:val="18"/>
                <w:szCs w:val="18"/>
                <w:color w:val="auto"/>
                <w:w w:val="79"/>
              </w:rPr>
              <w:t>3</w:t>
            </w:r>
          </w:p>
        </w:tc>
        <w:tc>
          <w:tcPr>
            <w:tcW w:w="680" w:type="dxa"/>
            <w:vAlign w:val="bottom"/>
          </w:tcPr>
          <w:p>
            <w:pPr>
              <w:spacing w:after="0"/>
              <w:rPr>
                <w:sz w:val="24"/>
                <w:szCs w:val="24"/>
                <w:color w:val="auto"/>
              </w:rPr>
            </w:pPr>
          </w:p>
        </w:tc>
      </w:tr>
      <w:tr>
        <w:trPr>
          <w:trHeight w:val="499"/>
        </w:trPr>
        <w:tc>
          <w:tcPr>
            <w:tcW w:w="4360" w:type="dxa"/>
            <w:vAlign w:val="bottom"/>
          </w:tcPr>
          <w:p>
            <w:pPr>
              <w:spacing w:after="0"/>
              <w:rPr>
                <w:sz w:val="20"/>
                <w:szCs w:val="20"/>
                <w:color w:val="auto"/>
              </w:rPr>
            </w:pPr>
            <w:r>
              <w:rPr>
                <w:rFonts w:ascii="Arial" w:cs="Arial" w:eastAsia="Arial" w:hAnsi="Arial"/>
                <w:sz w:val="18"/>
                <w:szCs w:val="18"/>
                <w:color w:val="auto"/>
                <w:w w:val="96"/>
              </w:rPr>
              <w:t>Combined Statements of Income and Retained Earnings</w:t>
            </w:r>
          </w:p>
        </w:tc>
        <w:tc>
          <w:tcPr>
            <w:tcW w:w="6180" w:type="dxa"/>
            <w:vAlign w:val="bottom"/>
            <w:gridSpan w:val="2"/>
          </w:tcPr>
          <w:p>
            <w:pPr>
              <w:jc w:val="center"/>
              <w:ind w:left="5410"/>
              <w:spacing w:after="0"/>
              <w:rPr>
                <w:sz w:val="20"/>
                <w:szCs w:val="20"/>
                <w:color w:val="auto"/>
              </w:rPr>
            </w:pPr>
            <w:r>
              <w:rPr>
                <w:rFonts w:ascii="Arial" w:cs="Arial" w:eastAsia="Arial" w:hAnsi="Arial"/>
                <w:sz w:val="18"/>
                <w:szCs w:val="18"/>
                <w:color w:val="auto"/>
                <w:w w:val="79"/>
              </w:rPr>
              <w:t>4</w:t>
            </w:r>
          </w:p>
        </w:tc>
        <w:tc>
          <w:tcPr>
            <w:tcW w:w="680" w:type="dxa"/>
            <w:vAlign w:val="bottom"/>
          </w:tcPr>
          <w:p>
            <w:pPr>
              <w:spacing w:after="0"/>
              <w:rPr>
                <w:sz w:val="24"/>
                <w:szCs w:val="24"/>
                <w:color w:val="auto"/>
              </w:rPr>
            </w:pPr>
          </w:p>
        </w:tc>
      </w:tr>
      <w:tr>
        <w:trPr>
          <w:trHeight w:val="500"/>
        </w:trPr>
        <w:tc>
          <w:tcPr>
            <w:tcW w:w="4360" w:type="dxa"/>
            <w:vAlign w:val="bottom"/>
          </w:tcPr>
          <w:p>
            <w:pPr>
              <w:spacing w:after="0"/>
              <w:rPr>
                <w:sz w:val="20"/>
                <w:szCs w:val="20"/>
                <w:color w:val="auto"/>
              </w:rPr>
            </w:pPr>
            <w:r>
              <w:rPr>
                <w:rFonts w:ascii="Arial" w:cs="Arial" w:eastAsia="Arial" w:hAnsi="Arial"/>
                <w:sz w:val="18"/>
                <w:szCs w:val="18"/>
                <w:color w:val="auto"/>
              </w:rPr>
              <w:t>Combined Statements of Cash Flows</w:t>
            </w:r>
          </w:p>
        </w:tc>
        <w:tc>
          <w:tcPr>
            <w:tcW w:w="6180" w:type="dxa"/>
            <w:vAlign w:val="bottom"/>
            <w:gridSpan w:val="2"/>
          </w:tcPr>
          <w:p>
            <w:pPr>
              <w:jc w:val="center"/>
              <w:ind w:left="5410"/>
              <w:spacing w:after="0"/>
              <w:rPr>
                <w:sz w:val="20"/>
                <w:szCs w:val="20"/>
                <w:color w:val="auto"/>
              </w:rPr>
            </w:pPr>
            <w:r>
              <w:rPr>
                <w:rFonts w:ascii="Arial" w:cs="Arial" w:eastAsia="Arial" w:hAnsi="Arial"/>
                <w:sz w:val="18"/>
                <w:szCs w:val="18"/>
                <w:color w:val="auto"/>
                <w:w w:val="79"/>
              </w:rPr>
              <w:t>5</w:t>
            </w:r>
          </w:p>
        </w:tc>
        <w:tc>
          <w:tcPr>
            <w:tcW w:w="680" w:type="dxa"/>
            <w:vAlign w:val="bottom"/>
          </w:tcPr>
          <w:p>
            <w:pPr>
              <w:spacing w:after="0"/>
              <w:rPr>
                <w:sz w:val="24"/>
                <w:szCs w:val="24"/>
                <w:color w:val="auto"/>
              </w:rPr>
            </w:pPr>
          </w:p>
        </w:tc>
      </w:tr>
      <w:tr>
        <w:trPr>
          <w:trHeight w:val="499"/>
        </w:trPr>
        <w:tc>
          <w:tcPr>
            <w:tcW w:w="4360" w:type="dxa"/>
            <w:vAlign w:val="bottom"/>
          </w:tcPr>
          <w:p>
            <w:pPr>
              <w:spacing w:after="0"/>
              <w:rPr>
                <w:sz w:val="20"/>
                <w:szCs w:val="20"/>
                <w:color w:val="auto"/>
              </w:rPr>
            </w:pPr>
            <w:r>
              <w:rPr>
                <w:rFonts w:ascii="Arial" w:cs="Arial" w:eastAsia="Arial" w:hAnsi="Arial"/>
                <w:sz w:val="18"/>
                <w:szCs w:val="18"/>
                <w:color w:val="auto"/>
              </w:rPr>
              <w:t>Notes to Combined Financial Statements</w:t>
            </w:r>
          </w:p>
        </w:tc>
        <w:tc>
          <w:tcPr>
            <w:tcW w:w="6180" w:type="dxa"/>
            <w:vAlign w:val="bottom"/>
            <w:gridSpan w:val="2"/>
          </w:tcPr>
          <w:p>
            <w:pPr>
              <w:jc w:val="center"/>
              <w:ind w:left="5410"/>
              <w:spacing w:after="0"/>
              <w:rPr>
                <w:sz w:val="20"/>
                <w:szCs w:val="20"/>
                <w:color w:val="auto"/>
              </w:rPr>
            </w:pPr>
            <w:r>
              <w:rPr>
                <w:rFonts w:ascii="Arial" w:cs="Arial" w:eastAsia="Arial" w:hAnsi="Arial"/>
                <w:sz w:val="18"/>
                <w:szCs w:val="18"/>
                <w:color w:val="auto"/>
                <w:w w:val="88"/>
              </w:rPr>
              <w:t>6-18</w:t>
            </w:r>
          </w:p>
        </w:tc>
        <w:tc>
          <w:tcPr>
            <w:tcW w:w="680" w:type="dxa"/>
            <w:vAlign w:val="bottom"/>
          </w:tcPr>
          <w:p>
            <w:pPr>
              <w:spacing w:after="0"/>
              <w:rPr>
                <w:sz w:val="24"/>
                <w:szCs w:val="24"/>
                <w:color w:val="auto"/>
              </w:rPr>
            </w:pPr>
          </w:p>
        </w:tc>
      </w:tr>
    </w:tbl>
    <w:p>
      <w:pPr>
        <w:sectPr>
          <w:pgSz w:w="11900" w:h="16838" w:orient="portrait"/>
          <w:cols w:equalWidth="0" w:num="1">
            <w:col w:w="11220"/>
          </w:cols>
          <w:pgMar w:left="340" w:top="121" w:right="339" w:bottom="1440" w:gutter="0" w:footer="0" w:header="0"/>
        </w:sectPr>
      </w:pPr>
    </w:p>
    <w:bookmarkStart w:id="7" w:name="page8"/>
    <w:bookmarkEnd w:id="7"/>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383540</wp:posOffset>
            </wp:positionV>
            <wp:extent cx="1388745" cy="428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8874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AUDITOR’S REPORT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Crown Building Maintenance Co. and Crown Energy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 Able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have audited the accompanying combined financial statements of Crown Building Maintenance Co. and Crown Energy Services, Inc. dba Able Services (collectively, the "Company"), which comprise the combined balance sheets as of December 31, 2020 and 2019, and the related combined statements of income and retained earnings, and cash flows for the years then ended, and the related notes to the combined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 is responsible for the preparation and fair presentation of these combined financial statements in accordance with accounting principles generally accepted in the United States of America; this includes the design, implementation, and maintenance of internal control relevant to the preparation and fair presentation of combined financial statements that are free from material misstatement, Whether due to fraud or error.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Responsibility</w:t>
      </w:r>
    </w:p>
    <w:p>
      <w:pPr>
        <w:spacing w:after="0" w:line="256"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Our responsibility is to express an opinion on these combined financial statements based on our audits. We conducted our audits in accordance with auditing standards generally accepted in the United States of America. Those standards require that we plan and perform the audit to obtain reasonable assurance about whether the combined financial statements are free from material misstatement.</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combined financial statements. The procedures selected depend on the auditor's judgment, including the assessment of the risks of material misstatement of the combined financial statements, whether due to fraud or error. In making those risk assessments, the auditor considers internal control relevant to the entity's preparation and fair presentation of the combined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combined financial statements.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2020570</wp:posOffset>
            </wp:positionV>
            <wp:extent cx="985520" cy="6254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85520" cy="6254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21" w:right="339" w:bottom="1440" w:gutter="0" w:footer="0" w:header="0"/>
          <w:type w:val="continuous"/>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our opinion, the combined financial statements referred to above present fairly, in all material respects, the financial position of Crown Building Maintenance Co. and Crown Energy Services, Inc. dba Able Services as of December 31, 2020 and 2019, and the results of their operations and their cash flows for the years then ended in accordance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in Note 16 the combined financial statements, the Company restated its retained earnings to account for change in accounting principle for goodwill.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Emphasis of Matter</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discussed in Note 14 to the combined financial statements, on March 11, 2020, the World Health Organization declared the novel strain of coronavirus (COVID-19) a global pandemic and recommended containment and mitigation measures worldwide. In addition, several states in the US, including California, where the Company is headquartered, have declared a state of emergency. In response, the US Government enacted the Coronavirus Aid, Relief, and Economic Security (CARES) Act, which includes significant provisions to provide relief and assistance to affected organizations. COVID-l9 could adversely affect the economics and financial markets of many countries, namely the United States, resulting in economic downturn that could impact customers' ability to pay for services. The ultimate financial impact and duration of these events cannot be reasonably estimated at this time. Our opinion is not modified with respect to that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149860</wp:posOffset>
            </wp:positionV>
            <wp:extent cx="1714500"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Armanino</w:t>
      </w:r>
      <w:r>
        <w:rPr>
          <w:rFonts w:ascii="Arial" w:cs="Arial" w:eastAsia="Arial" w:hAnsi="Arial"/>
          <w:sz w:val="23"/>
          <w:szCs w:val="23"/>
          <w:color w:val="auto"/>
          <w:vertAlign w:val="superscript"/>
        </w:rPr>
        <w:t>LLP</w:t>
      </w:r>
    </w:p>
    <w:p>
      <w:pPr>
        <w:ind w:left="3900"/>
        <w:spacing w:after="0"/>
        <w:rPr>
          <w:sz w:val="20"/>
          <w:szCs w:val="20"/>
          <w:color w:val="auto"/>
        </w:rPr>
      </w:pPr>
      <w:r>
        <w:rPr>
          <w:rFonts w:ascii="Arial" w:cs="Arial" w:eastAsia="Arial" w:hAnsi="Arial"/>
          <w:sz w:val="18"/>
          <w:szCs w:val="18"/>
          <w:color w:val="auto"/>
        </w:rPr>
        <w:t>San Francisco, California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(Except for Note 2, as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which the date is extended to November 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0" w:type="dxa"/>
            <w:vAlign w:val="bottom"/>
            <w:gridSpan w:val="2"/>
          </w:tcPr>
          <w:p>
            <w:pPr>
              <w:ind w:left="680"/>
              <w:spacing w:after="0"/>
              <w:rPr>
                <w:sz w:val="20"/>
                <w:szCs w:val="20"/>
                <w:color w:val="auto"/>
              </w:rPr>
            </w:pPr>
            <w:r>
              <w:rPr>
                <w:rFonts w:ascii="Arial" w:cs="Arial" w:eastAsia="Arial" w:hAnsi="Arial"/>
                <w:sz w:val="18"/>
                <w:szCs w:val="18"/>
                <w:b w:val="1"/>
                <w:bCs w:val="1"/>
                <w:color w:val="auto"/>
                <w:w w:val="89"/>
              </w:rPr>
              <w:t>Exhibit 99.1</w:t>
            </w:r>
          </w:p>
        </w:tc>
        <w:tc>
          <w:tcPr>
            <w:tcW w:w="0" w:type="dxa"/>
            <w:vAlign w:val="bottom"/>
          </w:tcPr>
          <w:p>
            <w:pPr>
              <w:spacing w:after="0"/>
              <w:rPr>
                <w:sz w:val="1"/>
                <w:szCs w:val="1"/>
                <w:color w:val="auto"/>
              </w:rPr>
            </w:pPr>
          </w:p>
        </w:tc>
      </w:tr>
      <w:tr>
        <w:trPr>
          <w:trHeight w:val="728"/>
        </w:trPr>
        <w:tc>
          <w:tcPr>
            <w:tcW w:w="3160" w:type="dxa"/>
            <w:vAlign w:val="bottom"/>
          </w:tcPr>
          <w:p>
            <w:pPr>
              <w:spacing w:after="0"/>
              <w:rPr>
                <w:sz w:val="24"/>
                <w:szCs w:val="24"/>
                <w:color w:val="auto"/>
              </w:rPr>
            </w:pPr>
          </w:p>
        </w:tc>
        <w:tc>
          <w:tcPr>
            <w:tcW w:w="6020" w:type="dxa"/>
            <w:vAlign w:val="bottom"/>
            <w:gridSpan w:val="4"/>
          </w:tcPr>
          <w:p>
            <w:pPr>
              <w:jc w:val="center"/>
              <w:ind w:right="1080"/>
              <w:spacing w:after="0"/>
              <w:rPr>
                <w:sz w:val="20"/>
                <w:szCs w:val="20"/>
                <w:color w:val="auto"/>
              </w:rPr>
            </w:pPr>
            <w:r>
              <w:rPr>
                <w:rFonts w:ascii="Arial" w:cs="Arial" w:eastAsia="Arial" w:hAnsi="Arial"/>
                <w:sz w:val="18"/>
                <w:szCs w:val="18"/>
                <w:color w:val="101010"/>
                <w:w w:val="91"/>
              </w:rPr>
              <w:t>Crown Building Maintenance Co. and Crown Energy Services, Inc.</w:t>
            </w: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4500" w:type="dxa"/>
            <w:vAlign w:val="bottom"/>
            <w:gridSpan w:val="2"/>
          </w:tcPr>
          <w:p>
            <w:pPr>
              <w:jc w:val="center"/>
              <w:ind w:left="330"/>
              <w:spacing w:after="0"/>
              <w:rPr>
                <w:sz w:val="20"/>
                <w:szCs w:val="20"/>
                <w:color w:val="auto"/>
              </w:rPr>
            </w:pPr>
            <w:r>
              <w:rPr>
                <w:rFonts w:ascii="Arial" w:cs="Arial" w:eastAsia="Arial" w:hAnsi="Arial"/>
                <w:sz w:val="18"/>
                <w:szCs w:val="18"/>
                <w:color w:val="101010"/>
                <w:w w:val="90"/>
              </w:rPr>
              <w:t>dba Able Services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4500" w:type="dxa"/>
            <w:vAlign w:val="bottom"/>
            <w:gridSpan w:val="2"/>
          </w:tcPr>
          <w:p>
            <w:pPr>
              <w:jc w:val="center"/>
              <w:ind w:left="330"/>
              <w:spacing w:after="0"/>
              <w:rPr>
                <w:sz w:val="20"/>
                <w:szCs w:val="20"/>
                <w:color w:val="auto"/>
              </w:rPr>
            </w:pPr>
            <w:r>
              <w:rPr>
                <w:rFonts w:ascii="Arial" w:cs="Arial" w:eastAsia="Arial" w:hAnsi="Arial"/>
                <w:sz w:val="18"/>
                <w:szCs w:val="18"/>
                <w:color w:val="101010"/>
                <w:w w:val="88"/>
              </w:rPr>
              <w:t>Combined Balance Sheets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4500" w:type="dxa"/>
            <w:vAlign w:val="bottom"/>
            <w:gridSpan w:val="2"/>
          </w:tcPr>
          <w:p>
            <w:pPr>
              <w:jc w:val="center"/>
              <w:ind w:left="330"/>
              <w:spacing w:after="0"/>
              <w:rPr>
                <w:sz w:val="20"/>
                <w:szCs w:val="20"/>
                <w:color w:val="auto"/>
              </w:rPr>
            </w:pPr>
            <w:r>
              <w:rPr>
                <w:rFonts w:ascii="Arial" w:cs="Arial" w:eastAsia="Arial" w:hAnsi="Arial"/>
                <w:sz w:val="18"/>
                <w:szCs w:val="18"/>
                <w:color w:val="101010"/>
                <w:w w:val="89"/>
              </w:rPr>
              <w:t>December 31, 2020 and 2019</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160" w:type="dxa"/>
            <w:vAlign w:val="bottom"/>
          </w:tcPr>
          <w:p>
            <w:pPr>
              <w:spacing w:after="0"/>
              <w:rPr>
                <w:sz w:val="24"/>
                <w:szCs w:val="24"/>
                <w:color w:val="auto"/>
              </w:rPr>
            </w:pPr>
          </w:p>
        </w:tc>
        <w:tc>
          <w:tcPr>
            <w:tcW w:w="3860" w:type="dxa"/>
            <w:vAlign w:val="bottom"/>
            <w:vMerge w:val="restart"/>
          </w:tcPr>
          <w:p>
            <w:pPr>
              <w:jc w:val="center"/>
              <w:ind w:left="950"/>
              <w:spacing w:after="0"/>
              <w:rPr>
                <w:sz w:val="20"/>
                <w:szCs w:val="20"/>
                <w:color w:val="auto"/>
              </w:rPr>
            </w:pPr>
            <w:r>
              <w:rPr>
                <w:rFonts w:ascii="Arial" w:cs="Arial" w:eastAsia="Arial" w:hAnsi="Arial"/>
                <w:sz w:val="18"/>
                <w:szCs w:val="18"/>
                <w:color w:val="auto"/>
                <w:w w:val="92"/>
              </w:rPr>
              <w:t>ASSETS</w:t>
            </w:r>
          </w:p>
        </w:tc>
        <w:tc>
          <w:tcPr>
            <w:tcW w:w="6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386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DCE2EF"/>
          </w:tcPr>
          <w:p>
            <w:pPr>
              <w:ind w:left="20"/>
              <w:spacing w:after="0"/>
              <w:rPr>
                <w:sz w:val="20"/>
                <w:szCs w:val="20"/>
                <w:color w:val="auto"/>
              </w:rPr>
            </w:pPr>
            <w:r>
              <w:rPr>
                <w:rFonts w:ascii="Arial" w:cs="Arial" w:eastAsia="Arial" w:hAnsi="Arial"/>
                <w:sz w:val="18"/>
                <w:szCs w:val="18"/>
                <w:color w:val="auto"/>
              </w:rPr>
              <w:t>Current assets</w:t>
            </w:r>
          </w:p>
        </w:tc>
        <w:tc>
          <w:tcPr>
            <w:tcW w:w="3860" w:type="dxa"/>
            <w:vAlign w:val="bottom"/>
            <w:shd w:val="clear" w:color="auto" w:fill="DCE2EF"/>
          </w:tcPr>
          <w:p>
            <w:pPr>
              <w:spacing w:after="0"/>
              <w:rPr>
                <w:sz w:val="19"/>
                <w:szCs w:val="19"/>
                <w:color w:val="auto"/>
              </w:rPr>
            </w:pPr>
          </w:p>
        </w:tc>
        <w:tc>
          <w:tcPr>
            <w:tcW w:w="640" w:type="dxa"/>
            <w:vAlign w:val="bottom"/>
            <w:shd w:val="clear" w:color="auto" w:fill="DCE2EF"/>
          </w:tcPr>
          <w:p>
            <w:pPr>
              <w:spacing w:after="0"/>
              <w:rPr>
                <w:sz w:val="19"/>
                <w:szCs w:val="19"/>
                <w:color w:val="auto"/>
              </w:rPr>
            </w:pPr>
          </w:p>
        </w:tc>
        <w:tc>
          <w:tcPr>
            <w:tcW w:w="140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460" w:type="dxa"/>
            <w:vAlign w:val="bottom"/>
            <w:shd w:val="clear" w:color="auto" w:fill="DCE2EF"/>
          </w:tcPr>
          <w:p>
            <w:pPr>
              <w:spacing w:after="0"/>
              <w:rPr>
                <w:sz w:val="19"/>
                <w:szCs w:val="19"/>
                <w:color w:val="auto"/>
              </w:rPr>
            </w:pPr>
          </w:p>
        </w:tc>
        <w:tc>
          <w:tcPr>
            <w:tcW w:w="1580" w:type="dxa"/>
            <w:vAlign w:val="bottom"/>
            <w:shd w:val="clear" w:color="auto" w:fill="DCE2E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40"/>
              <w:spacing w:after="0"/>
              <w:rPr>
                <w:sz w:val="20"/>
                <w:szCs w:val="20"/>
                <w:color w:val="auto"/>
              </w:rPr>
            </w:pPr>
            <w:r>
              <w:rPr>
                <w:rFonts w:ascii="Arial" w:cs="Arial" w:eastAsia="Arial" w:hAnsi="Arial"/>
                <w:sz w:val="18"/>
                <w:szCs w:val="18"/>
                <w:color w:val="auto"/>
              </w:rPr>
              <w:t>Cash</w:t>
            </w:r>
          </w:p>
        </w:tc>
        <w:tc>
          <w:tcPr>
            <w:tcW w:w="45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127,955,600</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54,527,326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DCE2EF"/>
          </w:tcPr>
          <w:p>
            <w:pPr>
              <w:ind w:left="140"/>
              <w:spacing w:after="0"/>
              <w:rPr>
                <w:sz w:val="20"/>
                <w:szCs w:val="20"/>
                <w:color w:val="auto"/>
              </w:rPr>
            </w:pPr>
            <w:r>
              <w:rPr>
                <w:rFonts w:ascii="Arial" w:cs="Arial" w:eastAsia="Arial" w:hAnsi="Arial"/>
                <w:sz w:val="18"/>
                <w:szCs w:val="18"/>
                <w:color w:val="auto"/>
              </w:rPr>
              <w:t>Restricted cash</w:t>
            </w:r>
          </w:p>
        </w:tc>
        <w:tc>
          <w:tcPr>
            <w:tcW w:w="3860" w:type="dxa"/>
            <w:vAlign w:val="bottom"/>
            <w:shd w:val="clear" w:color="auto" w:fill="DCE2EF"/>
          </w:tcPr>
          <w:p>
            <w:pPr>
              <w:spacing w:after="0"/>
              <w:rPr>
                <w:sz w:val="19"/>
                <w:szCs w:val="19"/>
                <w:color w:val="auto"/>
              </w:rPr>
            </w:pPr>
          </w:p>
        </w:tc>
        <w:tc>
          <w:tcPr>
            <w:tcW w:w="640" w:type="dxa"/>
            <w:vAlign w:val="bottom"/>
            <w:shd w:val="clear" w:color="auto" w:fill="DCE2EF"/>
          </w:tcPr>
          <w:p>
            <w:pPr>
              <w:spacing w:after="0"/>
              <w:rPr>
                <w:sz w:val="19"/>
                <w:szCs w:val="19"/>
                <w:color w:val="auto"/>
              </w:rPr>
            </w:pPr>
          </w:p>
        </w:tc>
        <w:tc>
          <w:tcPr>
            <w:tcW w:w="14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5,710,012</w:t>
            </w:r>
          </w:p>
        </w:tc>
        <w:tc>
          <w:tcPr>
            <w:tcW w:w="120" w:type="dxa"/>
            <w:vAlign w:val="bottom"/>
            <w:shd w:val="clear" w:color="auto" w:fill="DCE2EF"/>
          </w:tcPr>
          <w:p>
            <w:pPr>
              <w:spacing w:after="0"/>
              <w:rPr>
                <w:sz w:val="19"/>
                <w:szCs w:val="19"/>
                <w:color w:val="auto"/>
              </w:rPr>
            </w:pPr>
          </w:p>
        </w:tc>
        <w:tc>
          <w:tcPr>
            <w:tcW w:w="460" w:type="dxa"/>
            <w:vAlign w:val="bottom"/>
            <w:shd w:val="clear" w:color="auto" w:fill="DCE2EF"/>
          </w:tcPr>
          <w:p>
            <w:pPr>
              <w:spacing w:after="0"/>
              <w:rPr>
                <w:sz w:val="19"/>
                <w:szCs w:val="19"/>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5,416,318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140"/>
              <w:spacing w:after="0"/>
              <w:rPr>
                <w:sz w:val="20"/>
                <w:szCs w:val="20"/>
                <w:color w:val="auto"/>
              </w:rPr>
            </w:pPr>
            <w:r>
              <w:rPr>
                <w:rFonts w:ascii="Arial" w:cs="Arial" w:eastAsia="Arial" w:hAnsi="Arial"/>
                <w:sz w:val="18"/>
                <w:szCs w:val="18"/>
                <w:color w:val="auto"/>
              </w:rPr>
              <w:t>Accounts receivable, net</w:t>
            </w:r>
          </w:p>
        </w:tc>
        <w:tc>
          <w:tcPr>
            <w:tcW w:w="3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148,407,580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161,338,943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DCE2EF"/>
          </w:tcPr>
          <w:p>
            <w:pPr>
              <w:ind w:left="140"/>
              <w:spacing w:after="0"/>
              <w:rPr>
                <w:sz w:val="20"/>
                <w:szCs w:val="20"/>
                <w:color w:val="auto"/>
              </w:rPr>
            </w:pPr>
            <w:r>
              <w:rPr>
                <w:rFonts w:ascii="Arial" w:cs="Arial" w:eastAsia="Arial" w:hAnsi="Arial"/>
                <w:sz w:val="18"/>
                <w:szCs w:val="18"/>
                <w:color w:val="auto"/>
                <w:w w:val="92"/>
              </w:rPr>
              <w:t>Miscellaneous deposits and other assets</w:t>
            </w:r>
          </w:p>
        </w:tc>
        <w:tc>
          <w:tcPr>
            <w:tcW w:w="3860" w:type="dxa"/>
            <w:vAlign w:val="bottom"/>
            <w:shd w:val="clear" w:color="auto" w:fill="DCE2EF"/>
          </w:tcPr>
          <w:p>
            <w:pPr>
              <w:spacing w:after="0"/>
              <w:rPr>
                <w:sz w:val="19"/>
                <w:szCs w:val="19"/>
                <w:color w:val="auto"/>
              </w:rPr>
            </w:pPr>
          </w:p>
        </w:tc>
        <w:tc>
          <w:tcPr>
            <w:tcW w:w="640" w:type="dxa"/>
            <w:vAlign w:val="bottom"/>
            <w:tcBorders>
              <w:bottom w:val="single" w:sz="8" w:color="auto"/>
            </w:tcBorders>
            <w:shd w:val="clear" w:color="auto" w:fill="DCE2EF"/>
          </w:tcPr>
          <w:p>
            <w:pPr>
              <w:spacing w:after="0"/>
              <w:rPr>
                <w:sz w:val="19"/>
                <w:szCs w:val="19"/>
                <w:color w:val="auto"/>
              </w:rPr>
            </w:pPr>
          </w:p>
        </w:tc>
        <w:tc>
          <w:tcPr>
            <w:tcW w:w="14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4,412,187</w:t>
            </w:r>
          </w:p>
        </w:tc>
        <w:tc>
          <w:tcPr>
            <w:tcW w:w="120" w:type="dxa"/>
            <w:vAlign w:val="bottom"/>
            <w:shd w:val="clear" w:color="auto" w:fill="DCE2EF"/>
          </w:tcPr>
          <w:p>
            <w:pPr>
              <w:spacing w:after="0"/>
              <w:rPr>
                <w:sz w:val="19"/>
                <w:szCs w:val="19"/>
                <w:color w:val="auto"/>
              </w:rPr>
            </w:pPr>
          </w:p>
        </w:tc>
        <w:tc>
          <w:tcPr>
            <w:tcW w:w="460" w:type="dxa"/>
            <w:vAlign w:val="bottom"/>
            <w:tcBorders>
              <w:bottom w:val="single" w:sz="8" w:color="auto"/>
            </w:tcBorders>
            <w:shd w:val="clear" w:color="auto" w:fill="DCE2EF"/>
          </w:tcPr>
          <w:p>
            <w:pPr>
              <w:spacing w:after="0"/>
              <w:rPr>
                <w:sz w:val="19"/>
                <w:szCs w:val="19"/>
                <w:color w:val="auto"/>
              </w:rPr>
            </w:pPr>
          </w:p>
        </w:tc>
        <w:tc>
          <w:tcPr>
            <w:tcW w:w="1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5,589,424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3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286,485,379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226,872,011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60" w:type="dxa"/>
            <w:vAlign w:val="bottom"/>
            <w:shd w:val="clear" w:color="auto" w:fill="DCE2EF"/>
          </w:tcPr>
          <w:p>
            <w:pPr>
              <w:spacing w:after="0"/>
              <w:rPr>
                <w:sz w:val="23"/>
                <w:szCs w:val="23"/>
                <w:color w:val="auto"/>
              </w:rPr>
            </w:pPr>
          </w:p>
        </w:tc>
        <w:tc>
          <w:tcPr>
            <w:tcW w:w="3860" w:type="dxa"/>
            <w:vAlign w:val="bottom"/>
            <w:shd w:val="clear" w:color="auto" w:fill="DCE2EF"/>
          </w:tcPr>
          <w:p>
            <w:pPr>
              <w:spacing w:after="0"/>
              <w:rPr>
                <w:sz w:val="23"/>
                <w:szCs w:val="23"/>
                <w:color w:val="auto"/>
              </w:rPr>
            </w:pPr>
          </w:p>
        </w:tc>
        <w:tc>
          <w:tcPr>
            <w:tcW w:w="640" w:type="dxa"/>
            <w:vAlign w:val="bottom"/>
            <w:shd w:val="clear" w:color="auto" w:fill="DCE2EF"/>
          </w:tcPr>
          <w:p>
            <w:pPr>
              <w:spacing w:after="0"/>
              <w:rPr>
                <w:sz w:val="23"/>
                <w:szCs w:val="23"/>
                <w:color w:val="auto"/>
              </w:rPr>
            </w:pPr>
          </w:p>
        </w:tc>
        <w:tc>
          <w:tcPr>
            <w:tcW w:w="140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460" w:type="dxa"/>
            <w:vAlign w:val="bottom"/>
            <w:shd w:val="clear" w:color="auto" w:fill="DCE2EF"/>
          </w:tcPr>
          <w:p>
            <w:pPr>
              <w:spacing w:after="0"/>
              <w:rPr>
                <w:sz w:val="23"/>
                <w:szCs w:val="23"/>
                <w:color w:val="auto"/>
              </w:rPr>
            </w:pPr>
          </w:p>
        </w:tc>
        <w:tc>
          <w:tcPr>
            <w:tcW w:w="1580" w:type="dxa"/>
            <w:vAlign w:val="bottom"/>
            <w:shd w:val="clear" w:color="auto" w:fill="DCE2E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5,172,027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5,382,752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DCE2EF"/>
          </w:tcPr>
          <w:p>
            <w:pPr>
              <w:ind w:left="20"/>
              <w:spacing w:after="0"/>
              <w:rPr>
                <w:sz w:val="20"/>
                <w:szCs w:val="20"/>
                <w:color w:val="auto"/>
              </w:rPr>
            </w:pPr>
            <w:r>
              <w:rPr>
                <w:rFonts w:ascii="Arial" w:cs="Arial" w:eastAsia="Arial" w:hAnsi="Arial"/>
                <w:sz w:val="18"/>
                <w:szCs w:val="18"/>
                <w:color w:val="auto"/>
              </w:rPr>
              <w:t>Investments</w:t>
            </w:r>
          </w:p>
        </w:tc>
        <w:tc>
          <w:tcPr>
            <w:tcW w:w="3860" w:type="dxa"/>
            <w:vAlign w:val="bottom"/>
            <w:shd w:val="clear" w:color="auto" w:fill="DCE2EF"/>
          </w:tcPr>
          <w:p>
            <w:pPr>
              <w:spacing w:after="0"/>
              <w:rPr>
                <w:sz w:val="19"/>
                <w:szCs w:val="19"/>
                <w:color w:val="auto"/>
              </w:rPr>
            </w:pPr>
          </w:p>
        </w:tc>
        <w:tc>
          <w:tcPr>
            <w:tcW w:w="640" w:type="dxa"/>
            <w:vAlign w:val="bottom"/>
            <w:shd w:val="clear" w:color="auto" w:fill="DCE2EF"/>
          </w:tcPr>
          <w:p>
            <w:pPr>
              <w:spacing w:after="0"/>
              <w:rPr>
                <w:sz w:val="19"/>
                <w:szCs w:val="19"/>
                <w:color w:val="auto"/>
              </w:rPr>
            </w:pPr>
          </w:p>
        </w:tc>
        <w:tc>
          <w:tcPr>
            <w:tcW w:w="14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DCE2EF"/>
          </w:tcPr>
          <w:p>
            <w:pPr>
              <w:spacing w:after="0"/>
              <w:rPr>
                <w:sz w:val="19"/>
                <w:szCs w:val="19"/>
                <w:color w:val="auto"/>
              </w:rPr>
            </w:pPr>
          </w:p>
        </w:tc>
        <w:tc>
          <w:tcPr>
            <w:tcW w:w="460" w:type="dxa"/>
            <w:vAlign w:val="bottom"/>
            <w:shd w:val="clear" w:color="auto" w:fill="DCE2EF"/>
          </w:tcPr>
          <w:p>
            <w:pPr>
              <w:spacing w:after="0"/>
              <w:rPr>
                <w:sz w:val="19"/>
                <w:szCs w:val="19"/>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Borders>
              <w:bottom w:val="single" w:sz="8" w:color="DCE2EF"/>
            </w:tcBorders>
          </w:tcPr>
          <w:p>
            <w:pPr>
              <w:ind w:left="20"/>
              <w:spacing w:after="0"/>
              <w:rPr>
                <w:sz w:val="20"/>
                <w:szCs w:val="20"/>
                <w:color w:val="auto"/>
              </w:rPr>
            </w:pPr>
            <w:r>
              <w:rPr>
                <w:rFonts w:ascii="Arial" w:cs="Arial" w:eastAsia="Arial" w:hAnsi="Arial"/>
                <w:sz w:val="18"/>
                <w:szCs w:val="18"/>
                <w:color w:val="auto"/>
              </w:rPr>
              <w:t>Intangible assets, net</w:t>
            </w:r>
          </w:p>
        </w:tc>
        <w:tc>
          <w:tcPr>
            <w:tcW w:w="3860" w:type="dxa"/>
            <w:vAlign w:val="bottom"/>
            <w:tcBorders>
              <w:bottom w:val="single" w:sz="8" w:color="DCE2E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10,325,193</w:t>
            </w:r>
          </w:p>
        </w:tc>
        <w:tc>
          <w:tcPr>
            <w:tcW w:w="120" w:type="dxa"/>
            <w:vAlign w:val="bottom"/>
            <w:tcBorders>
              <w:bottom w:val="single" w:sz="8" w:color="DCE2E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11,718,516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160" w:type="dxa"/>
            <w:vAlign w:val="bottom"/>
            <w:shd w:val="clear" w:color="auto" w:fill="DCE2EF"/>
          </w:tcPr>
          <w:p>
            <w:pPr>
              <w:spacing w:after="0"/>
              <w:rPr>
                <w:sz w:val="21"/>
                <w:szCs w:val="21"/>
                <w:color w:val="auto"/>
              </w:rPr>
            </w:pPr>
          </w:p>
        </w:tc>
        <w:tc>
          <w:tcPr>
            <w:tcW w:w="3860" w:type="dxa"/>
            <w:vAlign w:val="bottom"/>
            <w:shd w:val="clear" w:color="auto" w:fill="DCE2EF"/>
          </w:tcPr>
          <w:p>
            <w:pPr>
              <w:spacing w:after="0"/>
              <w:rPr>
                <w:sz w:val="21"/>
                <w:szCs w:val="21"/>
                <w:color w:val="auto"/>
              </w:rPr>
            </w:pPr>
          </w:p>
        </w:tc>
        <w:tc>
          <w:tcPr>
            <w:tcW w:w="640" w:type="dxa"/>
            <w:vAlign w:val="bottom"/>
            <w:shd w:val="clear" w:color="auto" w:fill="DCE2EF"/>
          </w:tcPr>
          <w:p>
            <w:pPr>
              <w:spacing w:after="0"/>
              <w:rPr>
                <w:sz w:val="21"/>
                <w:szCs w:val="21"/>
                <w:color w:val="auto"/>
              </w:rPr>
            </w:pPr>
          </w:p>
        </w:tc>
        <w:tc>
          <w:tcPr>
            <w:tcW w:w="1400" w:type="dxa"/>
            <w:vAlign w:val="bottom"/>
            <w:shd w:val="clear" w:color="auto" w:fill="DCE2EF"/>
          </w:tcPr>
          <w:p>
            <w:pPr>
              <w:spacing w:after="0"/>
              <w:rPr>
                <w:sz w:val="21"/>
                <w:szCs w:val="21"/>
                <w:color w:val="auto"/>
              </w:rPr>
            </w:pPr>
          </w:p>
        </w:tc>
        <w:tc>
          <w:tcPr>
            <w:tcW w:w="120" w:type="dxa"/>
            <w:vAlign w:val="bottom"/>
            <w:shd w:val="clear" w:color="auto" w:fill="DCE2EF"/>
          </w:tcPr>
          <w:p>
            <w:pPr>
              <w:spacing w:after="0"/>
              <w:rPr>
                <w:sz w:val="21"/>
                <w:szCs w:val="21"/>
                <w:color w:val="auto"/>
              </w:rPr>
            </w:pPr>
          </w:p>
        </w:tc>
        <w:tc>
          <w:tcPr>
            <w:tcW w:w="460" w:type="dxa"/>
            <w:vAlign w:val="bottom"/>
            <w:shd w:val="clear" w:color="auto" w:fill="DCE2EF"/>
          </w:tcPr>
          <w:p>
            <w:pPr>
              <w:spacing w:after="0"/>
              <w:rPr>
                <w:sz w:val="21"/>
                <w:szCs w:val="21"/>
                <w:color w:val="auto"/>
              </w:rPr>
            </w:pPr>
          </w:p>
        </w:tc>
        <w:tc>
          <w:tcPr>
            <w:tcW w:w="1580" w:type="dxa"/>
            <w:vAlign w:val="bottom"/>
            <w:shd w:val="clear" w:color="auto" w:fill="DCE2E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45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301,992,599</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243,983,279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DCE2EF"/>
            </w:tcBorders>
          </w:tcPr>
          <w:p>
            <w:pPr>
              <w:spacing w:after="0" w:line="20" w:lineRule="exact"/>
              <w:rPr>
                <w:sz w:val="1"/>
                <w:szCs w:val="1"/>
                <w:color w:val="auto"/>
              </w:rPr>
            </w:pPr>
          </w:p>
        </w:tc>
        <w:tc>
          <w:tcPr>
            <w:tcW w:w="3860" w:type="dxa"/>
            <w:vAlign w:val="bottom"/>
            <w:tcBorders>
              <w:bottom w:val="single" w:sz="8" w:color="DCE2E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60" w:type="dxa"/>
            <w:vAlign w:val="bottom"/>
            <w:shd w:val="clear" w:color="auto" w:fill="DCE2EF"/>
          </w:tcPr>
          <w:p>
            <w:pPr>
              <w:spacing w:after="0"/>
              <w:rPr>
                <w:sz w:val="20"/>
                <w:szCs w:val="20"/>
                <w:color w:val="auto"/>
              </w:rPr>
            </w:pPr>
          </w:p>
        </w:tc>
        <w:tc>
          <w:tcPr>
            <w:tcW w:w="3860" w:type="dxa"/>
            <w:vAlign w:val="bottom"/>
            <w:shd w:val="clear" w:color="auto" w:fill="DCE2EF"/>
          </w:tcPr>
          <w:p>
            <w:pPr>
              <w:spacing w:after="0"/>
              <w:rPr>
                <w:sz w:val="20"/>
                <w:szCs w:val="20"/>
                <w:color w:val="auto"/>
              </w:rPr>
            </w:pPr>
          </w:p>
        </w:tc>
        <w:tc>
          <w:tcPr>
            <w:tcW w:w="640" w:type="dxa"/>
            <w:vAlign w:val="bottom"/>
            <w:shd w:val="clear" w:color="auto" w:fill="DCE2EF"/>
          </w:tcPr>
          <w:p>
            <w:pPr>
              <w:spacing w:after="0"/>
              <w:rPr>
                <w:sz w:val="20"/>
                <w:szCs w:val="20"/>
                <w:color w:val="auto"/>
              </w:rPr>
            </w:pPr>
          </w:p>
        </w:tc>
        <w:tc>
          <w:tcPr>
            <w:tcW w:w="1400" w:type="dxa"/>
            <w:vAlign w:val="bottom"/>
            <w:shd w:val="clear" w:color="auto" w:fill="DCE2EF"/>
          </w:tcPr>
          <w:p>
            <w:pPr>
              <w:spacing w:after="0"/>
              <w:rPr>
                <w:sz w:val="20"/>
                <w:szCs w:val="20"/>
                <w:color w:val="auto"/>
              </w:rPr>
            </w:pPr>
          </w:p>
        </w:tc>
        <w:tc>
          <w:tcPr>
            <w:tcW w:w="120" w:type="dxa"/>
            <w:vAlign w:val="bottom"/>
            <w:shd w:val="clear" w:color="auto" w:fill="DCE2EF"/>
          </w:tcPr>
          <w:p>
            <w:pPr>
              <w:spacing w:after="0"/>
              <w:rPr>
                <w:sz w:val="20"/>
                <w:szCs w:val="20"/>
                <w:color w:val="auto"/>
              </w:rPr>
            </w:pPr>
          </w:p>
        </w:tc>
        <w:tc>
          <w:tcPr>
            <w:tcW w:w="460" w:type="dxa"/>
            <w:vAlign w:val="bottom"/>
            <w:shd w:val="clear" w:color="auto" w:fill="DCE2EF"/>
          </w:tcPr>
          <w:p>
            <w:pPr>
              <w:spacing w:after="0"/>
              <w:rPr>
                <w:sz w:val="20"/>
                <w:szCs w:val="20"/>
                <w:color w:val="auto"/>
              </w:rPr>
            </w:pPr>
          </w:p>
        </w:tc>
        <w:tc>
          <w:tcPr>
            <w:tcW w:w="1580" w:type="dxa"/>
            <w:vAlign w:val="bottom"/>
            <w:shd w:val="clear" w:color="auto" w:fill="DCE2E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60" w:type="dxa"/>
            <w:vAlign w:val="bottom"/>
          </w:tcPr>
          <w:p>
            <w:pPr>
              <w:spacing w:after="0"/>
              <w:rPr>
                <w:sz w:val="19"/>
                <w:szCs w:val="19"/>
                <w:color w:val="auto"/>
              </w:rPr>
            </w:pPr>
          </w:p>
        </w:tc>
        <w:tc>
          <w:tcPr>
            <w:tcW w:w="4500" w:type="dxa"/>
            <w:vAlign w:val="bottom"/>
            <w:gridSpan w:val="2"/>
          </w:tcPr>
          <w:p>
            <w:pPr>
              <w:jc w:val="center"/>
              <w:ind w:left="310"/>
              <w:spacing w:after="0"/>
              <w:rPr>
                <w:sz w:val="20"/>
                <w:szCs w:val="20"/>
                <w:color w:val="auto"/>
              </w:rPr>
            </w:pPr>
            <w:r>
              <w:rPr>
                <w:rFonts w:ascii="Arial" w:cs="Arial" w:eastAsia="Arial" w:hAnsi="Arial"/>
                <w:sz w:val="18"/>
                <w:szCs w:val="18"/>
                <w:color w:val="auto"/>
                <w:w w:val="99"/>
              </w:rPr>
              <w:t>LIABILITIES AND SHAREHOLDERS’ EQUITY</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DCE2EF"/>
          </w:tcPr>
          <w:p>
            <w:pPr>
              <w:ind w:left="20"/>
              <w:spacing w:after="0"/>
              <w:rPr>
                <w:sz w:val="20"/>
                <w:szCs w:val="20"/>
                <w:color w:val="auto"/>
              </w:rPr>
            </w:pPr>
            <w:r>
              <w:rPr>
                <w:rFonts w:ascii="Arial" w:cs="Arial" w:eastAsia="Arial" w:hAnsi="Arial"/>
                <w:sz w:val="18"/>
                <w:szCs w:val="18"/>
                <w:color w:val="auto"/>
              </w:rPr>
              <w:t>Current liabilities</w:t>
            </w:r>
          </w:p>
        </w:tc>
        <w:tc>
          <w:tcPr>
            <w:tcW w:w="3860" w:type="dxa"/>
            <w:vAlign w:val="bottom"/>
            <w:shd w:val="clear" w:color="auto" w:fill="DCE2EF"/>
          </w:tcPr>
          <w:p>
            <w:pPr>
              <w:spacing w:after="0"/>
              <w:rPr>
                <w:sz w:val="19"/>
                <w:szCs w:val="19"/>
                <w:color w:val="auto"/>
              </w:rPr>
            </w:pPr>
          </w:p>
        </w:tc>
        <w:tc>
          <w:tcPr>
            <w:tcW w:w="640" w:type="dxa"/>
            <w:vAlign w:val="bottom"/>
            <w:shd w:val="clear" w:color="auto" w:fill="DCE2EF"/>
          </w:tcPr>
          <w:p>
            <w:pPr>
              <w:spacing w:after="0"/>
              <w:rPr>
                <w:sz w:val="19"/>
                <w:szCs w:val="19"/>
                <w:color w:val="auto"/>
              </w:rPr>
            </w:pPr>
          </w:p>
        </w:tc>
        <w:tc>
          <w:tcPr>
            <w:tcW w:w="140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460" w:type="dxa"/>
            <w:vAlign w:val="bottom"/>
            <w:shd w:val="clear" w:color="auto" w:fill="DCE2EF"/>
          </w:tcPr>
          <w:p>
            <w:pPr>
              <w:spacing w:after="0"/>
              <w:rPr>
                <w:sz w:val="19"/>
                <w:szCs w:val="19"/>
                <w:color w:val="auto"/>
              </w:rPr>
            </w:pPr>
          </w:p>
        </w:tc>
        <w:tc>
          <w:tcPr>
            <w:tcW w:w="1580" w:type="dxa"/>
            <w:vAlign w:val="bottom"/>
            <w:shd w:val="clear" w:color="auto" w:fill="DCE2E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45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23,577,620</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24,294,364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DCE2EF"/>
          </w:tcPr>
          <w:p>
            <w:pPr>
              <w:ind w:left="140"/>
              <w:spacing w:after="0"/>
              <w:rPr>
                <w:sz w:val="20"/>
                <w:szCs w:val="20"/>
                <w:color w:val="auto"/>
              </w:rPr>
            </w:pPr>
            <w:r>
              <w:rPr>
                <w:rFonts w:ascii="Arial" w:cs="Arial" w:eastAsia="Arial" w:hAnsi="Arial"/>
                <w:sz w:val="18"/>
                <w:szCs w:val="18"/>
                <w:color w:val="auto"/>
              </w:rPr>
              <w:t>Accrued liabilities</w:t>
            </w:r>
          </w:p>
        </w:tc>
        <w:tc>
          <w:tcPr>
            <w:tcW w:w="3860" w:type="dxa"/>
            <w:vAlign w:val="bottom"/>
            <w:shd w:val="clear" w:color="auto" w:fill="DCE2EF"/>
          </w:tcPr>
          <w:p>
            <w:pPr>
              <w:spacing w:after="0"/>
              <w:rPr>
                <w:sz w:val="19"/>
                <w:szCs w:val="19"/>
                <w:color w:val="auto"/>
              </w:rPr>
            </w:pPr>
          </w:p>
        </w:tc>
        <w:tc>
          <w:tcPr>
            <w:tcW w:w="640" w:type="dxa"/>
            <w:vAlign w:val="bottom"/>
            <w:shd w:val="clear" w:color="auto" w:fill="DCE2EF"/>
          </w:tcPr>
          <w:p>
            <w:pPr>
              <w:spacing w:after="0"/>
              <w:rPr>
                <w:sz w:val="19"/>
                <w:szCs w:val="19"/>
                <w:color w:val="auto"/>
              </w:rPr>
            </w:pPr>
          </w:p>
        </w:tc>
        <w:tc>
          <w:tcPr>
            <w:tcW w:w="14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90,463,655</w:t>
            </w:r>
          </w:p>
        </w:tc>
        <w:tc>
          <w:tcPr>
            <w:tcW w:w="120" w:type="dxa"/>
            <w:vAlign w:val="bottom"/>
            <w:shd w:val="clear" w:color="auto" w:fill="DCE2EF"/>
          </w:tcPr>
          <w:p>
            <w:pPr>
              <w:spacing w:after="0"/>
              <w:rPr>
                <w:sz w:val="19"/>
                <w:szCs w:val="19"/>
                <w:color w:val="auto"/>
              </w:rPr>
            </w:pPr>
          </w:p>
        </w:tc>
        <w:tc>
          <w:tcPr>
            <w:tcW w:w="460" w:type="dxa"/>
            <w:vAlign w:val="bottom"/>
            <w:shd w:val="clear" w:color="auto" w:fill="DCE2EF"/>
          </w:tcPr>
          <w:p>
            <w:pPr>
              <w:spacing w:after="0"/>
              <w:rPr>
                <w:sz w:val="19"/>
                <w:szCs w:val="19"/>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77,136,013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40"/>
              <w:spacing w:after="0"/>
              <w:rPr>
                <w:sz w:val="20"/>
                <w:szCs w:val="20"/>
                <w:color w:val="auto"/>
              </w:rPr>
            </w:pPr>
            <w:r>
              <w:rPr>
                <w:rFonts w:ascii="Arial" w:cs="Arial" w:eastAsia="Arial" w:hAnsi="Arial"/>
                <w:sz w:val="18"/>
                <w:szCs w:val="18"/>
                <w:color w:val="auto"/>
              </w:rPr>
              <w:t>Deferred consideration</w:t>
            </w:r>
          </w:p>
        </w:tc>
        <w:tc>
          <w:tcPr>
            <w:tcW w:w="3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871,791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Borders>
              <w:top w:val="single" w:sz="8" w:color="DCE2EF"/>
            </w:tcBorders>
            <w:shd w:val="clear" w:color="auto" w:fill="DCE2EF"/>
          </w:tcPr>
          <w:p>
            <w:pPr>
              <w:ind w:left="240"/>
              <w:spacing w:after="0"/>
              <w:rPr>
                <w:sz w:val="20"/>
                <w:szCs w:val="20"/>
                <w:color w:val="auto"/>
              </w:rPr>
            </w:pPr>
            <w:r>
              <w:rPr>
                <w:rFonts w:ascii="Arial" w:cs="Arial" w:eastAsia="Arial" w:hAnsi="Arial"/>
                <w:sz w:val="18"/>
                <w:szCs w:val="18"/>
                <w:color w:val="auto"/>
              </w:rPr>
              <w:t>Total current liabilities</w:t>
            </w:r>
          </w:p>
        </w:tc>
        <w:tc>
          <w:tcPr>
            <w:tcW w:w="3860" w:type="dxa"/>
            <w:vAlign w:val="bottom"/>
            <w:tcBorders>
              <w:top w:val="single" w:sz="8" w:color="DCE2EF"/>
            </w:tcBorders>
            <w:shd w:val="clear" w:color="auto" w:fill="DCE2EF"/>
          </w:tcPr>
          <w:p>
            <w:pPr>
              <w:spacing w:after="0"/>
              <w:rPr>
                <w:sz w:val="19"/>
                <w:szCs w:val="19"/>
                <w:color w:val="auto"/>
              </w:rPr>
            </w:pPr>
          </w:p>
        </w:tc>
        <w:tc>
          <w:tcPr>
            <w:tcW w:w="640" w:type="dxa"/>
            <w:vAlign w:val="bottom"/>
            <w:tcBorders>
              <w:top w:val="single" w:sz="8" w:color="auto"/>
            </w:tcBorders>
            <w:shd w:val="clear" w:color="auto" w:fill="DCE2EF"/>
          </w:tcPr>
          <w:p>
            <w:pPr>
              <w:spacing w:after="0"/>
              <w:rPr>
                <w:sz w:val="19"/>
                <w:szCs w:val="19"/>
                <w:color w:val="auto"/>
              </w:rPr>
            </w:pPr>
          </w:p>
        </w:tc>
        <w:tc>
          <w:tcPr>
            <w:tcW w:w="140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114,041,275</w:t>
            </w:r>
          </w:p>
        </w:tc>
        <w:tc>
          <w:tcPr>
            <w:tcW w:w="120" w:type="dxa"/>
            <w:vAlign w:val="bottom"/>
            <w:tcBorders>
              <w:top w:val="single" w:sz="8" w:color="DCE2EF"/>
            </w:tcBorders>
            <w:shd w:val="clear" w:color="auto" w:fill="DCE2EF"/>
          </w:tcPr>
          <w:p>
            <w:pPr>
              <w:spacing w:after="0"/>
              <w:rPr>
                <w:sz w:val="19"/>
                <w:szCs w:val="19"/>
                <w:color w:val="auto"/>
              </w:rPr>
            </w:pPr>
          </w:p>
        </w:tc>
        <w:tc>
          <w:tcPr>
            <w:tcW w:w="460" w:type="dxa"/>
            <w:vAlign w:val="bottom"/>
            <w:tcBorders>
              <w:top w:val="single" w:sz="8" w:color="auto"/>
            </w:tcBorders>
            <w:shd w:val="clear" w:color="auto" w:fill="DCE2EF"/>
          </w:tcPr>
          <w:p>
            <w:pPr>
              <w:spacing w:after="0"/>
              <w:rPr>
                <w:sz w:val="19"/>
                <w:szCs w:val="19"/>
                <w:color w:val="auto"/>
              </w:rPr>
            </w:pPr>
          </w:p>
        </w:tc>
        <w:tc>
          <w:tcPr>
            <w:tcW w:w="158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102,302,168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DCE2EF"/>
          </w:tcPr>
          <w:p>
            <w:pPr>
              <w:ind w:left="20"/>
              <w:spacing w:after="0"/>
              <w:rPr>
                <w:sz w:val="20"/>
                <w:szCs w:val="20"/>
                <w:color w:val="auto"/>
              </w:rPr>
            </w:pPr>
            <w:r>
              <w:rPr>
                <w:rFonts w:ascii="Arial" w:cs="Arial" w:eastAsia="Arial" w:hAnsi="Arial"/>
                <w:sz w:val="18"/>
                <w:szCs w:val="18"/>
                <w:color w:val="auto"/>
              </w:rPr>
              <w:t>Payroll taxes, net of current portion</w:t>
            </w:r>
          </w:p>
        </w:tc>
        <w:tc>
          <w:tcPr>
            <w:tcW w:w="3860" w:type="dxa"/>
            <w:vAlign w:val="bottom"/>
            <w:shd w:val="clear" w:color="auto" w:fill="DCE2EF"/>
          </w:tcPr>
          <w:p>
            <w:pPr>
              <w:spacing w:after="0"/>
              <w:rPr>
                <w:sz w:val="19"/>
                <w:szCs w:val="19"/>
                <w:color w:val="auto"/>
              </w:rPr>
            </w:pPr>
          </w:p>
        </w:tc>
        <w:tc>
          <w:tcPr>
            <w:tcW w:w="640" w:type="dxa"/>
            <w:vAlign w:val="bottom"/>
            <w:shd w:val="clear" w:color="auto" w:fill="DCE2EF"/>
          </w:tcPr>
          <w:p>
            <w:pPr>
              <w:spacing w:after="0"/>
              <w:rPr>
                <w:sz w:val="19"/>
                <w:szCs w:val="19"/>
                <w:color w:val="auto"/>
              </w:rPr>
            </w:pPr>
          </w:p>
        </w:tc>
        <w:tc>
          <w:tcPr>
            <w:tcW w:w="14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12,504,618</w:t>
            </w:r>
          </w:p>
        </w:tc>
        <w:tc>
          <w:tcPr>
            <w:tcW w:w="120" w:type="dxa"/>
            <w:vAlign w:val="bottom"/>
            <w:shd w:val="clear" w:color="auto" w:fill="DCE2EF"/>
          </w:tcPr>
          <w:p>
            <w:pPr>
              <w:spacing w:after="0"/>
              <w:rPr>
                <w:sz w:val="19"/>
                <w:szCs w:val="19"/>
                <w:color w:val="auto"/>
              </w:rPr>
            </w:pPr>
          </w:p>
        </w:tc>
        <w:tc>
          <w:tcPr>
            <w:tcW w:w="460" w:type="dxa"/>
            <w:vAlign w:val="bottom"/>
            <w:shd w:val="clear" w:color="auto" w:fill="DCE2EF"/>
          </w:tcPr>
          <w:p>
            <w:pPr>
              <w:spacing w:after="0"/>
              <w:rPr>
                <w:sz w:val="19"/>
                <w:szCs w:val="19"/>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Loan from shareholder</w:t>
            </w:r>
          </w:p>
        </w:tc>
        <w:tc>
          <w:tcPr>
            <w:tcW w:w="3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10,689,490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10,847,223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gridSpan w:val="3"/>
            <w:shd w:val="clear" w:color="auto" w:fill="DCE2EF"/>
          </w:tcPr>
          <w:p>
            <w:pPr>
              <w:ind w:left="20"/>
              <w:spacing w:after="0"/>
              <w:rPr>
                <w:sz w:val="20"/>
                <w:szCs w:val="20"/>
                <w:color w:val="auto"/>
              </w:rPr>
            </w:pPr>
            <w:r>
              <w:rPr>
                <w:rFonts w:ascii="Arial" w:cs="Arial" w:eastAsia="Arial" w:hAnsi="Arial"/>
                <w:sz w:val="18"/>
                <w:szCs w:val="18"/>
                <w:color w:val="auto"/>
              </w:rPr>
              <w:t>Workers‘ compensation and general liability loss reserve</w:t>
            </w:r>
          </w:p>
        </w:tc>
        <w:tc>
          <w:tcPr>
            <w:tcW w:w="14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75,213,390</w:t>
            </w:r>
          </w:p>
        </w:tc>
        <w:tc>
          <w:tcPr>
            <w:tcW w:w="120" w:type="dxa"/>
            <w:vAlign w:val="bottom"/>
            <w:shd w:val="clear" w:color="auto" w:fill="DCE2EF"/>
          </w:tcPr>
          <w:p>
            <w:pPr>
              <w:spacing w:after="0"/>
              <w:rPr>
                <w:sz w:val="19"/>
                <w:szCs w:val="19"/>
                <w:color w:val="auto"/>
              </w:rPr>
            </w:pPr>
          </w:p>
        </w:tc>
        <w:tc>
          <w:tcPr>
            <w:tcW w:w="460" w:type="dxa"/>
            <w:vAlign w:val="bottom"/>
            <w:shd w:val="clear" w:color="auto" w:fill="DCE2EF"/>
          </w:tcPr>
          <w:p>
            <w:pPr>
              <w:spacing w:after="0"/>
              <w:rPr>
                <w:sz w:val="19"/>
                <w:szCs w:val="19"/>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65,417,996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Borders>
              <w:bottom w:val="single" w:sz="8" w:color="DCE2EF"/>
            </w:tcBorders>
          </w:tcPr>
          <w:p>
            <w:pPr>
              <w:ind w:left="20"/>
              <w:spacing w:after="0"/>
              <w:rPr>
                <w:sz w:val="20"/>
                <w:szCs w:val="20"/>
                <w:color w:val="auto"/>
              </w:rPr>
            </w:pPr>
            <w:r>
              <w:rPr>
                <w:rFonts w:ascii="Arial" w:cs="Arial" w:eastAsia="Arial" w:hAnsi="Arial"/>
                <w:sz w:val="18"/>
                <w:szCs w:val="18"/>
                <w:color w:val="auto"/>
              </w:rPr>
              <w:t>Deferred compensation plan liability</w:t>
            </w:r>
          </w:p>
        </w:tc>
        <w:tc>
          <w:tcPr>
            <w:tcW w:w="3860" w:type="dxa"/>
            <w:vAlign w:val="bottom"/>
            <w:tcBorders>
              <w:bottom w:val="single" w:sz="8" w:color="DCE2E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29,599,860</w:t>
            </w:r>
          </w:p>
        </w:tc>
        <w:tc>
          <w:tcPr>
            <w:tcW w:w="120" w:type="dxa"/>
            <w:vAlign w:val="bottom"/>
            <w:tcBorders>
              <w:bottom w:val="single" w:sz="8" w:color="DCE2E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28,507,878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shd w:val="clear" w:color="auto" w:fill="DCE2EF"/>
          </w:tcPr>
          <w:p>
            <w:pPr>
              <w:ind w:left="240"/>
              <w:spacing w:after="0"/>
              <w:rPr>
                <w:sz w:val="20"/>
                <w:szCs w:val="20"/>
                <w:color w:val="auto"/>
              </w:rPr>
            </w:pPr>
            <w:r>
              <w:rPr>
                <w:rFonts w:ascii="Arial" w:cs="Arial" w:eastAsia="Arial" w:hAnsi="Arial"/>
                <w:sz w:val="18"/>
                <w:szCs w:val="18"/>
                <w:color w:val="auto"/>
              </w:rPr>
              <w:t>Total liabilities</w:t>
            </w:r>
          </w:p>
        </w:tc>
        <w:tc>
          <w:tcPr>
            <w:tcW w:w="3860" w:type="dxa"/>
            <w:vAlign w:val="bottom"/>
            <w:shd w:val="clear" w:color="auto" w:fill="DCE2EF"/>
          </w:tcPr>
          <w:p>
            <w:pPr>
              <w:spacing w:after="0"/>
              <w:rPr>
                <w:sz w:val="19"/>
                <w:szCs w:val="19"/>
                <w:color w:val="auto"/>
              </w:rPr>
            </w:pPr>
          </w:p>
        </w:tc>
        <w:tc>
          <w:tcPr>
            <w:tcW w:w="640" w:type="dxa"/>
            <w:vAlign w:val="bottom"/>
            <w:tcBorders>
              <w:bottom w:val="single" w:sz="8" w:color="auto"/>
            </w:tcBorders>
            <w:shd w:val="clear" w:color="auto" w:fill="DCE2EF"/>
          </w:tcPr>
          <w:p>
            <w:pPr>
              <w:spacing w:after="0"/>
              <w:rPr>
                <w:sz w:val="19"/>
                <w:szCs w:val="19"/>
                <w:color w:val="auto"/>
              </w:rPr>
            </w:pPr>
          </w:p>
        </w:tc>
        <w:tc>
          <w:tcPr>
            <w:tcW w:w="14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242,048,633</w:t>
            </w:r>
          </w:p>
        </w:tc>
        <w:tc>
          <w:tcPr>
            <w:tcW w:w="120" w:type="dxa"/>
            <w:vAlign w:val="bottom"/>
            <w:shd w:val="clear" w:color="auto" w:fill="DCE2EF"/>
          </w:tcPr>
          <w:p>
            <w:pPr>
              <w:spacing w:after="0"/>
              <w:rPr>
                <w:sz w:val="19"/>
                <w:szCs w:val="19"/>
                <w:color w:val="auto"/>
              </w:rPr>
            </w:pPr>
          </w:p>
        </w:tc>
        <w:tc>
          <w:tcPr>
            <w:tcW w:w="460" w:type="dxa"/>
            <w:vAlign w:val="bottom"/>
            <w:tcBorders>
              <w:bottom w:val="single" w:sz="8" w:color="auto"/>
            </w:tcBorders>
            <w:shd w:val="clear" w:color="auto" w:fill="DCE2EF"/>
          </w:tcPr>
          <w:p>
            <w:pPr>
              <w:spacing w:after="0"/>
              <w:rPr>
                <w:sz w:val="19"/>
                <w:szCs w:val="19"/>
                <w:color w:val="auto"/>
              </w:rPr>
            </w:pPr>
          </w:p>
        </w:tc>
        <w:tc>
          <w:tcPr>
            <w:tcW w:w="1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207,075,265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16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DCE2EF"/>
          </w:tcPr>
          <w:p>
            <w:pPr>
              <w:ind w:left="20"/>
              <w:spacing w:after="0"/>
              <w:rPr>
                <w:sz w:val="20"/>
                <w:szCs w:val="20"/>
                <w:color w:val="auto"/>
              </w:rPr>
            </w:pPr>
            <w:r>
              <w:rPr>
                <w:rFonts w:ascii="Arial" w:cs="Arial" w:eastAsia="Arial" w:hAnsi="Arial"/>
                <w:sz w:val="18"/>
                <w:szCs w:val="18"/>
                <w:color w:val="auto"/>
              </w:rPr>
              <w:t>Shareholders' equity</w:t>
            </w:r>
          </w:p>
        </w:tc>
        <w:tc>
          <w:tcPr>
            <w:tcW w:w="3860" w:type="dxa"/>
            <w:vAlign w:val="bottom"/>
            <w:shd w:val="clear" w:color="auto" w:fill="DCE2EF"/>
          </w:tcPr>
          <w:p>
            <w:pPr>
              <w:spacing w:after="0"/>
              <w:rPr>
                <w:sz w:val="19"/>
                <w:szCs w:val="19"/>
                <w:color w:val="auto"/>
              </w:rPr>
            </w:pPr>
          </w:p>
        </w:tc>
        <w:tc>
          <w:tcPr>
            <w:tcW w:w="640" w:type="dxa"/>
            <w:vAlign w:val="bottom"/>
            <w:shd w:val="clear" w:color="auto" w:fill="DCE2EF"/>
          </w:tcPr>
          <w:p>
            <w:pPr>
              <w:spacing w:after="0"/>
              <w:rPr>
                <w:sz w:val="19"/>
                <w:szCs w:val="19"/>
                <w:color w:val="auto"/>
              </w:rPr>
            </w:pPr>
          </w:p>
        </w:tc>
        <w:tc>
          <w:tcPr>
            <w:tcW w:w="140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460" w:type="dxa"/>
            <w:vAlign w:val="bottom"/>
            <w:shd w:val="clear" w:color="auto" w:fill="DCE2EF"/>
          </w:tcPr>
          <w:p>
            <w:pPr>
              <w:spacing w:after="0"/>
              <w:rPr>
                <w:sz w:val="19"/>
                <w:szCs w:val="19"/>
                <w:color w:val="auto"/>
              </w:rPr>
            </w:pPr>
          </w:p>
        </w:tc>
        <w:tc>
          <w:tcPr>
            <w:tcW w:w="1580" w:type="dxa"/>
            <w:vAlign w:val="bottom"/>
            <w:shd w:val="clear" w:color="auto" w:fill="DCE2E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3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84,347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84,347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DCE2EF"/>
          </w:tcPr>
          <w:p>
            <w:pPr>
              <w:ind w:left="140"/>
              <w:spacing w:after="0"/>
              <w:rPr>
                <w:sz w:val="20"/>
                <w:szCs w:val="20"/>
                <w:color w:val="auto"/>
              </w:rPr>
            </w:pPr>
            <w:r>
              <w:rPr>
                <w:rFonts w:ascii="Arial" w:cs="Arial" w:eastAsia="Arial" w:hAnsi="Arial"/>
                <w:sz w:val="18"/>
                <w:szCs w:val="18"/>
                <w:color w:val="auto"/>
              </w:rPr>
              <w:t>Retained earnings</w:t>
            </w:r>
          </w:p>
        </w:tc>
        <w:tc>
          <w:tcPr>
            <w:tcW w:w="3860" w:type="dxa"/>
            <w:vAlign w:val="bottom"/>
            <w:shd w:val="clear" w:color="auto" w:fill="DCE2EF"/>
          </w:tcPr>
          <w:p>
            <w:pPr>
              <w:spacing w:after="0"/>
              <w:rPr>
                <w:sz w:val="19"/>
                <w:szCs w:val="19"/>
                <w:color w:val="auto"/>
              </w:rPr>
            </w:pPr>
          </w:p>
        </w:tc>
        <w:tc>
          <w:tcPr>
            <w:tcW w:w="640" w:type="dxa"/>
            <w:vAlign w:val="bottom"/>
            <w:tcBorders>
              <w:bottom w:val="single" w:sz="8" w:color="auto"/>
            </w:tcBorders>
            <w:shd w:val="clear" w:color="auto" w:fill="DCE2EF"/>
          </w:tcPr>
          <w:p>
            <w:pPr>
              <w:spacing w:after="0"/>
              <w:rPr>
                <w:sz w:val="19"/>
                <w:szCs w:val="19"/>
                <w:color w:val="auto"/>
              </w:rPr>
            </w:pPr>
          </w:p>
        </w:tc>
        <w:tc>
          <w:tcPr>
            <w:tcW w:w="14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59,859,619</w:t>
            </w:r>
          </w:p>
        </w:tc>
        <w:tc>
          <w:tcPr>
            <w:tcW w:w="120" w:type="dxa"/>
            <w:vAlign w:val="bottom"/>
            <w:shd w:val="clear" w:color="auto" w:fill="DCE2EF"/>
          </w:tcPr>
          <w:p>
            <w:pPr>
              <w:spacing w:after="0"/>
              <w:rPr>
                <w:sz w:val="19"/>
                <w:szCs w:val="19"/>
                <w:color w:val="auto"/>
              </w:rPr>
            </w:pPr>
          </w:p>
        </w:tc>
        <w:tc>
          <w:tcPr>
            <w:tcW w:w="460" w:type="dxa"/>
            <w:vAlign w:val="bottom"/>
            <w:tcBorders>
              <w:bottom w:val="single" w:sz="8" w:color="auto"/>
            </w:tcBorders>
            <w:shd w:val="clear" w:color="auto" w:fill="DCE2EF"/>
          </w:tcPr>
          <w:p>
            <w:pPr>
              <w:spacing w:after="0"/>
              <w:rPr>
                <w:sz w:val="19"/>
                <w:szCs w:val="19"/>
                <w:color w:val="auto"/>
              </w:rPr>
            </w:pPr>
          </w:p>
        </w:tc>
        <w:tc>
          <w:tcPr>
            <w:tcW w:w="1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36,823,667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Borders>
              <w:bottom w:val="single" w:sz="8" w:color="DCE2EF"/>
            </w:tcBorders>
          </w:tcPr>
          <w:p>
            <w:pPr>
              <w:ind w:left="240"/>
              <w:spacing w:after="0"/>
              <w:rPr>
                <w:sz w:val="20"/>
                <w:szCs w:val="20"/>
                <w:color w:val="auto"/>
              </w:rPr>
            </w:pPr>
            <w:r>
              <w:rPr>
                <w:rFonts w:ascii="Arial" w:cs="Arial" w:eastAsia="Arial" w:hAnsi="Arial"/>
                <w:sz w:val="18"/>
                <w:szCs w:val="18"/>
                <w:color w:val="auto"/>
              </w:rPr>
              <w:t>Total shareholders‘ equity</w:t>
            </w:r>
          </w:p>
        </w:tc>
        <w:tc>
          <w:tcPr>
            <w:tcW w:w="3860" w:type="dxa"/>
            <w:vAlign w:val="bottom"/>
            <w:tcBorders>
              <w:bottom w:val="single" w:sz="8" w:color="DCE2E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59,943,966</w:t>
            </w:r>
          </w:p>
        </w:tc>
        <w:tc>
          <w:tcPr>
            <w:tcW w:w="120" w:type="dxa"/>
            <w:vAlign w:val="bottom"/>
            <w:tcBorders>
              <w:bottom w:val="single" w:sz="8" w:color="DCE2E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36,908,014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160" w:type="dxa"/>
            <w:vAlign w:val="bottom"/>
            <w:shd w:val="clear" w:color="auto" w:fill="DCE2EF"/>
          </w:tcPr>
          <w:p>
            <w:pPr>
              <w:spacing w:after="0"/>
              <w:rPr>
                <w:sz w:val="21"/>
                <w:szCs w:val="21"/>
                <w:color w:val="auto"/>
              </w:rPr>
            </w:pPr>
          </w:p>
        </w:tc>
        <w:tc>
          <w:tcPr>
            <w:tcW w:w="3860" w:type="dxa"/>
            <w:vAlign w:val="bottom"/>
            <w:shd w:val="clear" w:color="auto" w:fill="DCE2EF"/>
          </w:tcPr>
          <w:p>
            <w:pPr>
              <w:spacing w:after="0"/>
              <w:rPr>
                <w:sz w:val="21"/>
                <w:szCs w:val="21"/>
                <w:color w:val="auto"/>
              </w:rPr>
            </w:pPr>
          </w:p>
        </w:tc>
        <w:tc>
          <w:tcPr>
            <w:tcW w:w="640" w:type="dxa"/>
            <w:vAlign w:val="bottom"/>
            <w:shd w:val="clear" w:color="auto" w:fill="DCE2EF"/>
          </w:tcPr>
          <w:p>
            <w:pPr>
              <w:spacing w:after="0"/>
              <w:rPr>
                <w:sz w:val="21"/>
                <w:szCs w:val="21"/>
                <w:color w:val="auto"/>
              </w:rPr>
            </w:pPr>
          </w:p>
        </w:tc>
        <w:tc>
          <w:tcPr>
            <w:tcW w:w="1400" w:type="dxa"/>
            <w:vAlign w:val="bottom"/>
            <w:shd w:val="clear" w:color="auto" w:fill="DCE2EF"/>
          </w:tcPr>
          <w:p>
            <w:pPr>
              <w:spacing w:after="0"/>
              <w:rPr>
                <w:sz w:val="21"/>
                <w:szCs w:val="21"/>
                <w:color w:val="auto"/>
              </w:rPr>
            </w:pPr>
          </w:p>
        </w:tc>
        <w:tc>
          <w:tcPr>
            <w:tcW w:w="120" w:type="dxa"/>
            <w:vAlign w:val="bottom"/>
            <w:shd w:val="clear" w:color="auto" w:fill="DCE2EF"/>
          </w:tcPr>
          <w:p>
            <w:pPr>
              <w:spacing w:after="0"/>
              <w:rPr>
                <w:sz w:val="21"/>
                <w:szCs w:val="21"/>
                <w:color w:val="auto"/>
              </w:rPr>
            </w:pPr>
          </w:p>
        </w:tc>
        <w:tc>
          <w:tcPr>
            <w:tcW w:w="460" w:type="dxa"/>
            <w:vAlign w:val="bottom"/>
            <w:shd w:val="clear" w:color="auto" w:fill="DCE2EF"/>
          </w:tcPr>
          <w:p>
            <w:pPr>
              <w:spacing w:after="0"/>
              <w:rPr>
                <w:sz w:val="21"/>
                <w:szCs w:val="21"/>
                <w:color w:val="auto"/>
              </w:rPr>
            </w:pPr>
          </w:p>
        </w:tc>
        <w:tc>
          <w:tcPr>
            <w:tcW w:w="1580" w:type="dxa"/>
            <w:vAlign w:val="bottom"/>
            <w:shd w:val="clear" w:color="auto" w:fill="DCE2E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40"/>
              <w:spacing w:after="0"/>
              <w:rPr>
                <w:sz w:val="20"/>
                <w:szCs w:val="20"/>
                <w:color w:val="auto"/>
              </w:rPr>
            </w:pPr>
            <w:r>
              <w:rPr>
                <w:rFonts w:ascii="Arial" w:cs="Arial" w:eastAsia="Arial" w:hAnsi="Arial"/>
                <w:sz w:val="18"/>
                <w:szCs w:val="18"/>
                <w:color w:val="auto"/>
                <w:w w:val="92"/>
              </w:rPr>
              <w:t>Total liabilities and shareholders' equity</w:t>
            </w:r>
          </w:p>
        </w:tc>
        <w:tc>
          <w:tcPr>
            <w:tcW w:w="45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301,992,599</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243,983,279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101010"/>
        </w:rPr>
        <w:t>The accompanying notes are an integral part of these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1"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101010"/>
        </w:rPr>
        <w:t>Crown Building Maintenance Co. and Crown Energy Services, Inc.</w:t>
      </w:r>
    </w:p>
    <w:p>
      <w:pPr>
        <w:jc w:val="center"/>
        <w:spacing w:after="0" w:line="234" w:lineRule="auto"/>
        <w:rPr>
          <w:sz w:val="20"/>
          <w:szCs w:val="20"/>
          <w:color w:val="auto"/>
        </w:rPr>
      </w:pPr>
      <w:r>
        <w:rPr>
          <w:rFonts w:ascii="Arial" w:cs="Arial" w:eastAsia="Arial" w:hAnsi="Arial"/>
          <w:sz w:val="18"/>
          <w:szCs w:val="18"/>
          <w:color w:val="101010"/>
        </w:rPr>
        <w:t>dba Able Services</w:t>
      </w:r>
    </w:p>
    <w:p>
      <w:pPr>
        <w:spacing w:after="0" w:line="1" w:lineRule="exact"/>
        <w:rPr>
          <w:sz w:val="20"/>
          <w:szCs w:val="20"/>
          <w:color w:val="auto"/>
        </w:rPr>
      </w:pPr>
    </w:p>
    <w:p>
      <w:pPr>
        <w:ind w:left="3600"/>
        <w:spacing w:after="0"/>
        <w:rPr>
          <w:sz w:val="20"/>
          <w:szCs w:val="20"/>
          <w:color w:val="auto"/>
        </w:rPr>
      </w:pPr>
      <w:r>
        <w:rPr>
          <w:rFonts w:ascii="Arial" w:cs="Arial" w:eastAsia="Arial" w:hAnsi="Arial"/>
          <w:sz w:val="18"/>
          <w:szCs w:val="18"/>
          <w:color w:val="101010"/>
        </w:rPr>
        <w:t>Combined Statements of Income and Retained Earnings</w:t>
      </w:r>
    </w:p>
    <w:p>
      <w:pPr>
        <w:spacing w:after="0" w:line="7" w:lineRule="exact"/>
        <w:rPr>
          <w:sz w:val="20"/>
          <w:szCs w:val="20"/>
          <w:color w:val="auto"/>
        </w:rPr>
      </w:pPr>
    </w:p>
    <w:p>
      <w:pPr>
        <w:ind w:left="3600"/>
        <w:spacing w:after="0"/>
        <w:rPr>
          <w:sz w:val="20"/>
          <w:szCs w:val="20"/>
          <w:color w:val="auto"/>
        </w:rPr>
      </w:pPr>
      <w:r>
        <w:rPr>
          <w:rFonts w:ascii="Arial" w:cs="Arial" w:eastAsia="Arial" w:hAnsi="Arial"/>
          <w:sz w:val="18"/>
          <w:szCs w:val="18"/>
          <w:color w:val="101010"/>
        </w:rPr>
        <w:t>For the Years Ended from December 31, 2020 and 2019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2019</w:t>
            </w:r>
          </w:p>
        </w:tc>
      </w:tr>
      <w:tr>
        <w:trPr>
          <w:trHeight w:val="237"/>
        </w:trPr>
        <w:tc>
          <w:tcPr>
            <w:tcW w:w="7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30"/>
        </w:trPr>
        <w:tc>
          <w:tcPr>
            <w:tcW w:w="7060" w:type="dxa"/>
            <w:vAlign w:val="bottom"/>
            <w:shd w:val="clear" w:color="auto" w:fill="DCE2EF"/>
          </w:tcPr>
          <w:p>
            <w:pPr>
              <w:ind w:left="20"/>
              <w:spacing w:after="0"/>
              <w:rPr>
                <w:sz w:val="20"/>
                <w:szCs w:val="20"/>
                <w:color w:val="auto"/>
              </w:rPr>
            </w:pPr>
            <w:r>
              <w:rPr>
                <w:rFonts w:ascii="Arial" w:cs="Arial" w:eastAsia="Arial" w:hAnsi="Arial"/>
                <w:sz w:val="18"/>
                <w:szCs w:val="18"/>
                <w:color w:val="auto"/>
              </w:rPr>
              <w:t>Sales and services</w:t>
            </w:r>
          </w:p>
        </w:tc>
        <w:tc>
          <w:tcPr>
            <w:tcW w:w="460" w:type="dxa"/>
            <w:vAlign w:val="bottom"/>
            <w:shd w:val="clear" w:color="auto" w:fill="DCE2EF"/>
          </w:tcPr>
          <w:p>
            <w:pPr>
              <w:jc w:val="right"/>
              <w:ind w:right="27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1,090,539,363</w:t>
            </w:r>
          </w:p>
        </w:tc>
        <w:tc>
          <w:tcPr>
            <w:tcW w:w="100" w:type="dxa"/>
            <w:vAlign w:val="bottom"/>
            <w:shd w:val="clear" w:color="auto" w:fill="DCE2EF"/>
          </w:tcPr>
          <w:p>
            <w:pPr>
              <w:spacing w:after="0"/>
              <w:rPr>
                <w:sz w:val="19"/>
                <w:szCs w:val="19"/>
                <w:color w:val="auto"/>
              </w:rPr>
            </w:pPr>
          </w:p>
        </w:tc>
        <w:tc>
          <w:tcPr>
            <w:tcW w:w="480" w:type="dxa"/>
            <w:vAlign w:val="bottom"/>
            <w:shd w:val="clear" w:color="auto" w:fill="DCE2EF"/>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1,125,612,393</w:t>
            </w:r>
          </w:p>
        </w:tc>
      </w:tr>
      <w:tr>
        <w:trPr>
          <w:trHeight w:val="256"/>
        </w:trPr>
        <w:tc>
          <w:tcPr>
            <w:tcW w:w="70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0"/>
        </w:trPr>
        <w:tc>
          <w:tcPr>
            <w:tcW w:w="7060" w:type="dxa"/>
            <w:vAlign w:val="bottom"/>
            <w:shd w:val="clear" w:color="auto" w:fill="DCE2EF"/>
          </w:tcPr>
          <w:p>
            <w:pPr>
              <w:ind w:left="20"/>
              <w:spacing w:after="0"/>
              <w:rPr>
                <w:sz w:val="20"/>
                <w:szCs w:val="20"/>
                <w:color w:val="auto"/>
              </w:rPr>
            </w:pPr>
            <w:r>
              <w:rPr>
                <w:rFonts w:ascii="Arial" w:cs="Arial" w:eastAsia="Arial" w:hAnsi="Arial"/>
                <w:sz w:val="18"/>
                <w:szCs w:val="18"/>
                <w:color w:val="auto"/>
              </w:rPr>
              <w:t>Cost of sales and services</w:t>
            </w:r>
          </w:p>
        </w:tc>
        <w:tc>
          <w:tcPr>
            <w:tcW w:w="460" w:type="dxa"/>
            <w:vAlign w:val="bottom"/>
            <w:tcBorders>
              <w:bottom w:val="single" w:sz="8" w:color="auto"/>
            </w:tcBorders>
            <w:shd w:val="clear" w:color="auto" w:fill="DCE2EF"/>
          </w:tcPr>
          <w:p>
            <w:pPr>
              <w:spacing w:after="0"/>
              <w:rPr>
                <w:sz w:val="19"/>
                <w:szCs w:val="19"/>
                <w:color w:val="auto"/>
              </w:rPr>
            </w:pPr>
          </w:p>
        </w:tc>
        <w:tc>
          <w:tcPr>
            <w:tcW w:w="1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944,978,983</w:t>
            </w:r>
          </w:p>
        </w:tc>
        <w:tc>
          <w:tcPr>
            <w:tcW w:w="100" w:type="dxa"/>
            <w:vAlign w:val="bottom"/>
            <w:shd w:val="clear" w:color="auto" w:fill="DCE2EF"/>
          </w:tcPr>
          <w:p>
            <w:pPr>
              <w:spacing w:after="0"/>
              <w:rPr>
                <w:sz w:val="19"/>
                <w:szCs w:val="19"/>
                <w:color w:val="auto"/>
              </w:rPr>
            </w:pPr>
          </w:p>
        </w:tc>
        <w:tc>
          <w:tcPr>
            <w:tcW w:w="480" w:type="dxa"/>
            <w:vAlign w:val="bottom"/>
            <w:tcBorders>
              <w:bottom w:val="single" w:sz="8" w:color="auto"/>
            </w:tcBorders>
            <w:shd w:val="clear" w:color="auto" w:fill="DCE2EF"/>
          </w:tcPr>
          <w:p>
            <w:pPr>
              <w:spacing w:after="0"/>
              <w:rPr>
                <w:sz w:val="19"/>
                <w:szCs w:val="19"/>
                <w:color w:val="auto"/>
              </w:rPr>
            </w:pP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996,405,700</w:t>
            </w:r>
          </w:p>
        </w:tc>
      </w:tr>
      <w:tr>
        <w:trPr>
          <w:trHeight w:val="236"/>
        </w:trPr>
        <w:tc>
          <w:tcPr>
            <w:tcW w:w="7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30"/>
        </w:trPr>
        <w:tc>
          <w:tcPr>
            <w:tcW w:w="7060" w:type="dxa"/>
            <w:vAlign w:val="bottom"/>
            <w:shd w:val="clear" w:color="auto" w:fill="DCE2EF"/>
          </w:tcPr>
          <w:p>
            <w:pPr>
              <w:ind w:left="20"/>
              <w:spacing w:after="0"/>
              <w:rPr>
                <w:sz w:val="20"/>
                <w:szCs w:val="20"/>
                <w:color w:val="auto"/>
              </w:rPr>
            </w:pPr>
            <w:r>
              <w:rPr>
                <w:rFonts w:ascii="Arial" w:cs="Arial" w:eastAsia="Arial" w:hAnsi="Arial"/>
                <w:sz w:val="18"/>
                <w:szCs w:val="18"/>
                <w:color w:val="auto"/>
              </w:rPr>
              <w:t>Gross profit</w:t>
            </w:r>
          </w:p>
        </w:tc>
        <w:tc>
          <w:tcPr>
            <w:tcW w:w="460" w:type="dxa"/>
            <w:vAlign w:val="bottom"/>
            <w:shd w:val="clear" w:color="auto" w:fill="DCE2EF"/>
          </w:tcPr>
          <w:p>
            <w:pPr>
              <w:spacing w:after="0"/>
              <w:rPr>
                <w:sz w:val="19"/>
                <w:szCs w:val="19"/>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145,560,380</w:t>
            </w:r>
          </w:p>
        </w:tc>
        <w:tc>
          <w:tcPr>
            <w:tcW w:w="100" w:type="dxa"/>
            <w:vAlign w:val="bottom"/>
            <w:shd w:val="clear" w:color="auto" w:fill="DCE2EF"/>
          </w:tcPr>
          <w:p>
            <w:pPr>
              <w:spacing w:after="0"/>
              <w:rPr>
                <w:sz w:val="19"/>
                <w:szCs w:val="19"/>
                <w:color w:val="auto"/>
              </w:rPr>
            </w:pPr>
          </w:p>
        </w:tc>
        <w:tc>
          <w:tcPr>
            <w:tcW w:w="480" w:type="dxa"/>
            <w:vAlign w:val="bottom"/>
            <w:shd w:val="clear" w:color="auto" w:fill="DCE2EF"/>
          </w:tcPr>
          <w:p>
            <w:pPr>
              <w:spacing w:after="0"/>
              <w:rPr>
                <w:sz w:val="19"/>
                <w:szCs w:val="19"/>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129,206,693</w:t>
            </w:r>
          </w:p>
        </w:tc>
      </w:tr>
      <w:tr>
        <w:trPr>
          <w:trHeight w:val="257"/>
        </w:trPr>
        <w:tc>
          <w:tcPr>
            <w:tcW w:w="70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7060" w:type="dxa"/>
            <w:vAlign w:val="bottom"/>
            <w:shd w:val="clear" w:color="auto" w:fill="DCE2EF"/>
          </w:tcPr>
          <w:p>
            <w:pPr>
              <w:ind w:left="20"/>
              <w:spacing w:after="0"/>
              <w:rPr>
                <w:sz w:val="20"/>
                <w:szCs w:val="20"/>
                <w:color w:val="auto"/>
              </w:rPr>
            </w:pPr>
            <w:r>
              <w:rPr>
                <w:rFonts w:ascii="Arial" w:cs="Arial" w:eastAsia="Arial" w:hAnsi="Arial"/>
                <w:sz w:val="18"/>
                <w:szCs w:val="18"/>
                <w:color w:val="auto"/>
              </w:rPr>
              <w:t>Operating expenses</w:t>
            </w:r>
          </w:p>
        </w:tc>
        <w:tc>
          <w:tcPr>
            <w:tcW w:w="460" w:type="dxa"/>
            <w:vAlign w:val="bottom"/>
            <w:tcBorders>
              <w:bottom w:val="single" w:sz="8" w:color="auto"/>
            </w:tcBorders>
            <w:shd w:val="clear" w:color="auto" w:fill="DCE2EF"/>
          </w:tcPr>
          <w:p>
            <w:pPr>
              <w:spacing w:after="0"/>
              <w:rPr>
                <w:sz w:val="19"/>
                <w:szCs w:val="19"/>
                <w:color w:val="auto"/>
              </w:rPr>
            </w:pPr>
          </w:p>
        </w:tc>
        <w:tc>
          <w:tcPr>
            <w:tcW w:w="1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94,909,760</w:t>
            </w:r>
          </w:p>
        </w:tc>
        <w:tc>
          <w:tcPr>
            <w:tcW w:w="100" w:type="dxa"/>
            <w:vAlign w:val="bottom"/>
            <w:shd w:val="clear" w:color="auto" w:fill="DCE2EF"/>
          </w:tcPr>
          <w:p>
            <w:pPr>
              <w:spacing w:after="0"/>
              <w:rPr>
                <w:sz w:val="19"/>
                <w:szCs w:val="19"/>
                <w:color w:val="auto"/>
              </w:rPr>
            </w:pPr>
          </w:p>
        </w:tc>
        <w:tc>
          <w:tcPr>
            <w:tcW w:w="480" w:type="dxa"/>
            <w:vAlign w:val="bottom"/>
            <w:tcBorders>
              <w:bottom w:val="single" w:sz="8" w:color="auto"/>
            </w:tcBorders>
            <w:shd w:val="clear" w:color="auto" w:fill="DCE2EF"/>
          </w:tcPr>
          <w:p>
            <w:pPr>
              <w:spacing w:after="0"/>
              <w:rPr>
                <w:sz w:val="19"/>
                <w:szCs w:val="19"/>
                <w:color w:val="auto"/>
              </w:rPr>
            </w:pP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96,223,879</w:t>
            </w:r>
          </w:p>
        </w:tc>
      </w:tr>
      <w:tr>
        <w:trPr>
          <w:trHeight w:val="250"/>
        </w:trPr>
        <w:tc>
          <w:tcPr>
            <w:tcW w:w="7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29"/>
        </w:trPr>
        <w:tc>
          <w:tcPr>
            <w:tcW w:w="7060" w:type="dxa"/>
            <w:vAlign w:val="bottom"/>
            <w:shd w:val="clear" w:color="auto" w:fill="DCE2EF"/>
          </w:tcPr>
          <w:p>
            <w:pPr>
              <w:ind w:left="20"/>
              <w:spacing w:after="0"/>
              <w:rPr>
                <w:sz w:val="20"/>
                <w:szCs w:val="20"/>
                <w:color w:val="auto"/>
              </w:rPr>
            </w:pPr>
            <w:r>
              <w:rPr>
                <w:rFonts w:ascii="Arial" w:cs="Arial" w:eastAsia="Arial" w:hAnsi="Arial"/>
                <w:sz w:val="18"/>
                <w:szCs w:val="18"/>
                <w:color w:val="auto"/>
              </w:rPr>
              <w:t>Income from operations</w:t>
            </w:r>
          </w:p>
        </w:tc>
        <w:tc>
          <w:tcPr>
            <w:tcW w:w="460" w:type="dxa"/>
            <w:vAlign w:val="bottom"/>
            <w:shd w:val="clear" w:color="auto" w:fill="DCE2EF"/>
          </w:tcPr>
          <w:p>
            <w:pPr>
              <w:spacing w:after="0"/>
              <w:rPr>
                <w:sz w:val="19"/>
                <w:szCs w:val="19"/>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50,650,620</w:t>
            </w:r>
          </w:p>
        </w:tc>
        <w:tc>
          <w:tcPr>
            <w:tcW w:w="100" w:type="dxa"/>
            <w:vAlign w:val="bottom"/>
            <w:shd w:val="clear" w:color="auto" w:fill="DCE2EF"/>
          </w:tcPr>
          <w:p>
            <w:pPr>
              <w:spacing w:after="0"/>
              <w:rPr>
                <w:sz w:val="19"/>
                <w:szCs w:val="19"/>
                <w:color w:val="auto"/>
              </w:rPr>
            </w:pPr>
          </w:p>
        </w:tc>
        <w:tc>
          <w:tcPr>
            <w:tcW w:w="480" w:type="dxa"/>
            <w:vAlign w:val="bottom"/>
            <w:shd w:val="clear" w:color="auto" w:fill="DCE2EF"/>
          </w:tcPr>
          <w:p>
            <w:pPr>
              <w:spacing w:after="0"/>
              <w:rPr>
                <w:sz w:val="19"/>
                <w:szCs w:val="19"/>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32,982,814</w:t>
            </w:r>
          </w:p>
        </w:tc>
      </w:tr>
      <w:tr>
        <w:trPr>
          <w:trHeight w:val="270"/>
        </w:trPr>
        <w:tc>
          <w:tcPr>
            <w:tcW w:w="70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30"/>
        </w:trPr>
        <w:tc>
          <w:tcPr>
            <w:tcW w:w="7060" w:type="dxa"/>
            <w:vAlign w:val="bottom"/>
            <w:shd w:val="clear" w:color="auto" w:fill="DCE2EF"/>
          </w:tcPr>
          <w:p>
            <w:pPr>
              <w:ind w:left="20"/>
              <w:spacing w:after="0"/>
              <w:rPr>
                <w:sz w:val="20"/>
                <w:szCs w:val="20"/>
                <w:color w:val="auto"/>
              </w:rPr>
            </w:pPr>
            <w:r>
              <w:rPr>
                <w:rFonts w:ascii="Arial" w:cs="Arial" w:eastAsia="Arial" w:hAnsi="Arial"/>
                <w:sz w:val="18"/>
                <w:szCs w:val="18"/>
                <w:color w:val="auto"/>
              </w:rPr>
              <w:t>Other expenses, net</w:t>
            </w:r>
          </w:p>
        </w:tc>
        <w:tc>
          <w:tcPr>
            <w:tcW w:w="460" w:type="dxa"/>
            <w:vAlign w:val="bottom"/>
            <w:tcBorders>
              <w:bottom w:val="single" w:sz="8" w:color="auto"/>
            </w:tcBorders>
            <w:shd w:val="clear" w:color="auto" w:fill="DCE2EF"/>
          </w:tcPr>
          <w:p>
            <w:pPr>
              <w:spacing w:after="0"/>
              <w:rPr>
                <w:sz w:val="19"/>
                <w:szCs w:val="19"/>
                <w:color w:val="auto"/>
              </w:rPr>
            </w:pPr>
          </w:p>
        </w:tc>
        <w:tc>
          <w:tcPr>
            <w:tcW w:w="1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(952,507)</w:t>
            </w:r>
          </w:p>
        </w:tc>
        <w:tc>
          <w:tcPr>
            <w:tcW w:w="100" w:type="dxa"/>
            <w:vAlign w:val="bottom"/>
            <w:shd w:val="clear" w:color="auto" w:fill="DCE2EF"/>
          </w:tcPr>
          <w:p>
            <w:pPr>
              <w:spacing w:after="0"/>
              <w:rPr>
                <w:sz w:val="19"/>
                <w:szCs w:val="19"/>
                <w:color w:val="auto"/>
              </w:rPr>
            </w:pPr>
          </w:p>
        </w:tc>
        <w:tc>
          <w:tcPr>
            <w:tcW w:w="480" w:type="dxa"/>
            <w:vAlign w:val="bottom"/>
            <w:tcBorders>
              <w:bottom w:val="single" w:sz="8" w:color="auto"/>
            </w:tcBorders>
            <w:shd w:val="clear" w:color="auto" w:fill="DCE2EF"/>
          </w:tcPr>
          <w:p>
            <w:pPr>
              <w:spacing w:after="0"/>
              <w:rPr>
                <w:sz w:val="19"/>
                <w:szCs w:val="19"/>
                <w:color w:val="auto"/>
              </w:rPr>
            </w:pP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(872,401)</w:t>
            </w:r>
          </w:p>
        </w:tc>
      </w:tr>
      <w:tr>
        <w:trPr>
          <w:trHeight w:val="250"/>
        </w:trPr>
        <w:tc>
          <w:tcPr>
            <w:tcW w:w="7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29"/>
        </w:trPr>
        <w:tc>
          <w:tcPr>
            <w:tcW w:w="7060" w:type="dxa"/>
            <w:vAlign w:val="bottom"/>
            <w:shd w:val="clear" w:color="auto" w:fill="DCE2E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460" w:type="dxa"/>
            <w:vAlign w:val="bottom"/>
            <w:shd w:val="clear" w:color="auto" w:fill="DCE2EF"/>
          </w:tcPr>
          <w:p>
            <w:pPr>
              <w:spacing w:after="0"/>
              <w:rPr>
                <w:sz w:val="19"/>
                <w:szCs w:val="19"/>
                <w:color w:val="auto"/>
              </w:rPr>
            </w:pPr>
          </w:p>
        </w:tc>
        <w:tc>
          <w:tcPr>
            <w:tcW w:w="1680" w:type="dxa"/>
            <w:vAlign w:val="bottom"/>
            <w:gridSpan w:val="2"/>
            <w:shd w:val="clear" w:color="auto" w:fill="DCE2EF"/>
          </w:tcPr>
          <w:p>
            <w:pPr>
              <w:jc w:val="right"/>
              <w:ind w:right="120"/>
              <w:spacing w:after="0"/>
              <w:rPr>
                <w:sz w:val="20"/>
                <w:szCs w:val="20"/>
                <w:color w:val="auto"/>
              </w:rPr>
            </w:pPr>
            <w:r>
              <w:rPr>
                <w:rFonts w:ascii="Arial" w:cs="Arial" w:eastAsia="Arial" w:hAnsi="Arial"/>
                <w:sz w:val="18"/>
                <w:szCs w:val="18"/>
                <w:color w:val="auto"/>
              </w:rPr>
              <w:t>49,698,l 13</w:t>
            </w:r>
          </w:p>
        </w:tc>
        <w:tc>
          <w:tcPr>
            <w:tcW w:w="480" w:type="dxa"/>
            <w:vAlign w:val="bottom"/>
            <w:shd w:val="clear" w:color="auto" w:fill="DCE2EF"/>
          </w:tcPr>
          <w:p>
            <w:pPr>
              <w:spacing w:after="0"/>
              <w:rPr>
                <w:sz w:val="19"/>
                <w:szCs w:val="19"/>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32110413</w:t>
            </w:r>
          </w:p>
        </w:tc>
      </w:tr>
      <w:tr>
        <w:trPr>
          <w:trHeight w:val="270"/>
        </w:trPr>
        <w:tc>
          <w:tcPr>
            <w:tcW w:w="70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29"/>
        </w:trPr>
        <w:tc>
          <w:tcPr>
            <w:tcW w:w="7060" w:type="dxa"/>
            <w:vAlign w:val="bottom"/>
            <w:shd w:val="clear" w:color="auto" w:fill="DCE2EF"/>
          </w:tcPr>
          <w:p>
            <w:pPr>
              <w:ind w:left="20"/>
              <w:spacing w:after="0"/>
              <w:rPr>
                <w:sz w:val="20"/>
                <w:szCs w:val="20"/>
                <w:color w:val="auto"/>
              </w:rPr>
            </w:pPr>
            <w:r>
              <w:rPr>
                <w:rFonts w:ascii="Arial" w:cs="Arial" w:eastAsia="Arial" w:hAnsi="Arial"/>
                <w:sz w:val="18"/>
                <w:szCs w:val="18"/>
                <w:color w:val="auto"/>
              </w:rPr>
              <w:t>Provision for income taxes</w:t>
            </w:r>
          </w:p>
        </w:tc>
        <w:tc>
          <w:tcPr>
            <w:tcW w:w="460" w:type="dxa"/>
            <w:vAlign w:val="bottom"/>
            <w:tcBorders>
              <w:bottom w:val="single" w:sz="8" w:color="auto"/>
            </w:tcBorders>
            <w:shd w:val="clear" w:color="auto" w:fill="DCE2EF"/>
          </w:tcPr>
          <w:p>
            <w:pPr>
              <w:spacing w:after="0"/>
              <w:rPr>
                <w:sz w:val="19"/>
                <w:szCs w:val="19"/>
                <w:color w:val="auto"/>
              </w:rPr>
            </w:pPr>
          </w:p>
        </w:tc>
        <w:tc>
          <w:tcPr>
            <w:tcW w:w="1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1,662,161</w:t>
            </w:r>
          </w:p>
        </w:tc>
        <w:tc>
          <w:tcPr>
            <w:tcW w:w="100" w:type="dxa"/>
            <w:vAlign w:val="bottom"/>
            <w:shd w:val="clear" w:color="auto" w:fill="DCE2EF"/>
          </w:tcPr>
          <w:p>
            <w:pPr>
              <w:spacing w:after="0"/>
              <w:rPr>
                <w:sz w:val="19"/>
                <w:szCs w:val="19"/>
                <w:color w:val="auto"/>
              </w:rPr>
            </w:pPr>
          </w:p>
        </w:tc>
        <w:tc>
          <w:tcPr>
            <w:tcW w:w="480" w:type="dxa"/>
            <w:vAlign w:val="bottom"/>
            <w:tcBorders>
              <w:bottom w:val="single" w:sz="8" w:color="auto"/>
            </w:tcBorders>
            <w:shd w:val="clear" w:color="auto" w:fill="DCE2EF"/>
          </w:tcPr>
          <w:p>
            <w:pPr>
              <w:spacing w:after="0"/>
              <w:rPr>
                <w:sz w:val="19"/>
                <w:szCs w:val="19"/>
                <w:color w:val="auto"/>
              </w:rPr>
            </w:pP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1,122,294</w:t>
            </w:r>
          </w:p>
        </w:tc>
      </w:tr>
      <w:tr>
        <w:trPr>
          <w:trHeight w:val="250"/>
        </w:trPr>
        <w:tc>
          <w:tcPr>
            <w:tcW w:w="7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30"/>
        </w:trPr>
        <w:tc>
          <w:tcPr>
            <w:tcW w:w="7060" w:type="dxa"/>
            <w:vAlign w:val="bottom"/>
            <w:shd w:val="clear" w:color="auto" w:fill="DCE2EF"/>
          </w:tcPr>
          <w:p>
            <w:pPr>
              <w:ind w:left="20"/>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DCE2EF"/>
          </w:tcPr>
          <w:p>
            <w:pPr>
              <w:spacing w:after="0"/>
              <w:rPr>
                <w:sz w:val="19"/>
                <w:szCs w:val="19"/>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48,035,952</w:t>
            </w:r>
          </w:p>
        </w:tc>
        <w:tc>
          <w:tcPr>
            <w:tcW w:w="100" w:type="dxa"/>
            <w:vAlign w:val="bottom"/>
            <w:shd w:val="clear" w:color="auto" w:fill="DCE2EF"/>
          </w:tcPr>
          <w:p>
            <w:pPr>
              <w:spacing w:after="0"/>
              <w:rPr>
                <w:sz w:val="19"/>
                <w:szCs w:val="19"/>
                <w:color w:val="auto"/>
              </w:rPr>
            </w:pPr>
          </w:p>
        </w:tc>
        <w:tc>
          <w:tcPr>
            <w:tcW w:w="480" w:type="dxa"/>
            <w:vAlign w:val="bottom"/>
            <w:shd w:val="clear" w:color="auto" w:fill="DCE2EF"/>
          </w:tcPr>
          <w:p>
            <w:pPr>
              <w:spacing w:after="0"/>
              <w:rPr>
                <w:sz w:val="19"/>
                <w:szCs w:val="19"/>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30,988,119</w:t>
            </w:r>
          </w:p>
        </w:tc>
      </w:tr>
      <w:tr>
        <w:trPr>
          <w:trHeight w:val="270"/>
        </w:trPr>
        <w:tc>
          <w:tcPr>
            <w:tcW w:w="70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30"/>
        </w:trPr>
        <w:tc>
          <w:tcPr>
            <w:tcW w:w="7060" w:type="dxa"/>
            <w:vAlign w:val="bottom"/>
            <w:shd w:val="clear" w:color="auto" w:fill="DCE2EF"/>
          </w:tcPr>
          <w:p>
            <w:pPr>
              <w:ind w:left="20"/>
              <w:spacing w:after="0"/>
              <w:rPr>
                <w:sz w:val="20"/>
                <w:szCs w:val="20"/>
                <w:color w:val="auto"/>
              </w:rPr>
            </w:pPr>
            <w:r>
              <w:rPr>
                <w:rFonts w:ascii="Arial" w:cs="Arial" w:eastAsia="Arial" w:hAnsi="Arial"/>
                <w:sz w:val="18"/>
                <w:szCs w:val="18"/>
                <w:color w:val="auto"/>
              </w:rPr>
              <w:t>Retained earnings, beginning of period, as restated (see Note 16)</w:t>
            </w:r>
          </w:p>
        </w:tc>
        <w:tc>
          <w:tcPr>
            <w:tcW w:w="460" w:type="dxa"/>
            <w:vAlign w:val="bottom"/>
            <w:shd w:val="clear" w:color="auto" w:fill="DCE2EF"/>
          </w:tcPr>
          <w:p>
            <w:pPr>
              <w:spacing w:after="0"/>
              <w:rPr>
                <w:sz w:val="19"/>
                <w:szCs w:val="19"/>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36,823,667</w:t>
            </w:r>
          </w:p>
        </w:tc>
        <w:tc>
          <w:tcPr>
            <w:tcW w:w="100" w:type="dxa"/>
            <w:vAlign w:val="bottom"/>
            <w:shd w:val="clear" w:color="auto" w:fill="DCE2EF"/>
          </w:tcPr>
          <w:p>
            <w:pPr>
              <w:spacing w:after="0"/>
              <w:rPr>
                <w:sz w:val="19"/>
                <w:szCs w:val="19"/>
                <w:color w:val="auto"/>
              </w:rPr>
            </w:pPr>
          </w:p>
        </w:tc>
        <w:tc>
          <w:tcPr>
            <w:tcW w:w="480" w:type="dxa"/>
            <w:vAlign w:val="bottom"/>
            <w:shd w:val="clear" w:color="auto" w:fill="DCE2EF"/>
          </w:tcPr>
          <w:p>
            <w:pPr>
              <w:spacing w:after="0"/>
              <w:rPr>
                <w:sz w:val="19"/>
                <w:szCs w:val="19"/>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26,835,548</w:t>
            </w:r>
          </w:p>
        </w:tc>
      </w:tr>
      <w:tr>
        <w:trPr>
          <w:trHeight w:val="270"/>
        </w:trPr>
        <w:tc>
          <w:tcPr>
            <w:tcW w:w="70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30"/>
        </w:trPr>
        <w:tc>
          <w:tcPr>
            <w:tcW w:w="7060" w:type="dxa"/>
            <w:vAlign w:val="bottom"/>
            <w:shd w:val="clear" w:color="auto" w:fill="DCE2EF"/>
          </w:tcPr>
          <w:p>
            <w:pPr>
              <w:ind w:left="20"/>
              <w:spacing w:after="0"/>
              <w:rPr>
                <w:sz w:val="20"/>
                <w:szCs w:val="20"/>
                <w:color w:val="auto"/>
              </w:rPr>
            </w:pPr>
            <w:r>
              <w:rPr>
                <w:rFonts w:ascii="Arial" w:cs="Arial" w:eastAsia="Arial" w:hAnsi="Arial"/>
                <w:sz w:val="18"/>
                <w:szCs w:val="18"/>
                <w:color w:val="auto"/>
              </w:rPr>
              <w:t>Distributions paid</w:t>
            </w:r>
          </w:p>
        </w:tc>
        <w:tc>
          <w:tcPr>
            <w:tcW w:w="460" w:type="dxa"/>
            <w:vAlign w:val="bottom"/>
            <w:tcBorders>
              <w:bottom w:val="single" w:sz="8" w:color="auto"/>
            </w:tcBorders>
            <w:shd w:val="clear" w:color="auto" w:fill="DCE2EF"/>
          </w:tcPr>
          <w:p>
            <w:pPr>
              <w:spacing w:after="0"/>
              <w:rPr>
                <w:sz w:val="19"/>
                <w:szCs w:val="19"/>
                <w:color w:val="auto"/>
              </w:rPr>
            </w:pPr>
          </w:p>
        </w:tc>
        <w:tc>
          <w:tcPr>
            <w:tcW w:w="1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(25,000,000)</w:t>
            </w:r>
          </w:p>
        </w:tc>
        <w:tc>
          <w:tcPr>
            <w:tcW w:w="100" w:type="dxa"/>
            <w:vAlign w:val="bottom"/>
            <w:shd w:val="clear" w:color="auto" w:fill="DCE2EF"/>
          </w:tcPr>
          <w:p>
            <w:pPr>
              <w:spacing w:after="0"/>
              <w:rPr>
                <w:sz w:val="19"/>
                <w:szCs w:val="19"/>
                <w:color w:val="auto"/>
              </w:rPr>
            </w:pPr>
          </w:p>
        </w:tc>
        <w:tc>
          <w:tcPr>
            <w:tcW w:w="480" w:type="dxa"/>
            <w:vAlign w:val="bottom"/>
            <w:tcBorders>
              <w:bottom w:val="single" w:sz="8" w:color="auto"/>
            </w:tcBorders>
            <w:shd w:val="clear" w:color="auto" w:fill="DCE2EF"/>
          </w:tcPr>
          <w:p>
            <w:pPr>
              <w:spacing w:after="0"/>
              <w:rPr>
                <w:sz w:val="19"/>
                <w:szCs w:val="19"/>
                <w:color w:val="auto"/>
              </w:rPr>
            </w:pP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(21,000,000)</w:t>
            </w:r>
          </w:p>
        </w:tc>
      </w:tr>
      <w:tr>
        <w:trPr>
          <w:trHeight w:val="250"/>
        </w:trPr>
        <w:tc>
          <w:tcPr>
            <w:tcW w:w="7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55"/>
        </w:trPr>
        <w:tc>
          <w:tcPr>
            <w:tcW w:w="7060" w:type="dxa"/>
            <w:vAlign w:val="bottom"/>
            <w:tcBorders>
              <w:bottom w:val="single" w:sz="8" w:color="DCE2EF"/>
            </w:tcBorders>
            <w:shd w:val="clear" w:color="auto" w:fill="DCE2EF"/>
          </w:tcPr>
          <w:p>
            <w:pPr>
              <w:ind w:left="20"/>
              <w:spacing w:after="0"/>
              <w:rPr>
                <w:sz w:val="20"/>
                <w:szCs w:val="20"/>
                <w:color w:val="auto"/>
              </w:rPr>
            </w:pPr>
            <w:r>
              <w:rPr>
                <w:rFonts w:ascii="Arial" w:cs="Arial" w:eastAsia="Arial" w:hAnsi="Arial"/>
                <w:sz w:val="18"/>
                <w:szCs w:val="18"/>
                <w:color w:val="auto"/>
              </w:rPr>
              <w:t>Retained earnings, end of period</w:t>
            </w:r>
          </w:p>
        </w:tc>
        <w:tc>
          <w:tcPr>
            <w:tcW w:w="460" w:type="dxa"/>
            <w:vAlign w:val="bottom"/>
            <w:tcBorders>
              <w:bottom w:val="single" w:sz="8" w:color="auto"/>
            </w:tcBorders>
            <w:shd w:val="clear" w:color="auto" w:fill="DCE2EF"/>
          </w:tcPr>
          <w:p>
            <w:pPr>
              <w:jc w:val="right"/>
              <w:ind w:right="2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59,859,619</w:t>
            </w:r>
          </w:p>
        </w:tc>
        <w:tc>
          <w:tcPr>
            <w:tcW w:w="100" w:type="dxa"/>
            <w:vAlign w:val="bottom"/>
            <w:tcBorders>
              <w:bottom w:val="single" w:sz="8" w:color="DCE2EF"/>
            </w:tcBorders>
            <w:shd w:val="clear" w:color="auto" w:fill="DCE2EF"/>
          </w:tcPr>
          <w:p>
            <w:pPr>
              <w:spacing w:after="0"/>
              <w:rPr>
                <w:sz w:val="21"/>
                <w:szCs w:val="21"/>
                <w:color w:val="auto"/>
              </w:rPr>
            </w:pPr>
          </w:p>
        </w:tc>
        <w:tc>
          <w:tcPr>
            <w:tcW w:w="480" w:type="dxa"/>
            <w:vAlign w:val="bottom"/>
            <w:tcBorders>
              <w:bottom w:val="single" w:sz="8" w:color="auto"/>
            </w:tcBorders>
            <w:shd w:val="clear" w:color="auto" w:fill="DCE2EF"/>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36,823,667</w:t>
            </w:r>
          </w:p>
        </w:tc>
      </w:tr>
      <w:tr>
        <w:trPr>
          <w:trHeight w:val="20"/>
        </w:trPr>
        <w:tc>
          <w:tcPr>
            <w:tcW w:w="7060" w:type="dxa"/>
            <w:vAlign w:val="bottom"/>
            <w:tcBorders>
              <w:top w:val="single" w:sz="8" w:color="DCE2EF"/>
            </w:tcBorders>
          </w:tcPr>
          <w:p>
            <w:pPr>
              <w:spacing w:after="0" w:line="20" w:lineRule="exact"/>
              <w:rPr>
                <w:sz w:val="1"/>
                <w:szCs w:val="1"/>
                <w:color w:val="auto"/>
              </w:rPr>
            </w:pPr>
          </w:p>
        </w:tc>
        <w:tc>
          <w:tcPr>
            <w:tcW w:w="460" w:type="dxa"/>
            <w:vAlign w:val="bottom"/>
            <w:tcBorders>
              <w:top w:val="single" w:sz="8" w:color="DCE2EF"/>
              <w:bottom w:val="single" w:sz="8" w:color="auto"/>
            </w:tcBorders>
          </w:tcPr>
          <w:p>
            <w:pPr>
              <w:spacing w:after="0" w:line="20" w:lineRule="exact"/>
              <w:rPr>
                <w:sz w:val="1"/>
                <w:szCs w:val="1"/>
                <w:color w:val="auto"/>
              </w:rPr>
            </w:pPr>
          </w:p>
        </w:tc>
        <w:tc>
          <w:tcPr>
            <w:tcW w:w="158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480" w:type="dxa"/>
            <w:vAlign w:val="bottom"/>
            <w:tcBorders>
              <w:top w:val="single" w:sz="8" w:color="DCE2EF"/>
              <w:bottom w:val="single" w:sz="8" w:color="auto"/>
            </w:tcBorders>
          </w:tcPr>
          <w:p>
            <w:pPr>
              <w:spacing w:after="0" w:line="20" w:lineRule="exact"/>
              <w:rPr>
                <w:sz w:val="1"/>
                <w:szCs w:val="1"/>
                <w:color w:val="auto"/>
              </w:rPr>
            </w:pPr>
          </w:p>
        </w:tc>
        <w:tc>
          <w:tcPr>
            <w:tcW w:w="1560" w:type="dxa"/>
            <w:vAlign w:val="bottom"/>
            <w:tcBorders>
              <w:top w:val="single" w:sz="8" w:color="DCE2E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101010"/>
        </w:rPr>
        <w:t>The accompanying notes are an integral part of these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Exhibit 99.1</w:t>
            </w:r>
          </w:p>
        </w:tc>
      </w:tr>
      <w:tr>
        <w:trPr>
          <w:trHeight w:val="728"/>
        </w:trPr>
        <w:tc>
          <w:tcPr>
            <w:tcW w:w="3100" w:type="dxa"/>
            <w:vAlign w:val="bottom"/>
          </w:tcPr>
          <w:p>
            <w:pPr>
              <w:spacing w:after="0"/>
              <w:rPr>
                <w:sz w:val="24"/>
                <w:szCs w:val="24"/>
                <w:color w:val="auto"/>
              </w:rPr>
            </w:pPr>
          </w:p>
        </w:tc>
        <w:tc>
          <w:tcPr>
            <w:tcW w:w="6100" w:type="dxa"/>
            <w:vAlign w:val="bottom"/>
            <w:gridSpan w:val="4"/>
          </w:tcPr>
          <w:p>
            <w:pPr>
              <w:jc w:val="center"/>
              <w:ind w:right="1040"/>
              <w:spacing w:after="0"/>
              <w:rPr>
                <w:sz w:val="20"/>
                <w:szCs w:val="20"/>
                <w:color w:val="auto"/>
              </w:rPr>
            </w:pPr>
            <w:r>
              <w:rPr>
                <w:rFonts w:ascii="Arial" w:cs="Arial" w:eastAsia="Arial" w:hAnsi="Arial"/>
                <w:sz w:val="18"/>
                <w:szCs w:val="18"/>
                <w:color w:val="101010"/>
                <w:w w:val="91"/>
              </w:rPr>
              <w:t>Crown Building Maintenance Co. and Crown Energy Services, Inc.</w:t>
            </w: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16"/>
        </w:trPr>
        <w:tc>
          <w:tcPr>
            <w:tcW w:w="3100" w:type="dxa"/>
            <w:vAlign w:val="bottom"/>
          </w:tcPr>
          <w:p>
            <w:pPr>
              <w:spacing w:after="0"/>
              <w:rPr>
                <w:sz w:val="18"/>
                <w:szCs w:val="18"/>
                <w:color w:val="auto"/>
              </w:rPr>
            </w:pPr>
          </w:p>
        </w:tc>
        <w:tc>
          <w:tcPr>
            <w:tcW w:w="4680" w:type="dxa"/>
            <w:vAlign w:val="bottom"/>
            <w:gridSpan w:val="2"/>
          </w:tcPr>
          <w:p>
            <w:pPr>
              <w:jc w:val="center"/>
              <w:ind w:left="276"/>
              <w:spacing w:after="0"/>
              <w:rPr>
                <w:sz w:val="20"/>
                <w:szCs w:val="20"/>
                <w:color w:val="auto"/>
              </w:rPr>
            </w:pPr>
            <w:r>
              <w:rPr>
                <w:rFonts w:ascii="Arial" w:cs="Arial" w:eastAsia="Arial" w:hAnsi="Arial"/>
                <w:sz w:val="18"/>
                <w:szCs w:val="18"/>
                <w:color w:val="101010"/>
                <w:w w:val="90"/>
              </w:rPr>
              <w:t>dba Able Services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4680" w:type="dxa"/>
            <w:vAlign w:val="bottom"/>
            <w:gridSpan w:val="2"/>
          </w:tcPr>
          <w:p>
            <w:pPr>
              <w:jc w:val="center"/>
              <w:ind w:left="276"/>
              <w:spacing w:after="0"/>
              <w:rPr>
                <w:sz w:val="20"/>
                <w:szCs w:val="20"/>
                <w:color w:val="auto"/>
              </w:rPr>
            </w:pPr>
            <w:r>
              <w:rPr>
                <w:rFonts w:ascii="Arial" w:cs="Arial" w:eastAsia="Arial" w:hAnsi="Arial"/>
                <w:sz w:val="18"/>
                <w:szCs w:val="18"/>
                <w:color w:val="101010"/>
                <w:w w:val="90"/>
              </w:rPr>
              <w:t>Combined Statements of Cash Flows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4680" w:type="dxa"/>
            <w:vAlign w:val="bottom"/>
            <w:gridSpan w:val="2"/>
          </w:tcPr>
          <w:p>
            <w:pPr>
              <w:jc w:val="center"/>
              <w:ind w:left="276"/>
              <w:spacing w:after="0"/>
              <w:rPr>
                <w:sz w:val="20"/>
                <w:szCs w:val="20"/>
                <w:color w:val="auto"/>
              </w:rPr>
            </w:pPr>
            <w:r>
              <w:rPr>
                <w:rFonts w:ascii="Arial" w:cs="Arial" w:eastAsia="Arial" w:hAnsi="Arial"/>
                <w:sz w:val="18"/>
                <w:szCs w:val="18"/>
                <w:color w:val="101010"/>
                <w:w w:val="89"/>
              </w:rPr>
              <w:t>For the Years Ended from December 31, 2020 and 2019</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99"/>
        </w:trPr>
        <w:tc>
          <w:tcPr>
            <w:tcW w:w="31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778"/>
              <w:spacing w:after="0"/>
              <w:rPr>
                <w:sz w:val="20"/>
                <w:szCs w:val="20"/>
                <w:color w:val="auto"/>
              </w:rPr>
            </w:pPr>
            <w:r>
              <w:rPr>
                <w:rFonts w:ascii="Arial" w:cs="Arial" w:eastAsia="Arial" w:hAnsi="Arial"/>
                <w:sz w:val="16"/>
                <w:szCs w:val="16"/>
                <w:color w:val="auto"/>
              </w:rPr>
              <w:t>2019</w:t>
            </w:r>
          </w:p>
        </w:tc>
      </w:tr>
      <w:tr>
        <w:trPr>
          <w:trHeight w:val="199"/>
        </w:trPr>
        <w:tc>
          <w:tcPr>
            <w:tcW w:w="3100" w:type="dxa"/>
            <w:vAlign w:val="bottom"/>
          </w:tcPr>
          <w:p>
            <w:pPr>
              <w:ind w:left="20"/>
              <w:spacing w:after="0"/>
              <w:rPr>
                <w:sz w:val="20"/>
                <w:szCs w:val="20"/>
                <w:color w:val="auto"/>
              </w:rPr>
            </w:pPr>
            <w:r>
              <w:rPr>
                <w:rFonts w:ascii="Arial" w:cs="Arial" w:eastAsia="Arial" w:hAnsi="Arial"/>
                <w:sz w:val="16"/>
                <w:szCs w:val="16"/>
                <w:color w:val="auto"/>
              </w:rPr>
              <w:t>Cash flows from operating activities</w:t>
            </w:r>
          </w:p>
        </w:tc>
        <w:tc>
          <w:tcPr>
            <w:tcW w:w="3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9"/>
        </w:trPr>
        <w:tc>
          <w:tcPr>
            <w:tcW w:w="3100" w:type="dxa"/>
            <w:vAlign w:val="bottom"/>
            <w:shd w:val="clear" w:color="auto" w:fill="DCE2EF"/>
          </w:tcPr>
          <w:p>
            <w:pPr>
              <w:ind w:left="140"/>
              <w:spacing w:after="0"/>
              <w:rPr>
                <w:sz w:val="20"/>
                <w:szCs w:val="20"/>
                <w:color w:val="auto"/>
              </w:rPr>
            </w:pPr>
            <w:r>
              <w:rPr>
                <w:rFonts w:ascii="Arial" w:cs="Arial" w:eastAsia="Arial" w:hAnsi="Arial"/>
                <w:sz w:val="16"/>
                <w:szCs w:val="16"/>
                <w:color w:val="auto"/>
              </w:rPr>
              <w:t>Net income</w:t>
            </w:r>
          </w:p>
        </w:tc>
        <w:tc>
          <w:tcPr>
            <w:tcW w:w="4680" w:type="dxa"/>
            <w:vAlign w:val="bottom"/>
            <w:gridSpan w:val="2"/>
            <w:shd w:val="clear" w:color="auto" w:fill="DCE2EF"/>
          </w:tcPr>
          <w:p>
            <w:pPr>
              <w:jc w:val="right"/>
              <w:ind w:right="6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48,035,952</w:t>
            </w:r>
          </w:p>
        </w:tc>
        <w:tc>
          <w:tcPr>
            <w:tcW w:w="100" w:type="dxa"/>
            <w:vAlign w:val="bottom"/>
            <w:shd w:val="clear" w:color="auto" w:fill="DCE2EF"/>
          </w:tcPr>
          <w:p>
            <w:pPr>
              <w:spacing w:after="0"/>
              <w:rPr>
                <w:sz w:val="19"/>
                <w:szCs w:val="19"/>
                <w:color w:val="auto"/>
              </w:rPr>
            </w:pPr>
          </w:p>
        </w:tc>
        <w:tc>
          <w:tcPr>
            <w:tcW w:w="480" w:type="dxa"/>
            <w:vAlign w:val="bottom"/>
            <w:shd w:val="clear" w:color="auto" w:fill="DCE2EF"/>
          </w:tcPr>
          <w:p>
            <w:pPr>
              <w:ind w:left="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30,988,119</w:t>
            </w:r>
          </w:p>
        </w:tc>
      </w:tr>
      <w:tr>
        <w:trPr>
          <w:trHeight w:val="213"/>
        </w:trPr>
        <w:tc>
          <w:tcPr>
            <w:tcW w:w="7780" w:type="dxa"/>
            <w:vAlign w:val="bottom"/>
            <w:gridSpan w:val="3"/>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3100" w:type="dxa"/>
            <w:vAlign w:val="bottom"/>
            <w:shd w:val="clear" w:color="auto" w:fill="DCE2EF"/>
          </w:tcPr>
          <w:p>
            <w:pPr>
              <w:ind w:left="240"/>
              <w:spacing w:after="0"/>
              <w:rPr>
                <w:sz w:val="20"/>
                <w:szCs w:val="20"/>
                <w:color w:val="auto"/>
              </w:rPr>
            </w:pPr>
            <w:r>
              <w:rPr>
                <w:rFonts w:ascii="Arial" w:cs="Arial" w:eastAsia="Arial" w:hAnsi="Arial"/>
                <w:sz w:val="16"/>
                <w:szCs w:val="16"/>
                <w:color w:val="auto"/>
              </w:rPr>
              <w:t>Depreciation</w:t>
            </w:r>
          </w:p>
        </w:tc>
        <w:tc>
          <w:tcPr>
            <w:tcW w:w="3960" w:type="dxa"/>
            <w:vAlign w:val="bottom"/>
            <w:shd w:val="clear" w:color="auto" w:fill="DCE2EF"/>
          </w:tcPr>
          <w:p>
            <w:pPr>
              <w:spacing w:after="0"/>
              <w:rPr>
                <w:sz w:val="19"/>
                <w:szCs w:val="19"/>
                <w:color w:val="auto"/>
              </w:rPr>
            </w:pPr>
          </w:p>
        </w:tc>
        <w:tc>
          <w:tcPr>
            <w:tcW w:w="720" w:type="dxa"/>
            <w:vAlign w:val="bottom"/>
            <w:shd w:val="clear" w:color="auto" w:fill="DCE2EF"/>
          </w:tcPr>
          <w:p>
            <w:pPr>
              <w:spacing w:after="0"/>
              <w:rPr>
                <w:sz w:val="19"/>
                <w:szCs w:val="19"/>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627,369</w:t>
            </w:r>
          </w:p>
        </w:tc>
        <w:tc>
          <w:tcPr>
            <w:tcW w:w="100" w:type="dxa"/>
            <w:vAlign w:val="bottom"/>
            <w:shd w:val="clear" w:color="auto" w:fill="DCE2EF"/>
          </w:tcPr>
          <w:p>
            <w:pPr>
              <w:spacing w:after="0"/>
              <w:rPr>
                <w:sz w:val="19"/>
                <w:szCs w:val="19"/>
                <w:color w:val="auto"/>
              </w:rPr>
            </w:pPr>
          </w:p>
        </w:tc>
        <w:tc>
          <w:tcPr>
            <w:tcW w:w="480" w:type="dxa"/>
            <w:vAlign w:val="bottom"/>
            <w:shd w:val="clear" w:color="auto" w:fill="DCE2EF"/>
          </w:tcPr>
          <w:p>
            <w:pPr>
              <w:spacing w:after="0"/>
              <w:rPr>
                <w:sz w:val="19"/>
                <w:szCs w:val="19"/>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781,571</w:t>
            </w:r>
          </w:p>
        </w:tc>
      </w:tr>
      <w:tr>
        <w:trPr>
          <w:trHeight w:val="213"/>
        </w:trPr>
        <w:tc>
          <w:tcPr>
            <w:tcW w:w="3100" w:type="dxa"/>
            <w:vAlign w:val="bottom"/>
          </w:tcPr>
          <w:p>
            <w:pPr>
              <w:ind w:left="240"/>
              <w:spacing w:after="0"/>
              <w:rPr>
                <w:sz w:val="20"/>
                <w:szCs w:val="20"/>
                <w:color w:val="auto"/>
              </w:rPr>
            </w:pPr>
            <w:r>
              <w:rPr>
                <w:rFonts w:ascii="Arial" w:cs="Arial" w:eastAsia="Arial" w:hAnsi="Arial"/>
                <w:sz w:val="16"/>
                <w:szCs w:val="16"/>
                <w:color w:val="auto"/>
              </w:rPr>
              <w:t>Amortization</w:t>
            </w:r>
          </w:p>
        </w:tc>
        <w:tc>
          <w:tcPr>
            <w:tcW w:w="3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1,393,323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1,393,323</w:t>
            </w:r>
          </w:p>
        </w:tc>
      </w:tr>
      <w:tr>
        <w:trPr>
          <w:trHeight w:val="219"/>
        </w:trPr>
        <w:tc>
          <w:tcPr>
            <w:tcW w:w="3100" w:type="dxa"/>
            <w:vAlign w:val="bottom"/>
            <w:shd w:val="clear" w:color="auto" w:fill="DCE2EF"/>
          </w:tcPr>
          <w:p>
            <w:pPr>
              <w:ind w:left="240"/>
              <w:spacing w:after="0"/>
              <w:rPr>
                <w:sz w:val="20"/>
                <w:szCs w:val="20"/>
                <w:color w:val="auto"/>
              </w:rPr>
            </w:pPr>
            <w:r>
              <w:rPr>
                <w:rFonts w:ascii="Arial" w:cs="Arial" w:eastAsia="Arial" w:hAnsi="Arial"/>
                <w:sz w:val="16"/>
                <w:szCs w:val="16"/>
                <w:color w:val="auto"/>
                <w:w w:val="93"/>
              </w:rPr>
              <w:t>Interest accrued on loans from shareholder</w:t>
            </w:r>
          </w:p>
        </w:tc>
        <w:tc>
          <w:tcPr>
            <w:tcW w:w="3960" w:type="dxa"/>
            <w:vAlign w:val="bottom"/>
            <w:shd w:val="clear" w:color="auto" w:fill="DCE2EF"/>
          </w:tcPr>
          <w:p>
            <w:pPr>
              <w:spacing w:after="0"/>
              <w:rPr>
                <w:sz w:val="19"/>
                <w:szCs w:val="19"/>
                <w:color w:val="auto"/>
              </w:rPr>
            </w:pPr>
          </w:p>
        </w:tc>
        <w:tc>
          <w:tcPr>
            <w:tcW w:w="720" w:type="dxa"/>
            <w:vAlign w:val="bottom"/>
            <w:shd w:val="clear" w:color="auto" w:fill="DCE2EF"/>
          </w:tcPr>
          <w:p>
            <w:pPr>
              <w:spacing w:after="0"/>
              <w:rPr>
                <w:sz w:val="19"/>
                <w:szCs w:val="19"/>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985,611</w:t>
            </w:r>
          </w:p>
        </w:tc>
        <w:tc>
          <w:tcPr>
            <w:tcW w:w="100" w:type="dxa"/>
            <w:vAlign w:val="bottom"/>
            <w:shd w:val="clear" w:color="auto" w:fill="DCE2EF"/>
          </w:tcPr>
          <w:p>
            <w:pPr>
              <w:spacing w:after="0"/>
              <w:rPr>
                <w:sz w:val="19"/>
                <w:szCs w:val="19"/>
                <w:color w:val="auto"/>
              </w:rPr>
            </w:pPr>
          </w:p>
        </w:tc>
        <w:tc>
          <w:tcPr>
            <w:tcW w:w="480" w:type="dxa"/>
            <w:vAlign w:val="bottom"/>
            <w:shd w:val="clear" w:color="auto" w:fill="DCE2EF"/>
          </w:tcPr>
          <w:p>
            <w:pPr>
              <w:spacing w:after="0"/>
              <w:rPr>
                <w:sz w:val="19"/>
                <w:szCs w:val="19"/>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989,348</w:t>
            </w:r>
          </w:p>
        </w:tc>
      </w:tr>
      <w:tr>
        <w:trPr>
          <w:trHeight w:val="213"/>
        </w:trPr>
        <w:tc>
          <w:tcPr>
            <w:tcW w:w="3100" w:type="dxa"/>
            <w:vAlign w:val="bottom"/>
          </w:tcPr>
          <w:p>
            <w:pPr>
              <w:ind w:left="240"/>
              <w:spacing w:after="0"/>
              <w:rPr>
                <w:sz w:val="20"/>
                <w:szCs w:val="20"/>
                <w:color w:val="auto"/>
              </w:rPr>
            </w:pPr>
            <w:r>
              <w:rPr>
                <w:rFonts w:ascii="Arial" w:cs="Arial" w:eastAsia="Arial" w:hAnsi="Arial"/>
                <w:sz w:val="16"/>
                <w:szCs w:val="16"/>
                <w:color w:val="auto"/>
                <w:w w:val="95"/>
              </w:rPr>
              <w:t>Changes in operating assets and liabilities</w:t>
            </w:r>
          </w:p>
        </w:tc>
        <w:tc>
          <w:tcPr>
            <w:tcW w:w="3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3100" w:type="dxa"/>
            <w:vAlign w:val="bottom"/>
            <w:shd w:val="clear" w:color="auto" w:fill="DCE2EF"/>
          </w:tcPr>
          <w:p>
            <w:pPr>
              <w:ind w:left="360"/>
              <w:spacing w:after="0"/>
              <w:rPr>
                <w:sz w:val="20"/>
                <w:szCs w:val="20"/>
                <w:color w:val="auto"/>
              </w:rPr>
            </w:pPr>
            <w:r>
              <w:rPr>
                <w:rFonts w:ascii="Arial" w:cs="Arial" w:eastAsia="Arial" w:hAnsi="Arial"/>
                <w:sz w:val="16"/>
                <w:szCs w:val="16"/>
                <w:color w:val="auto"/>
              </w:rPr>
              <w:t>Accounts receivable</w:t>
            </w:r>
          </w:p>
        </w:tc>
        <w:tc>
          <w:tcPr>
            <w:tcW w:w="3960" w:type="dxa"/>
            <w:vAlign w:val="bottom"/>
            <w:shd w:val="clear" w:color="auto" w:fill="DCE2EF"/>
          </w:tcPr>
          <w:p>
            <w:pPr>
              <w:spacing w:after="0"/>
              <w:rPr>
                <w:sz w:val="19"/>
                <w:szCs w:val="19"/>
                <w:color w:val="auto"/>
              </w:rPr>
            </w:pPr>
          </w:p>
        </w:tc>
        <w:tc>
          <w:tcPr>
            <w:tcW w:w="720" w:type="dxa"/>
            <w:vAlign w:val="bottom"/>
            <w:shd w:val="clear" w:color="auto" w:fill="DCE2EF"/>
          </w:tcPr>
          <w:p>
            <w:pPr>
              <w:spacing w:after="0"/>
              <w:rPr>
                <w:sz w:val="19"/>
                <w:szCs w:val="19"/>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13,204,637</w:t>
            </w:r>
          </w:p>
        </w:tc>
        <w:tc>
          <w:tcPr>
            <w:tcW w:w="100" w:type="dxa"/>
            <w:vAlign w:val="bottom"/>
            <w:shd w:val="clear" w:color="auto" w:fill="DCE2EF"/>
          </w:tcPr>
          <w:p>
            <w:pPr>
              <w:spacing w:after="0"/>
              <w:rPr>
                <w:sz w:val="19"/>
                <w:szCs w:val="19"/>
                <w:color w:val="auto"/>
              </w:rPr>
            </w:pPr>
          </w:p>
        </w:tc>
        <w:tc>
          <w:tcPr>
            <w:tcW w:w="480" w:type="dxa"/>
            <w:vAlign w:val="bottom"/>
            <w:shd w:val="clear" w:color="auto" w:fill="DCE2EF"/>
          </w:tcPr>
          <w:p>
            <w:pPr>
              <w:spacing w:after="0"/>
              <w:rPr>
                <w:sz w:val="19"/>
                <w:szCs w:val="19"/>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(11,302,658)</w:t>
            </w:r>
          </w:p>
        </w:tc>
      </w:tr>
      <w:tr>
        <w:trPr>
          <w:trHeight w:val="213"/>
        </w:trPr>
        <w:tc>
          <w:tcPr>
            <w:tcW w:w="3100" w:type="dxa"/>
            <w:vAlign w:val="bottom"/>
          </w:tcPr>
          <w:p>
            <w:pPr>
              <w:ind w:left="360"/>
              <w:spacing w:after="0"/>
              <w:rPr>
                <w:sz w:val="20"/>
                <w:szCs w:val="20"/>
                <w:color w:val="auto"/>
              </w:rPr>
            </w:pPr>
            <w:r>
              <w:rPr>
                <w:rFonts w:ascii="Arial" w:cs="Arial" w:eastAsia="Arial" w:hAnsi="Arial"/>
                <w:sz w:val="16"/>
                <w:szCs w:val="16"/>
                <w:color w:val="auto"/>
                <w:w w:val="94"/>
              </w:rPr>
              <w:t>Miscellaneous deposits and other assets</w:t>
            </w:r>
          </w:p>
        </w:tc>
        <w:tc>
          <w:tcPr>
            <w:tcW w:w="3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1,177,237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(884,784)</w:t>
            </w:r>
          </w:p>
        </w:tc>
      </w:tr>
      <w:tr>
        <w:trPr>
          <w:trHeight w:val="219"/>
        </w:trPr>
        <w:tc>
          <w:tcPr>
            <w:tcW w:w="3100" w:type="dxa"/>
            <w:vAlign w:val="bottom"/>
            <w:shd w:val="clear" w:color="auto" w:fill="DCE2EF"/>
          </w:tcPr>
          <w:p>
            <w:pPr>
              <w:ind w:left="360"/>
              <w:spacing w:after="0"/>
              <w:rPr>
                <w:sz w:val="20"/>
                <w:szCs w:val="20"/>
                <w:color w:val="auto"/>
              </w:rPr>
            </w:pPr>
            <w:r>
              <w:rPr>
                <w:rFonts w:ascii="Arial" w:cs="Arial" w:eastAsia="Arial" w:hAnsi="Arial"/>
                <w:sz w:val="16"/>
                <w:szCs w:val="16"/>
                <w:color w:val="auto"/>
              </w:rPr>
              <w:t>Accounts payable</w:t>
            </w:r>
          </w:p>
        </w:tc>
        <w:tc>
          <w:tcPr>
            <w:tcW w:w="3960" w:type="dxa"/>
            <w:vAlign w:val="bottom"/>
            <w:shd w:val="clear" w:color="auto" w:fill="DCE2EF"/>
          </w:tcPr>
          <w:p>
            <w:pPr>
              <w:spacing w:after="0"/>
              <w:rPr>
                <w:sz w:val="19"/>
                <w:szCs w:val="19"/>
                <w:color w:val="auto"/>
              </w:rPr>
            </w:pPr>
          </w:p>
        </w:tc>
        <w:tc>
          <w:tcPr>
            <w:tcW w:w="720" w:type="dxa"/>
            <w:vAlign w:val="bottom"/>
            <w:shd w:val="clear" w:color="auto" w:fill="DCE2EF"/>
          </w:tcPr>
          <w:p>
            <w:pPr>
              <w:spacing w:after="0"/>
              <w:rPr>
                <w:sz w:val="19"/>
                <w:szCs w:val="19"/>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(990,018)</w:t>
            </w:r>
          </w:p>
        </w:tc>
        <w:tc>
          <w:tcPr>
            <w:tcW w:w="100" w:type="dxa"/>
            <w:vAlign w:val="bottom"/>
            <w:shd w:val="clear" w:color="auto" w:fill="DCE2EF"/>
          </w:tcPr>
          <w:p>
            <w:pPr>
              <w:spacing w:after="0"/>
              <w:rPr>
                <w:sz w:val="19"/>
                <w:szCs w:val="19"/>
                <w:color w:val="auto"/>
              </w:rPr>
            </w:pPr>
          </w:p>
        </w:tc>
        <w:tc>
          <w:tcPr>
            <w:tcW w:w="480" w:type="dxa"/>
            <w:vAlign w:val="bottom"/>
            <w:shd w:val="clear" w:color="auto" w:fill="DCE2EF"/>
          </w:tcPr>
          <w:p>
            <w:pPr>
              <w:spacing w:after="0"/>
              <w:rPr>
                <w:sz w:val="19"/>
                <w:szCs w:val="19"/>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236,592</w:t>
            </w:r>
          </w:p>
        </w:tc>
      </w:tr>
      <w:tr>
        <w:trPr>
          <w:trHeight w:val="213"/>
        </w:trPr>
        <w:tc>
          <w:tcPr>
            <w:tcW w:w="3100" w:type="dxa"/>
            <w:vAlign w:val="bottom"/>
          </w:tcPr>
          <w:p>
            <w:pPr>
              <w:ind w:left="360"/>
              <w:spacing w:after="0"/>
              <w:rPr>
                <w:sz w:val="20"/>
                <w:szCs w:val="20"/>
                <w:color w:val="auto"/>
              </w:rPr>
            </w:pPr>
            <w:r>
              <w:rPr>
                <w:rFonts w:ascii="Arial" w:cs="Arial" w:eastAsia="Arial" w:hAnsi="Arial"/>
                <w:sz w:val="16"/>
                <w:szCs w:val="16"/>
                <w:color w:val="auto"/>
              </w:rPr>
              <w:t>Accrued liabilities</w:t>
            </w:r>
          </w:p>
        </w:tc>
        <w:tc>
          <w:tcPr>
            <w:tcW w:w="3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25,832,260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2,872,960</w:t>
            </w:r>
          </w:p>
        </w:tc>
      </w:tr>
      <w:tr>
        <w:trPr>
          <w:trHeight w:val="219"/>
        </w:trPr>
        <w:tc>
          <w:tcPr>
            <w:tcW w:w="7780" w:type="dxa"/>
            <w:vAlign w:val="bottom"/>
            <w:gridSpan w:val="3"/>
            <w:shd w:val="clear" w:color="auto" w:fill="DCE2EF"/>
          </w:tcPr>
          <w:p>
            <w:pPr>
              <w:ind w:left="360"/>
              <w:spacing w:after="0"/>
              <w:rPr>
                <w:sz w:val="20"/>
                <w:szCs w:val="20"/>
                <w:color w:val="auto"/>
              </w:rPr>
            </w:pPr>
            <w:r>
              <w:rPr>
                <w:rFonts w:ascii="Arial" w:cs="Arial" w:eastAsia="Arial" w:hAnsi="Arial"/>
                <w:sz w:val="16"/>
                <w:szCs w:val="16"/>
                <w:color w:val="auto"/>
              </w:rPr>
              <w:t>Workers' compensation and general liability loss reserve</w:t>
            </w: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9,795,394</w:t>
            </w:r>
          </w:p>
        </w:tc>
        <w:tc>
          <w:tcPr>
            <w:tcW w:w="100" w:type="dxa"/>
            <w:vAlign w:val="bottom"/>
            <w:shd w:val="clear" w:color="auto" w:fill="DCE2EF"/>
          </w:tcPr>
          <w:p>
            <w:pPr>
              <w:spacing w:after="0"/>
              <w:rPr>
                <w:sz w:val="19"/>
                <w:szCs w:val="19"/>
                <w:color w:val="auto"/>
              </w:rPr>
            </w:pPr>
          </w:p>
        </w:tc>
        <w:tc>
          <w:tcPr>
            <w:tcW w:w="480" w:type="dxa"/>
            <w:vAlign w:val="bottom"/>
            <w:shd w:val="clear" w:color="auto" w:fill="DCE2EF"/>
          </w:tcPr>
          <w:p>
            <w:pPr>
              <w:spacing w:after="0"/>
              <w:rPr>
                <w:sz w:val="19"/>
                <w:szCs w:val="19"/>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8,396,436</w:t>
            </w:r>
          </w:p>
        </w:tc>
      </w:tr>
      <w:tr>
        <w:trPr>
          <w:trHeight w:val="213"/>
        </w:trPr>
        <w:tc>
          <w:tcPr>
            <w:tcW w:w="3100" w:type="dxa"/>
            <w:vAlign w:val="bottom"/>
            <w:tcBorders>
              <w:bottom w:val="single" w:sz="8" w:color="DCE2EF"/>
            </w:tcBorders>
          </w:tcPr>
          <w:p>
            <w:pPr>
              <w:ind w:left="360"/>
              <w:spacing w:after="0"/>
              <w:rPr>
                <w:sz w:val="20"/>
                <w:szCs w:val="20"/>
                <w:color w:val="auto"/>
              </w:rPr>
            </w:pPr>
            <w:r>
              <w:rPr>
                <w:rFonts w:ascii="Arial" w:cs="Arial" w:eastAsia="Arial" w:hAnsi="Arial"/>
                <w:sz w:val="16"/>
                <w:szCs w:val="16"/>
                <w:color w:val="auto"/>
              </w:rPr>
              <w:t>Deferred compensation plan liability</w:t>
            </w:r>
          </w:p>
        </w:tc>
        <w:tc>
          <w:tcPr>
            <w:tcW w:w="3960" w:type="dxa"/>
            <w:vAlign w:val="bottom"/>
            <w:tcBorders>
              <w:bottom w:val="single" w:sz="8" w:color="DCE2E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1,091,982</w:t>
            </w:r>
          </w:p>
        </w:tc>
        <w:tc>
          <w:tcPr>
            <w:tcW w:w="100" w:type="dxa"/>
            <w:vAlign w:val="bottom"/>
            <w:tcBorders>
              <w:bottom w:val="single" w:sz="8" w:color="DCE2E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3,037,398</w:t>
            </w:r>
          </w:p>
        </w:tc>
      </w:tr>
      <w:tr>
        <w:trPr>
          <w:trHeight w:val="209"/>
        </w:trPr>
        <w:tc>
          <w:tcPr>
            <w:tcW w:w="3100" w:type="dxa"/>
            <w:vAlign w:val="bottom"/>
            <w:shd w:val="clear" w:color="auto" w:fill="DCE2E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960" w:type="dxa"/>
            <w:vAlign w:val="bottom"/>
            <w:shd w:val="clear" w:color="auto" w:fill="DCE2EF"/>
          </w:tcPr>
          <w:p>
            <w:pPr>
              <w:spacing w:after="0"/>
              <w:rPr>
                <w:sz w:val="18"/>
                <w:szCs w:val="18"/>
                <w:color w:val="auto"/>
              </w:rPr>
            </w:pPr>
          </w:p>
        </w:tc>
        <w:tc>
          <w:tcPr>
            <w:tcW w:w="720" w:type="dxa"/>
            <w:vAlign w:val="bottom"/>
            <w:tcBorders>
              <w:bottom w:val="single" w:sz="8" w:color="auto"/>
            </w:tcBorders>
            <w:shd w:val="clear" w:color="auto" w:fill="DCE2EF"/>
          </w:tcPr>
          <w:p>
            <w:pPr>
              <w:spacing w:after="0"/>
              <w:rPr>
                <w:sz w:val="18"/>
                <w:szCs w:val="18"/>
                <w:color w:val="auto"/>
              </w:rPr>
            </w:pPr>
          </w:p>
        </w:tc>
        <w:tc>
          <w:tcPr>
            <w:tcW w:w="13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101,153,747</w:t>
            </w:r>
          </w:p>
        </w:tc>
        <w:tc>
          <w:tcPr>
            <w:tcW w:w="100" w:type="dxa"/>
            <w:vAlign w:val="bottom"/>
            <w:shd w:val="clear" w:color="auto" w:fill="DCE2EF"/>
          </w:tcPr>
          <w:p>
            <w:pPr>
              <w:spacing w:after="0"/>
              <w:rPr>
                <w:sz w:val="18"/>
                <w:szCs w:val="18"/>
                <w:color w:val="auto"/>
              </w:rPr>
            </w:pPr>
          </w:p>
        </w:tc>
        <w:tc>
          <w:tcPr>
            <w:tcW w:w="480" w:type="dxa"/>
            <w:vAlign w:val="bottom"/>
            <w:tcBorders>
              <w:bottom w:val="single" w:sz="8" w:color="auto"/>
            </w:tcBorders>
            <w:shd w:val="clear" w:color="auto" w:fill="DCE2EF"/>
          </w:tcPr>
          <w:p>
            <w:pPr>
              <w:spacing w:after="0"/>
              <w:rPr>
                <w:sz w:val="18"/>
                <w:szCs w:val="18"/>
                <w:color w:val="auto"/>
              </w:rPr>
            </w:pP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36,508,305</w:t>
            </w:r>
          </w:p>
        </w:tc>
      </w:tr>
      <w:tr>
        <w:trPr>
          <w:trHeight w:val="253"/>
        </w:trPr>
        <w:tc>
          <w:tcPr>
            <w:tcW w:w="31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16"/>
        </w:trPr>
        <w:tc>
          <w:tcPr>
            <w:tcW w:w="3100" w:type="dxa"/>
            <w:vAlign w:val="bottom"/>
            <w:shd w:val="clear" w:color="auto" w:fill="DCE2EF"/>
          </w:tcPr>
          <w:p>
            <w:pPr>
              <w:ind w:left="20"/>
              <w:spacing w:after="0"/>
              <w:rPr>
                <w:sz w:val="20"/>
                <w:szCs w:val="20"/>
                <w:color w:val="auto"/>
              </w:rPr>
            </w:pPr>
            <w:r>
              <w:rPr>
                <w:rFonts w:ascii="Arial" w:cs="Arial" w:eastAsia="Arial" w:hAnsi="Arial"/>
                <w:sz w:val="16"/>
                <w:szCs w:val="16"/>
                <w:color w:val="auto"/>
              </w:rPr>
              <w:t>Cash flows from investing activities</w:t>
            </w:r>
          </w:p>
        </w:tc>
        <w:tc>
          <w:tcPr>
            <w:tcW w:w="3960" w:type="dxa"/>
            <w:vAlign w:val="bottom"/>
            <w:shd w:val="clear" w:color="auto" w:fill="DCE2EF"/>
          </w:tcPr>
          <w:p>
            <w:pPr>
              <w:spacing w:after="0"/>
              <w:rPr>
                <w:sz w:val="18"/>
                <w:szCs w:val="18"/>
                <w:color w:val="auto"/>
              </w:rPr>
            </w:pPr>
          </w:p>
        </w:tc>
        <w:tc>
          <w:tcPr>
            <w:tcW w:w="720" w:type="dxa"/>
            <w:vAlign w:val="bottom"/>
            <w:shd w:val="clear" w:color="auto" w:fill="DCE2EF"/>
          </w:tcPr>
          <w:p>
            <w:pPr>
              <w:spacing w:after="0"/>
              <w:rPr>
                <w:sz w:val="18"/>
                <w:szCs w:val="18"/>
                <w:color w:val="auto"/>
              </w:rPr>
            </w:pPr>
          </w:p>
        </w:tc>
        <w:tc>
          <w:tcPr>
            <w:tcW w:w="13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480" w:type="dxa"/>
            <w:vAlign w:val="bottom"/>
            <w:shd w:val="clear" w:color="auto" w:fill="DCE2EF"/>
          </w:tcPr>
          <w:p>
            <w:pPr>
              <w:spacing w:after="0"/>
              <w:rPr>
                <w:sz w:val="18"/>
                <w:szCs w:val="18"/>
                <w:color w:val="auto"/>
              </w:rPr>
            </w:pPr>
          </w:p>
        </w:tc>
        <w:tc>
          <w:tcPr>
            <w:tcW w:w="1560" w:type="dxa"/>
            <w:vAlign w:val="bottom"/>
            <w:shd w:val="clear" w:color="auto" w:fill="DCE2EF"/>
          </w:tcPr>
          <w:p>
            <w:pPr>
              <w:spacing w:after="0"/>
              <w:rPr>
                <w:sz w:val="18"/>
                <w:szCs w:val="18"/>
                <w:color w:val="auto"/>
              </w:rPr>
            </w:pPr>
          </w:p>
        </w:tc>
      </w:tr>
      <w:tr>
        <w:trPr>
          <w:trHeight w:val="213"/>
        </w:trPr>
        <w:tc>
          <w:tcPr>
            <w:tcW w:w="3100" w:type="dxa"/>
            <w:vAlign w:val="bottom"/>
            <w:tcBorders>
              <w:bottom w:val="single" w:sz="8" w:color="DCE2EF"/>
            </w:tcBorders>
          </w:tcPr>
          <w:p>
            <w:pPr>
              <w:ind w:left="140"/>
              <w:spacing w:after="0"/>
              <w:rPr>
                <w:sz w:val="20"/>
                <w:szCs w:val="20"/>
                <w:color w:val="auto"/>
              </w:rPr>
            </w:pPr>
            <w:r>
              <w:rPr>
                <w:rFonts w:ascii="Arial" w:cs="Arial" w:eastAsia="Arial" w:hAnsi="Arial"/>
                <w:sz w:val="16"/>
                <w:szCs w:val="16"/>
                <w:color w:val="auto"/>
              </w:rPr>
              <w:t>Purchases of property and equipment</w:t>
            </w:r>
          </w:p>
        </w:tc>
        <w:tc>
          <w:tcPr>
            <w:tcW w:w="3960" w:type="dxa"/>
            <w:vAlign w:val="bottom"/>
            <w:tcBorders>
              <w:bottom w:val="single" w:sz="8" w:color="DCE2E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(416,644)</w:t>
            </w:r>
          </w:p>
        </w:tc>
        <w:tc>
          <w:tcPr>
            <w:tcW w:w="100" w:type="dxa"/>
            <w:vAlign w:val="bottom"/>
            <w:tcBorders>
              <w:bottom w:val="single" w:sz="8" w:color="DCE2E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(421,036)</w:t>
            </w:r>
          </w:p>
        </w:tc>
      </w:tr>
      <w:tr>
        <w:trPr>
          <w:trHeight w:val="213"/>
        </w:trPr>
        <w:tc>
          <w:tcPr>
            <w:tcW w:w="3100" w:type="dxa"/>
            <w:vAlign w:val="bottom"/>
            <w:shd w:val="clear" w:color="auto" w:fill="DCE2EF"/>
          </w:tcPr>
          <w:p>
            <w:pPr>
              <w:ind w:left="20"/>
              <w:spacing w:after="0"/>
              <w:rPr>
                <w:sz w:val="20"/>
                <w:szCs w:val="20"/>
                <w:color w:val="auto"/>
              </w:rPr>
            </w:pPr>
            <w:r>
              <w:rPr>
                <w:rFonts w:ascii="Arial" w:cs="Arial" w:eastAsia="Arial" w:hAnsi="Arial"/>
                <w:sz w:val="16"/>
                <w:szCs w:val="16"/>
                <w:color w:val="auto"/>
              </w:rPr>
              <w:t>Net cash used in investing activities</w:t>
            </w:r>
          </w:p>
        </w:tc>
        <w:tc>
          <w:tcPr>
            <w:tcW w:w="3960" w:type="dxa"/>
            <w:vAlign w:val="bottom"/>
            <w:shd w:val="clear" w:color="auto" w:fill="DCE2EF"/>
          </w:tcPr>
          <w:p>
            <w:pPr>
              <w:spacing w:after="0"/>
              <w:rPr>
                <w:sz w:val="18"/>
                <w:szCs w:val="18"/>
                <w:color w:val="auto"/>
              </w:rPr>
            </w:pPr>
          </w:p>
        </w:tc>
        <w:tc>
          <w:tcPr>
            <w:tcW w:w="72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(416,644)</w:t>
            </w:r>
          </w:p>
        </w:tc>
        <w:tc>
          <w:tcPr>
            <w:tcW w:w="100" w:type="dxa"/>
            <w:vAlign w:val="bottom"/>
            <w:shd w:val="clear" w:color="auto" w:fill="DCE2EF"/>
          </w:tcPr>
          <w:p>
            <w:pPr>
              <w:spacing w:after="0"/>
              <w:rPr>
                <w:sz w:val="18"/>
                <w:szCs w:val="18"/>
                <w:color w:val="auto"/>
              </w:rPr>
            </w:pPr>
          </w:p>
        </w:tc>
        <w:tc>
          <w:tcPr>
            <w:tcW w:w="480" w:type="dxa"/>
            <w:vAlign w:val="bottom"/>
            <w:shd w:val="clear" w:color="auto" w:fill="DCE2EF"/>
          </w:tcPr>
          <w:p>
            <w:pPr>
              <w:spacing w:after="0"/>
              <w:rPr>
                <w:sz w:val="18"/>
                <w:szCs w:val="18"/>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(421,036)</w:t>
            </w:r>
          </w:p>
        </w:tc>
      </w:tr>
      <w:tr>
        <w:trPr>
          <w:trHeight w:val="270"/>
        </w:trPr>
        <w:tc>
          <w:tcPr>
            <w:tcW w:w="310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16"/>
        </w:trPr>
        <w:tc>
          <w:tcPr>
            <w:tcW w:w="3100" w:type="dxa"/>
            <w:vAlign w:val="bottom"/>
            <w:shd w:val="clear" w:color="auto" w:fill="DCE2EF"/>
          </w:tcPr>
          <w:p>
            <w:pPr>
              <w:ind w:left="20"/>
              <w:spacing w:after="0"/>
              <w:rPr>
                <w:sz w:val="20"/>
                <w:szCs w:val="20"/>
                <w:color w:val="auto"/>
              </w:rPr>
            </w:pPr>
            <w:r>
              <w:rPr>
                <w:rFonts w:ascii="Arial" w:cs="Arial" w:eastAsia="Arial" w:hAnsi="Arial"/>
                <w:sz w:val="16"/>
                <w:szCs w:val="16"/>
                <w:color w:val="auto"/>
              </w:rPr>
              <w:t>Cash flows from financing activities</w:t>
            </w:r>
          </w:p>
        </w:tc>
        <w:tc>
          <w:tcPr>
            <w:tcW w:w="3960" w:type="dxa"/>
            <w:vAlign w:val="bottom"/>
            <w:shd w:val="clear" w:color="auto" w:fill="DCE2EF"/>
          </w:tcPr>
          <w:p>
            <w:pPr>
              <w:spacing w:after="0"/>
              <w:rPr>
                <w:sz w:val="18"/>
                <w:szCs w:val="18"/>
                <w:color w:val="auto"/>
              </w:rPr>
            </w:pPr>
          </w:p>
        </w:tc>
        <w:tc>
          <w:tcPr>
            <w:tcW w:w="720" w:type="dxa"/>
            <w:vAlign w:val="bottom"/>
            <w:shd w:val="clear" w:color="auto" w:fill="DCE2EF"/>
          </w:tcPr>
          <w:p>
            <w:pPr>
              <w:spacing w:after="0"/>
              <w:rPr>
                <w:sz w:val="18"/>
                <w:szCs w:val="18"/>
                <w:color w:val="auto"/>
              </w:rPr>
            </w:pPr>
          </w:p>
        </w:tc>
        <w:tc>
          <w:tcPr>
            <w:tcW w:w="13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480" w:type="dxa"/>
            <w:vAlign w:val="bottom"/>
            <w:shd w:val="clear" w:color="auto" w:fill="DCE2EF"/>
          </w:tcPr>
          <w:p>
            <w:pPr>
              <w:spacing w:after="0"/>
              <w:rPr>
                <w:sz w:val="18"/>
                <w:szCs w:val="18"/>
                <w:color w:val="auto"/>
              </w:rPr>
            </w:pPr>
          </w:p>
        </w:tc>
        <w:tc>
          <w:tcPr>
            <w:tcW w:w="1560" w:type="dxa"/>
            <w:vAlign w:val="bottom"/>
            <w:shd w:val="clear" w:color="auto" w:fill="DCE2EF"/>
          </w:tcPr>
          <w:p>
            <w:pPr>
              <w:spacing w:after="0"/>
              <w:rPr>
                <w:sz w:val="18"/>
                <w:szCs w:val="18"/>
                <w:color w:val="auto"/>
              </w:rPr>
            </w:pPr>
          </w:p>
        </w:tc>
      </w:tr>
      <w:tr>
        <w:trPr>
          <w:trHeight w:val="213"/>
        </w:trPr>
        <w:tc>
          <w:tcPr>
            <w:tcW w:w="3100" w:type="dxa"/>
            <w:vAlign w:val="bottom"/>
          </w:tcPr>
          <w:p>
            <w:pPr>
              <w:ind w:left="140"/>
              <w:spacing w:after="0"/>
              <w:rPr>
                <w:sz w:val="20"/>
                <w:szCs w:val="20"/>
                <w:color w:val="auto"/>
              </w:rPr>
            </w:pPr>
            <w:r>
              <w:rPr>
                <w:rFonts w:ascii="Arial" w:cs="Arial" w:eastAsia="Arial" w:hAnsi="Arial"/>
                <w:sz w:val="16"/>
                <w:szCs w:val="16"/>
                <w:color w:val="auto"/>
              </w:rPr>
              <w:t>Distributions paid</w:t>
            </w:r>
          </w:p>
        </w:tc>
        <w:tc>
          <w:tcPr>
            <w:tcW w:w="3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(25,000,000)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(21,000,000)</w:t>
            </w:r>
          </w:p>
        </w:tc>
      </w:tr>
      <w:tr>
        <w:trPr>
          <w:trHeight w:val="219"/>
        </w:trPr>
        <w:tc>
          <w:tcPr>
            <w:tcW w:w="3100" w:type="dxa"/>
            <w:vAlign w:val="bottom"/>
            <w:shd w:val="clear" w:color="auto" w:fill="DCE2EF"/>
          </w:tcPr>
          <w:p>
            <w:pPr>
              <w:ind w:left="140"/>
              <w:spacing w:after="0"/>
              <w:rPr>
                <w:sz w:val="20"/>
                <w:szCs w:val="20"/>
                <w:color w:val="auto"/>
              </w:rPr>
            </w:pPr>
            <w:r>
              <w:rPr>
                <w:rFonts w:ascii="Arial" w:cs="Arial" w:eastAsia="Arial" w:hAnsi="Arial"/>
                <w:sz w:val="16"/>
                <w:szCs w:val="16"/>
                <w:color w:val="auto"/>
              </w:rPr>
              <w:t>Repayment of loans from shareholder</w:t>
            </w:r>
          </w:p>
        </w:tc>
        <w:tc>
          <w:tcPr>
            <w:tcW w:w="3960" w:type="dxa"/>
            <w:vAlign w:val="bottom"/>
            <w:shd w:val="clear" w:color="auto" w:fill="DCE2EF"/>
          </w:tcPr>
          <w:p>
            <w:pPr>
              <w:spacing w:after="0"/>
              <w:rPr>
                <w:sz w:val="19"/>
                <w:szCs w:val="19"/>
                <w:color w:val="auto"/>
              </w:rPr>
            </w:pPr>
          </w:p>
        </w:tc>
        <w:tc>
          <w:tcPr>
            <w:tcW w:w="720" w:type="dxa"/>
            <w:vAlign w:val="bottom"/>
            <w:shd w:val="clear" w:color="auto" w:fill="DCE2EF"/>
          </w:tcPr>
          <w:p>
            <w:pPr>
              <w:spacing w:after="0"/>
              <w:rPr>
                <w:sz w:val="19"/>
                <w:szCs w:val="19"/>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(1,143,344)</w:t>
            </w:r>
          </w:p>
        </w:tc>
        <w:tc>
          <w:tcPr>
            <w:tcW w:w="100" w:type="dxa"/>
            <w:vAlign w:val="bottom"/>
            <w:shd w:val="clear" w:color="auto" w:fill="DCE2EF"/>
          </w:tcPr>
          <w:p>
            <w:pPr>
              <w:spacing w:after="0"/>
              <w:rPr>
                <w:sz w:val="19"/>
                <w:szCs w:val="19"/>
                <w:color w:val="auto"/>
              </w:rPr>
            </w:pPr>
          </w:p>
        </w:tc>
        <w:tc>
          <w:tcPr>
            <w:tcW w:w="480" w:type="dxa"/>
            <w:vAlign w:val="bottom"/>
            <w:shd w:val="clear" w:color="auto" w:fill="DCE2EF"/>
          </w:tcPr>
          <w:p>
            <w:pPr>
              <w:spacing w:after="0"/>
              <w:rPr>
                <w:sz w:val="19"/>
                <w:szCs w:val="19"/>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(2,071,824)</w:t>
            </w:r>
          </w:p>
        </w:tc>
      </w:tr>
      <w:tr>
        <w:trPr>
          <w:trHeight w:val="213"/>
        </w:trPr>
        <w:tc>
          <w:tcPr>
            <w:tcW w:w="3100" w:type="dxa"/>
            <w:vAlign w:val="bottom"/>
            <w:tcBorders>
              <w:bottom w:val="single" w:sz="8" w:color="DCE2EF"/>
            </w:tcBorders>
          </w:tcPr>
          <w:p>
            <w:pPr>
              <w:ind w:left="140"/>
              <w:spacing w:after="0"/>
              <w:rPr>
                <w:sz w:val="20"/>
                <w:szCs w:val="20"/>
                <w:color w:val="auto"/>
              </w:rPr>
            </w:pPr>
            <w:r>
              <w:rPr>
                <w:rFonts w:ascii="Arial" w:cs="Arial" w:eastAsia="Arial" w:hAnsi="Arial"/>
                <w:sz w:val="16"/>
                <w:szCs w:val="16"/>
                <w:color w:val="auto"/>
                <w:w w:val="97"/>
              </w:rPr>
              <w:t>Payments made on deferred consideration</w:t>
            </w:r>
          </w:p>
        </w:tc>
        <w:tc>
          <w:tcPr>
            <w:tcW w:w="3960" w:type="dxa"/>
            <w:vAlign w:val="bottom"/>
            <w:tcBorders>
              <w:bottom w:val="single" w:sz="8" w:color="DCE2E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(871,791)</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(876,086)</w:t>
            </w:r>
          </w:p>
        </w:tc>
      </w:tr>
      <w:tr>
        <w:trPr>
          <w:trHeight w:val="210"/>
        </w:trPr>
        <w:tc>
          <w:tcPr>
            <w:tcW w:w="3100" w:type="dxa"/>
            <w:vAlign w:val="bottom"/>
            <w:shd w:val="clear" w:color="auto" w:fill="DCE2EF"/>
          </w:tcPr>
          <w:p>
            <w:pPr>
              <w:ind w:left="20"/>
              <w:spacing w:after="0"/>
              <w:rPr>
                <w:sz w:val="20"/>
                <w:szCs w:val="20"/>
                <w:color w:val="auto"/>
              </w:rPr>
            </w:pPr>
            <w:r>
              <w:rPr>
                <w:rFonts w:ascii="Arial" w:cs="Arial" w:eastAsia="Arial" w:hAnsi="Arial"/>
                <w:sz w:val="16"/>
                <w:szCs w:val="16"/>
                <w:color w:val="auto"/>
              </w:rPr>
              <w:t>Net cash used in financing activities</w:t>
            </w:r>
          </w:p>
        </w:tc>
        <w:tc>
          <w:tcPr>
            <w:tcW w:w="3960" w:type="dxa"/>
            <w:vAlign w:val="bottom"/>
            <w:shd w:val="clear" w:color="auto" w:fill="DCE2EF"/>
          </w:tcPr>
          <w:p>
            <w:pPr>
              <w:spacing w:after="0"/>
              <w:rPr>
                <w:sz w:val="18"/>
                <w:szCs w:val="18"/>
                <w:color w:val="auto"/>
              </w:rPr>
            </w:pPr>
          </w:p>
        </w:tc>
        <w:tc>
          <w:tcPr>
            <w:tcW w:w="720" w:type="dxa"/>
            <w:vAlign w:val="bottom"/>
            <w:tcBorders>
              <w:bottom w:val="single" w:sz="8" w:color="auto"/>
            </w:tcBorders>
            <w:shd w:val="clear" w:color="auto" w:fill="DCE2EF"/>
          </w:tcPr>
          <w:p>
            <w:pPr>
              <w:spacing w:after="0"/>
              <w:rPr>
                <w:sz w:val="18"/>
                <w:szCs w:val="18"/>
                <w:color w:val="auto"/>
              </w:rPr>
            </w:pPr>
          </w:p>
        </w:tc>
        <w:tc>
          <w:tcPr>
            <w:tcW w:w="13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(27,015,135)</w:t>
            </w:r>
          </w:p>
        </w:tc>
        <w:tc>
          <w:tcPr>
            <w:tcW w:w="100" w:type="dxa"/>
            <w:vAlign w:val="bottom"/>
            <w:tcBorders>
              <w:bottom w:val="single" w:sz="8" w:color="auto"/>
            </w:tcBorders>
            <w:shd w:val="clear" w:color="auto" w:fill="DCE2EF"/>
          </w:tcPr>
          <w:p>
            <w:pPr>
              <w:spacing w:after="0"/>
              <w:rPr>
                <w:sz w:val="18"/>
                <w:szCs w:val="18"/>
                <w:color w:val="auto"/>
              </w:rPr>
            </w:pPr>
          </w:p>
        </w:tc>
        <w:tc>
          <w:tcPr>
            <w:tcW w:w="480" w:type="dxa"/>
            <w:vAlign w:val="bottom"/>
            <w:tcBorders>
              <w:bottom w:val="single" w:sz="8" w:color="auto"/>
            </w:tcBorders>
            <w:shd w:val="clear" w:color="auto" w:fill="DCE2EF"/>
          </w:tcPr>
          <w:p>
            <w:pPr>
              <w:spacing w:after="0"/>
              <w:rPr>
                <w:sz w:val="18"/>
                <w:szCs w:val="18"/>
                <w:color w:val="auto"/>
              </w:rPr>
            </w:pP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(23,947,910)</w:t>
            </w:r>
          </w:p>
        </w:tc>
      </w:tr>
      <w:tr>
        <w:trPr>
          <w:trHeight w:val="199"/>
        </w:trPr>
        <w:tc>
          <w:tcPr>
            <w:tcW w:w="31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6"/>
        </w:trPr>
        <w:tc>
          <w:tcPr>
            <w:tcW w:w="3100" w:type="dxa"/>
            <w:vAlign w:val="bottom"/>
            <w:shd w:val="clear" w:color="auto" w:fill="DCE2EF"/>
          </w:tcPr>
          <w:p>
            <w:pPr>
              <w:ind w:left="20"/>
              <w:spacing w:after="0"/>
              <w:rPr>
                <w:sz w:val="20"/>
                <w:szCs w:val="20"/>
                <w:color w:val="auto"/>
              </w:rPr>
            </w:pPr>
            <w:r>
              <w:rPr>
                <w:rFonts w:ascii="Arial" w:cs="Arial" w:eastAsia="Arial" w:hAnsi="Arial"/>
                <w:sz w:val="16"/>
                <w:szCs w:val="16"/>
                <w:color w:val="auto"/>
              </w:rPr>
              <w:t>Net decrease in cash and restricted cash</w:t>
            </w:r>
          </w:p>
        </w:tc>
        <w:tc>
          <w:tcPr>
            <w:tcW w:w="3960" w:type="dxa"/>
            <w:vAlign w:val="bottom"/>
            <w:shd w:val="clear" w:color="auto" w:fill="DCE2EF"/>
          </w:tcPr>
          <w:p>
            <w:pPr>
              <w:spacing w:after="0"/>
              <w:rPr>
                <w:sz w:val="18"/>
                <w:szCs w:val="18"/>
                <w:color w:val="auto"/>
              </w:rPr>
            </w:pPr>
          </w:p>
        </w:tc>
        <w:tc>
          <w:tcPr>
            <w:tcW w:w="720" w:type="dxa"/>
            <w:vAlign w:val="bottom"/>
            <w:shd w:val="clear" w:color="auto" w:fill="DCE2EF"/>
          </w:tcPr>
          <w:p>
            <w:pPr>
              <w:spacing w:after="0"/>
              <w:rPr>
                <w:sz w:val="18"/>
                <w:szCs w:val="18"/>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73,721,968</w:t>
            </w:r>
          </w:p>
        </w:tc>
        <w:tc>
          <w:tcPr>
            <w:tcW w:w="100" w:type="dxa"/>
            <w:vAlign w:val="bottom"/>
            <w:shd w:val="clear" w:color="auto" w:fill="DCE2EF"/>
          </w:tcPr>
          <w:p>
            <w:pPr>
              <w:spacing w:after="0"/>
              <w:rPr>
                <w:sz w:val="18"/>
                <w:szCs w:val="18"/>
                <w:color w:val="auto"/>
              </w:rPr>
            </w:pPr>
          </w:p>
        </w:tc>
        <w:tc>
          <w:tcPr>
            <w:tcW w:w="480" w:type="dxa"/>
            <w:vAlign w:val="bottom"/>
            <w:shd w:val="clear" w:color="auto" w:fill="DCE2EF"/>
          </w:tcPr>
          <w:p>
            <w:pPr>
              <w:spacing w:after="0"/>
              <w:rPr>
                <w:sz w:val="18"/>
                <w:szCs w:val="18"/>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12,139,359</w:t>
            </w:r>
          </w:p>
        </w:tc>
      </w:tr>
      <w:tr>
        <w:trPr>
          <w:trHeight w:val="216"/>
        </w:trPr>
        <w:tc>
          <w:tcPr>
            <w:tcW w:w="31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3"/>
        </w:trPr>
        <w:tc>
          <w:tcPr>
            <w:tcW w:w="3100" w:type="dxa"/>
            <w:vAlign w:val="bottom"/>
            <w:shd w:val="clear" w:color="auto" w:fill="DCE2EF"/>
          </w:tcPr>
          <w:p>
            <w:pPr>
              <w:ind w:left="20"/>
              <w:spacing w:after="0"/>
              <w:rPr>
                <w:sz w:val="20"/>
                <w:szCs w:val="20"/>
                <w:color w:val="auto"/>
              </w:rPr>
            </w:pPr>
            <w:r>
              <w:rPr>
                <w:rFonts w:ascii="Arial" w:cs="Arial" w:eastAsia="Arial" w:hAnsi="Arial"/>
                <w:sz w:val="16"/>
                <w:szCs w:val="16"/>
                <w:color w:val="auto"/>
                <w:w w:val="99"/>
              </w:rPr>
              <w:t>Cash and restricted cash, beginning of year</w:t>
            </w:r>
          </w:p>
        </w:tc>
        <w:tc>
          <w:tcPr>
            <w:tcW w:w="3960" w:type="dxa"/>
            <w:vAlign w:val="bottom"/>
            <w:shd w:val="clear" w:color="auto" w:fill="DCE2EF"/>
          </w:tcPr>
          <w:p>
            <w:pPr>
              <w:spacing w:after="0"/>
              <w:rPr>
                <w:sz w:val="18"/>
                <w:szCs w:val="18"/>
                <w:color w:val="auto"/>
              </w:rPr>
            </w:pPr>
          </w:p>
        </w:tc>
        <w:tc>
          <w:tcPr>
            <w:tcW w:w="720" w:type="dxa"/>
            <w:vAlign w:val="bottom"/>
            <w:tcBorders>
              <w:bottom w:val="single" w:sz="8" w:color="auto"/>
            </w:tcBorders>
            <w:shd w:val="clear" w:color="auto" w:fill="DCE2EF"/>
          </w:tcPr>
          <w:p>
            <w:pPr>
              <w:spacing w:after="0"/>
              <w:rPr>
                <w:sz w:val="18"/>
                <w:szCs w:val="18"/>
                <w:color w:val="auto"/>
              </w:rPr>
            </w:pPr>
          </w:p>
        </w:tc>
        <w:tc>
          <w:tcPr>
            <w:tcW w:w="13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59,943,644</w:t>
            </w:r>
          </w:p>
        </w:tc>
        <w:tc>
          <w:tcPr>
            <w:tcW w:w="100" w:type="dxa"/>
            <w:vAlign w:val="bottom"/>
            <w:shd w:val="clear" w:color="auto" w:fill="DCE2EF"/>
          </w:tcPr>
          <w:p>
            <w:pPr>
              <w:spacing w:after="0"/>
              <w:rPr>
                <w:sz w:val="18"/>
                <w:szCs w:val="18"/>
                <w:color w:val="auto"/>
              </w:rPr>
            </w:pPr>
          </w:p>
        </w:tc>
        <w:tc>
          <w:tcPr>
            <w:tcW w:w="480" w:type="dxa"/>
            <w:vAlign w:val="bottom"/>
            <w:tcBorders>
              <w:bottom w:val="single" w:sz="8" w:color="auto"/>
            </w:tcBorders>
            <w:shd w:val="clear" w:color="auto" w:fill="DCE2EF"/>
          </w:tcPr>
          <w:p>
            <w:pPr>
              <w:spacing w:after="0"/>
              <w:rPr>
                <w:sz w:val="18"/>
                <w:szCs w:val="18"/>
                <w:color w:val="auto"/>
              </w:rPr>
            </w:pP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47,804,285</w:t>
            </w:r>
          </w:p>
        </w:tc>
      </w:tr>
      <w:tr>
        <w:trPr>
          <w:trHeight w:val="199"/>
        </w:trPr>
        <w:tc>
          <w:tcPr>
            <w:tcW w:w="31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6"/>
        </w:trPr>
        <w:tc>
          <w:tcPr>
            <w:tcW w:w="3100" w:type="dxa"/>
            <w:vAlign w:val="bottom"/>
            <w:shd w:val="clear" w:color="auto" w:fill="DCE2EF"/>
          </w:tcPr>
          <w:p>
            <w:pPr>
              <w:ind w:left="20"/>
              <w:spacing w:after="0"/>
              <w:rPr>
                <w:sz w:val="20"/>
                <w:szCs w:val="20"/>
                <w:color w:val="auto"/>
              </w:rPr>
            </w:pPr>
            <w:r>
              <w:rPr>
                <w:rFonts w:ascii="Arial" w:cs="Arial" w:eastAsia="Arial" w:hAnsi="Arial"/>
                <w:sz w:val="16"/>
                <w:szCs w:val="16"/>
                <w:color w:val="auto"/>
              </w:rPr>
              <w:t>Cash and restricted cash, end of year</w:t>
            </w:r>
          </w:p>
        </w:tc>
        <w:tc>
          <w:tcPr>
            <w:tcW w:w="4680" w:type="dxa"/>
            <w:vAlign w:val="bottom"/>
            <w:gridSpan w:val="2"/>
            <w:shd w:val="clear" w:color="auto" w:fill="DCE2EF"/>
          </w:tcPr>
          <w:p>
            <w:pPr>
              <w:jc w:val="right"/>
              <w:ind w:right="6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133,665,612</w:t>
            </w:r>
          </w:p>
        </w:tc>
        <w:tc>
          <w:tcPr>
            <w:tcW w:w="100" w:type="dxa"/>
            <w:vAlign w:val="bottom"/>
            <w:shd w:val="clear" w:color="auto" w:fill="DCE2EF"/>
          </w:tcPr>
          <w:p>
            <w:pPr>
              <w:spacing w:after="0"/>
              <w:rPr>
                <w:sz w:val="20"/>
                <w:szCs w:val="20"/>
                <w:color w:val="auto"/>
              </w:rPr>
            </w:pPr>
          </w:p>
        </w:tc>
        <w:tc>
          <w:tcPr>
            <w:tcW w:w="480" w:type="dxa"/>
            <w:vAlign w:val="bottom"/>
            <w:shd w:val="clear" w:color="auto" w:fill="DCE2EF"/>
          </w:tcPr>
          <w:p>
            <w:pPr>
              <w:ind w:left="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592,943,544</w:t>
            </w:r>
          </w:p>
        </w:tc>
      </w:tr>
      <w:tr>
        <w:trPr>
          <w:trHeight w:val="20"/>
        </w:trPr>
        <w:tc>
          <w:tcPr>
            <w:tcW w:w="7060" w:type="dxa"/>
            <w:vAlign w:val="bottom"/>
            <w:tcBorders>
              <w:top w:val="single" w:sz="8" w:color="DCE2EF"/>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31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16"/>
        </w:trPr>
        <w:tc>
          <w:tcPr>
            <w:tcW w:w="778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Cash and restricted cash consisted of the following:</w:t>
            </w:r>
          </w:p>
        </w:tc>
        <w:tc>
          <w:tcPr>
            <w:tcW w:w="13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480" w:type="dxa"/>
            <w:vAlign w:val="bottom"/>
            <w:shd w:val="clear" w:color="auto" w:fill="DCE2EF"/>
          </w:tcPr>
          <w:p>
            <w:pPr>
              <w:spacing w:after="0"/>
              <w:rPr>
                <w:sz w:val="18"/>
                <w:szCs w:val="18"/>
                <w:color w:val="auto"/>
              </w:rPr>
            </w:pPr>
          </w:p>
        </w:tc>
        <w:tc>
          <w:tcPr>
            <w:tcW w:w="1560" w:type="dxa"/>
            <w:vAlign w:val="bottom"/>
            <w:shd w:val="clear" w:color="auto" w:fill="DCE2EF"/>
          </w:tcPr>
          <w:p>
            <w:pPr>
              <w:spacing w:after="0"/>
              <w:rPr>
                <w:sz w:val="18"/>
                <w:szCs w:val="18"/>
                <w:color w:val="auto"/>
              </w:rPr>
            </w:pPr>
          </w:p>
        </w:tc>
      </w:tr>
      <w:tr>
        <w:trPr>
          <w:trHeight w:val="213"/>
        </w:trPr>
        <w:tc>
          <w:tcPr>
            <w:tcW w:w="3100" w:type="dxa"/>
            <w:vAlign w:val="bottom"/>
          </w:tcPr>
          <w:p>
            <w:pPr>
              <w:ind w:left="140"/>
              <w:spacing w:after="0"/>
              <w:rPr>
                <w:sz w:val="20"/>
                <w:szCs w:val="20"/>
                <w:color w:val="auto"/>
              </w:rPr>
            </w:pPr>
            <w:r>
              <w:rPr>
                <w:rFonts w:ascii="Arial" w:cs="Arial" w:eastAsia="Arial" w:hAnsi="Arial"/>
                <w:sz w:val="16"/>
                <w:szCs w:val="16"/>
                <w:color w:val="auto"/>
              </w:rPr>
              <w:t>Cash</w:t>
            </w:r>
          </w:p>
        </w:tc>
        <w:tc>
          <w:tcPr>
            <w:tcW w:w="468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127,955,600</w:t>
            </w:r>
          </w:p>
        </w:tc>
        <w:tc>
          <w:tcPr>
            <w:tcW w:w="100" w:type="dxa"/>
            <w:vAlign w:val="bottom"/>
          </w:tcPr>
          <w:p>
            <w:pPr>
              <w:spacing w:after="0"/>
              <w:rPr>
                <w:sz w:val="18"/>
                <w:szCs w:val="18"/>
                <w:color w:val="auto"/>
              </w:rPr>
            </w:pPr>
          </w:p>
        </w:tc>
        <w:tc>
          <w:tcPr>
            <w:tcW w:w="480" w:type="dxa"/>
            <w:vAlign w:val="bottom"/>
          </w:tcPr>
          <w:p>
            <w:pPr>
              <w:ind w:left="2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54,527,326</w:t>
            </w:r>
          </w:p>
        </w:tc>
      </w:tr>
      <w:tr>
        <w:trPr>
          <w:trHeight w:val="216"/>
        </w:trPr>
        <w:tc>
          <w:tcPr>
            <w:tcW w:w="3100" w:type="dxa"/>
            <w:vAlign w:val="bottom"/>
            <w:shd w:val="clear" w:color="auto" w:fill="DCE2EF"/>
          </w:tcPr>
          <w:p>
            <w:pPr>
              <w:ind w:left="140"/>
              <w:spacing w:after="0"/>
              <w:rPr>
                <w:sz w:val="20"/>
                <w:szCs w:val="20"/>
                <w:color w:val="auto"/>
              </w:rPr>
            </w:pPr>
            <w:r>
              <w:rPr>
                <w:rFonts w:ascii="Arial" w:cs="Arial" w:eastAsia="Arial" w:hAnsi="Arial"/>
                <w:sz w:val="16"/>
                <w:szCs w:val="16"/>
                <w:color w:val="auto"/>
              </w:rPr>
              <w:t>Restricted cash</w:t>
            </w:r>
          </w:p>
        </w:tc>
        <w:tc>
          <w:tcPr>
            <w:tcW w:w="3960" w:type="dxa"/>
            <w:vAlign w:val="bottom"/>
            <w:shd w:val="clear" w:color="auto" w:fill="DCE2EF"/>
          </w:tcPr>
          <w:p>
            <w:pPr>
              <w:spacing w:after="0"/>
              <w:rPr>
                <w:sz w:val="18"/>
                <w:szCs w:val="18"/>
                <w:color w:val="auto"/>
              </w:rPr>
            </w:pPr>
          </w:p>
        </w:tc>
        <w:tc>
          <w:tcPr>
            <w:tcW w:w="720" w:type="dxa"/>
            <w:vAlign w:val="bottom"/>
            <w:tcBorders>
              <w:bottom w:val="single" w:sz="8" w:color="auto"/>
            </w:tcBorders>
            <w:shd w:val="clear" w:color="auto" w:fill="DCE2EF"/>
          </w:tcPr>
          <w:p>
            <w:pPr>
              <w:spacing w:after="0"/>
              <w:rPr>
                <w:sz w:val="18"/>
                <w:szCs w:val="18"/>
                <w:color w:val="auto"/>
              </w:rPr>
            </w:pPr>
          </w:p>
        </w:tc>
        <w:tc>
          <w:tcPr>
            <w:tcW w:w="13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5,710,012</w:t>
            </w:r>
          </w:p>
        </w:tc>
        <w:tc>
          <w:tcPr>
            <w:tcW w:w="100" w:type="dxa"/>
            <w:vAlign w:val="bottom"/>
            <w:shd w:val="clear" w:color="auto" w:fill="DCE2EF"/>
          </w:tcPr>
          <w:p>
            <w:pPr>
              <w:spacing w:after="0"/>
              <w:rPr>
                <w:sz w:val="18"/>
                <w:szCs w:val="18"/>
                <w:color w:val="auto"/>
              </w:rPr>
            </w:pPr>
          </w:p>
        </w:tc>
        <w:tc>
          <w:tcPr>
            <w:tcW w:w="480" w:type="dxa"/>
            <w:vAlign w:val="bottom"/>
            <w:tcBorders>
              <w:bottom w:val="single" w:sz="8" w:color="auto"/>
            </w:tcBorders>
            <w:shd w:val="clear" w:color="auto" w:fill="DCE2EF"/>
          </w:tcPr>
          <w:p>
            <w:pPr>
              <w:spacing w:after="0"/>
              <w:rPr>
                <w:sz w:val="18"/>
                <w:szCs w:val="18"/>
                <w:color w:val="auto"/>
              </w:rPr>
            </w:pP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5,416,318</w:t>
            </w:r>
          </w:p>
        </w:tc>
      </w:tr>
      <w:tr>
        <w:trPr>
          <w:trHeight w:val="226"/>
        </w:trPr>
        <w:tc>
          <w:tcPr>
            <w:tcW w:w="3100" w:type="dxa"/>
            <w:vAlign w:val="bottom"/>
          </w:tcPr>
          <w:p>
            <w:pPr>
              <w:spacing w:after="0"/>
              <w:rPr>
                <w:sz w:val="19"/>
                <w:szCs w:val="19"/>
                <w:color w:val="auto"/>
              </w:rPr>
            </w:pPr>
          </w:p>
        </w:tc>
        <w:tc>
          <w:tcPr>
            <w:tcW w:w="468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133,665,612</w:t>
            </w:r>
          </w:p>
        </w:tc>
        <w:tc>
          <w:tcPr>
            <w:tcW w:w="10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59,943,644</w:t>
            </w:r>
          </w:p>
        </w:tc>
      </w:tr>
      <w:tr>
        <w:trPr>
          <w:trHeight w:val="20"/>
        </w:trPr>
        <w:tc>
          <w:tcPr>
            <w:tcW w:w="31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811"/>
        </w:trPr>
        <w:tc>
          <w:tcPr>
            <w:tcW w:w="3100" w:type="dxa"/>
            <w:vAlign w:val="bottom"/>
          </w:tcPr>
          <w:p>
            <w:pPr>
              <w:spacing w:after="0"/>
              <w:rPr>
                <w:sz w:val="24"/>
                <w:szCs w:val="24"/>
                <w:color w:val="auto"/>
              </w:rPr>
            </w:pPr>
          </w:p>
        </w:tc>
        <w:tc>
          <w:tcPr>
            <w:tcW w:w="4680" w:type="dxa"/>
            <w:vAlign w:val="bottom"/>
            <w:gridSpan w:val="2"/>
          </w:tcPr>
          <w:p>
            <w:pPr>
              <w:jc w:val="center"/>
              <w:ind w:left="296"/>
              <w:spacing w:after="0"/>
              <w:rPr>
                <w:sz w:val="20"/>
                <w:szCs w:val="20"/>
                <w:color w:val="auto"/>
              </w:rPr>
            </w:pPr>
            <w:r>
              <w:rPr>
                <w:rFonts w:ascii="Arial" w:cs="Arial" w:eastAsia="Arial" w:hAnsi="Arial"/>
                <w:sz w:val="16"/>
                <w:szCs w:val="16"/>
                <w:color w:val="auto"/>
                <w:w w:val="92"/>
              </w:rPr>
              <w:t>Supplemental disclosures of cash flow information</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63"/>
        </w:trPr>
        <w:tc>
          <w:tcPr>
            <w:tcW w:w="31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16"/>
        </w:trPr>
        <w:tc>
          <w:tcPr>
            <w:tcW w:w="3100" w:type="dxa"/>
            <w:vAlign w:val="bottom"/>
            <w:shd w:val="clear" w:color="auto" w:fill="DCE2EF"/>
          </w:tcPr>
          <w:p>
            <w:pPr>
              <w:ind w:left="20"/>
              <w:spacing w:after="0"/>
              <w:rPr>
                <w:sz w:val="20"/>
                <w:szCs w:val="20"/>
                <w:color w:val="auto"/>
              </w:rPr>
            </w:pPr>
            <w:r>
              <w:rPr>
                <w:rFonts w:ascii="Arial" w:cs="Arial" w:eastAsia="Arial" w:hAnsi="Arial"/>
                <w:sz w:val="16"/>
                <w:szCs w:val="16"/>
                <w:color w:val="auto"/>
              </w:rPr>
              <w:t>Cash paid during the six month period for</w:t>
            </w:r>
          </w:p>
        </w:tc>
        <w:tc>
          <w:tcPr>
            <w:tcW w:w="3960" w:type="dxa"/>
            <w:vAlign w:val="bottom"/>
            <w:shd w:val="clear" w:color="auto" w:fill="DCE2EF"/>
          </w:tcPr>
          <w:p>
            <w:pPr>
              <w:spacing w:after="0"/>
              <w:rPr>
                <w:sz w:val="18"/>
                <w:szCs w:val="18"/>
                <w:color w:val="auto"/>
              </w:rPr>
            </w:pPr>
          </w:p>
        </w:tc>
        <w:tc>
          <w:tcPr>
            <w:tcW w:w="720" w:type="dxa"/>
            <w:vAlign w:val="bottom"/>
            <w:shd w:val="clear" w:color="auto" w:fill="DCE2EF"/>
          </w:tcPr>
          <w:p>
            <w:pPr>
              <w:spacing w:after="0"/>
              <w:rPr>
                <w:sz w:val="18"/>
                <w:szCs w:val="18"/>
                <w:color w:val="auto"/>
              </w:rPr>
            </w:pPr>
          </w:p>
        </w:tc>
        <w:tc>
          <w:tcPr>
            <w:tcW w:w="13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480" w:type="dxa"/>
            <w:vAlign w:val="bottom"/>
            <w:shd w:val="clear" w:color="auto" w:fill="DCE2EF"/>
          </w:tcPr>
          <w:p>
            <w:pPr>
              <w:spacing w:after="0"/>
              <w:rPr>
                <w:sz w:val="18"/>
                <w:szCs w:val="18"/>
                <w:color w:val="auto"/>
              </w:rPr>
            </w:pPr>
          </w:p>
        </w:tc>
        <w:tc>
          <w:tcPr>
            <w:tcW w:w="1560" w:type="dxa"/>
            <w:vAlign w:val="bottom"/>
            <w:shd w:val="clear" w:color="auto" w:fill="DCE2EF"/>
          </w:tcPr>
          <w:p>
            <w:pPr>
              <w:spacing w:after="0"/>
              <w:rPr>
                <w:sz w:val="18"/>
                <w:szCs w:val="18"/>
                <w:color w:val="auto"/>
              </w:rPr>
            </w:pPr>
          </w:p>
        </w:tc>
      </w:tr>
      <w:tr>
        <w:trPr>
          <w:trHeight w:val="213"/>
        </w:trPr>
        <w:tc>
          <w:tcPr>
            <w:tcW w:w="3100" w:type="dxa"/>
            <w:vAlign w:val="bottom"/>
          </w:tcPr>
          <w:p>
            <w:pPr>
              <w:ind w:left="140"/>
              <w:spacing w:after="0"/>
              <w:rPr>
                <w:sz w:val="20"/>
                <w:szCs w:val="20"/>
                <w:color w:val="auto"/>
              </w:rPr>
            </w:pPr>
            <w:r>
              <w:rPr>
                <w:rFonts w:ascii="Arial" w:cs="Arial" w:eastAsia="Arial" w:hAnsi="Arial"/>
                <w:sz w:val="16"/>
                <w:szCs w:val="16"/>
                <w:color w:val="auto"/>
              </w:rPr>
              <w:t>Income taxes</w:t>
            </w:r>
          </w:p>
        </w:tc>
        <w:tc>
          <w:tcPr>
            <w:tcW w:w="468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1,442,994</w:t>
            </w:r>
          </w:p>
        </w:tc>
        <w:tc>
          <w:tcPr>
            <w:tcW w:w="100" w:type="dxa"/>
            <w:vAlign w:val="bottom"/>
          </w:tcPr>
          <w:p>
            <w:pPr>
              <w:spacing w:after="0"/>
              <w:rPr>
                <w:sz w:val="18"/>
                <w:szCs w:val="18"/>
                <w:color w:val="auto"/>
              </w:rPr>
            </w:pPr>
          </w:p>
        </w:tc>
        <w:tc>
          <w:tcPr>
            <w:tcW w:w="480" w:type="dxa"/>
            <w:vAlign w:val="bottom"/>
          </w:tcPr>
          <w:p>
            <w:pPr>
              <w:ind w:left="2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1,350,593</w:t>
            </w:r>
          </w:p>
        </w:tc>
      </w:tr>
      <w:tr>
        <w:trPr>
          <w:trHeight w:val="219"/>
        </w:trPr>
        <w:tc>
          <w:tcPr>
            <w:tcW w:w="3100" w:type="dxa"/>
            <w:vAlign w:val="bottom"/>
            <w:shd w:val="clear" w:color="auto" w:fill="DCE2EF"/>
          </w:tcPr>
          <w:p>
            <w:pPr>
              <w:ind w:left="140"/>
              <w:spacing w:after="0"/>
              <w:rPr>
                <w:sz w:val="20"/>
                <w:szCs w:val="20"/>
                <w:color w:val="auto"/>
              </w:rPr>
            </w:pPr>
            <w:r>
              <w:rPr>
                <w:rFonts w:ascii="Arial" w:cs="Arial" w:eastAsia="Arial" w:hAnsi="Arial"/>
                <w:sz w:val="16"/>
                <w:szCs w:val="16"/>
                <w:color w:val="auto"/>
              </w:rPr>
              <w:t>Interest</w:t>
            </w:r>
          </w:p>
        </w:tc>
        <w:tc>
          <w:tcPr>
            <w:tcW w:w="4680" w:type="dxa"/>
            <w:vAlign w:val="bottom"/>
            <w:gridSpan w:val="2"/>
            <w:shd w:val="clear" w:color="auto" w:fill="DCE2EF"/>
          </w:tcPr>
          <w:p>
            <w:pPr>
              <w:jc w:val="right"/>
              <w:ind w:right="6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224,837</w:t>
            </w:r>
          </w:p>
        </w:tc>
        <w:tc>
          <w:tcPr>
            <w:tcW w:w="100" w:type="dxa"/>
            <w:vAlign w:val="bottom"/>
            <w:shd w:val="clear" w:color="auto" w:fill="DCE2EF"/>
          </w:tcPr>
          <w:p>
            <w:pPr>
              <w:spacing w:after="0"/>
              <w:rPr>
                <w:sz w:val="19"/>
                <w:szCs w:val="19"/>
                <w:color w:val="auto"/>
              </w:rPr>
            </w:pPr>
          </w:p>
        </w:tc>
        <w:tc>
          <w:tcPr>
            <w:tcW w:w="480" w:type="dxa"/>
            <w:vAlign w:val="bottom"/>
            <w:shd w:val="clear" w:color="auto" w:fill="DCE2EF"/>
          </w:tcPr>
          <w:p>
            <w:pPr>
              <w:ind w:left="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100,901</w:t>
            </w:r>
          </w:p>
        </w:tc>
      </w:tr>
    </w:tbl>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101010"/>
        </w:rPr>
        <w:t>The accompanying notes are an integral part of these combined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1"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Crown Building Maintenance Co. and Crown Energy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dba Able Services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Combined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2020 and 2019</w:t>
      </w:r>
    </w:p>
    <w:p>
      <w:pPr>
        <w:spacing w:after="0" w:line="400"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NATURE OF OPERATIONS</w:t>
      </w:r>
    </w:p>
    <w:p>
      <w:pPr>
        <w:spacing w:after="0" w:line="252"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Able Services is comprised of Crown Building Maintenance Co. dba Able Building Maintenance Co. ("BM") and Crown Energy Services, Inc. dba Able Engineering Services ("AES") collectively, the ("Company").</w:t>
      </w:r>
    </w:p>
    <w:p>
      <w:pPr>
        <w:spacing w:after="0" w:line="197" w:lineRule="exact"/>
        <w:rPr>
          <w:rFonts w:ascii="Arial" w:cs="Arial" w:eastAsia="Arial" w:hAnsi="Arial"/>
          <w:sz w:val="18"/>
          <w:szCs w:val="18"/>
          <w:color w:val="auto"/>
        </w:rPr>
      </w:pPr>
    </w:p>
    <w:p>
      <w:pPr>
        <w:ind w:left="340" w:right="20"/>
        <w:spacing w:after="0" w:line="277" w:lineRule="auto"/>
        <w:rPr>
          <w:rFonts w:ascii="Arial" w:cs="Arial" w:eastAsia="Arial" w:hAnsi="Arial"/>
          <w:sz w:val="18"/>
          <w:szCs w:val="18"/>
          <w:color w:val="auto"/>
        </w:rPr>
      </w:pPr>
      <w:r>
        <w:rPr>
          <w:rFonts w:ascii="Arial" w:cs="Arial" w:eastAsia="Arial" w:hAnsi="Arial"/>
          <w:sz w:val="18"/>
          <w:szCs w:val="18"/>
          <w:color w:val="auto"/>
        </w:rPr>
        <w:t>BM is engaged primarily in the business of providing janitorial services in California, Texas, Illinois, Oregon, New York and various other states to commercial and residential clients.</w:t>
      </w:r>
    </w:p>
    <w:p>
      <w:pPr>
        <w:spacing w:after="0" w:line="197" w:lineRule="exact"/>
        <w:rPr>
          <w:rFonts w:ascii="Arial" w:cs="Arial" w:eastAsia="Arial" w:hAnsi="Arial"/>
          <w:sz w:val="18"/>
          <w:szCs w:val="18"/>
          <w:color w:val="auto"/>
        </w:rPr>
      </w:pPr>
    </w:p>
    <w:p>
      <w:pPr>
        <w:jc w:val="both"/>
        <w:ind w:left="340"/>
        <w:spacing w:after="0" w:line="286" w:lineRule="auto"/>
        <w:rPr>
          <w:rFonts w:ascii="Arial" w:cs="Arial" w:eastAsia="Arial" w:hAnsi="Arial"/>
          <w:sz w:val="18"/>
          <w:szCs w:val="18"/>
          <w:color w:val="auto"/>
        </w:rPr>
      </w:pPr>
      <w:r>
        <w:rPr>
          <w:rFonts w:ascii="Arial" w:cs="Arial" w:eastAsia="Arial" w:hAnsi="Arial"/>
          <w:sz w:val="17"/>
          <w:szCs w:val="17"/>
          <w:color w:val="auto"/>
        </w:rPr>
        <w:t>AES provides engineers and technical support to maintain a commercial building's mechanical, electrical, utility systems and equipment. AES' primary objective is to achieve maximum operational efficiency while balancing the need for environmental comfort, cost effectiveness, convenience and safety. AES presently provides services in California, Texas, Illinois, Oregon, New York and various other states.</w:t>
      </w:r>
    </w:p>
    <w:p>
      <w:pPr>
        <w:spacing w:after="0" w:line="192" w:lineRule="exact"/>
        <w:rPr>
          <w:rFonts w:ascii="Arial" w:cs="Arial" w:eastAsia="Arial" w:hAnsi="Arial"/>
          <w:sz w:val="18"/>
          <w:szCs w:val="18"/>
          <w:color w:val="auto"/>
        </w:rPr>
      </w:pPr>
    </w:p>
    <w:p>
      <w:pPr>
        <w:jc w:val="both"/>
        <w:ind w:left="340"/>
        <w:spacing w:after="0" w:line="263" w:lineRule="auto"/>
        <w:rPr>
          <w:rFonts w:ascii="Arial" w:cs="Arial" w:eastAsia="Arial" w:hAnsi="Arial"/>
          <w:sz w:val="18"/>
          <w:szCs w:val="18"/>
          <w:color w:val="auto"/>
        </w:rPr>
      </w:pPr>
      <w:r>
        <w:rPr>
          <w:rFonts w:ascii="Arial" w:cs="Arial" w:eastAsia="Arial" w:hAnsi="Arial"/>
          <w:sz w:val="18"/>
          <w:szCs w:val="18"/>
          <w:color w:val="auto"/>
        </w:rPr>
        <w:t>During 2014, AES and BM each acquired 250,000 shares of common stock of AbleServe Management Company ("AbleServe") representing an ownership interest of 50% for each entity. AbleServe provides management, administrative, and operational services for BM and AES. All significant intercompany balances and transactions have been eliminated.</w:t>
      </w:r>
    </w:p>
    <w:p>
      <w:pPr>
        <w:spacing w:after="0" w:line="210" w:lineRule="exact"/>
        <w:rPr>
          <w:rFonts w:ascii="Arial" w:cs="Arial" w:eastAsia="Arial" w:hAnsi="Arial"/>
          <w:sz w:val="18"/>
          <w:szCs w:val="18"/>
          <w:color w:val="auto"/>
        </w:rPr>
      </w:pPr>
    </w:p>
    <w:p>
      <w:pPr>
        <w:ind w:left="340" w:right="6460" w:hanging="332"/>
        <w:spacing w:after="0" w:line="53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SUMMARY OF SIGNIFICANT ACCOUNTING POLICIES </w:t>
      </w:r>
      <w:r>
        <w:rPr>
          <w:rFonts w:ascii="Arial" w:cs="Arial" w:eastAsia="Arial" w:hAnsi="Arial"/>
          <w:sz w:val="18"/>
          <w:szCs w:val="18"/>
          <w:u w:val="single" w:color="auto"/>
          <w:color w:val="auto"/>
        </w:rPr>
        <w:t>Basis of combination and presentation</w:t>
      </w: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The combined financial statements include the combined accounts of BM and AES which are under common ownership. All significant intercompany balances and transactions have been eliminated.</w:t>
      </w:r>
    </w:p>
    <w:p>
      <w:pPr>
        <w:spacing w:after="0" w:line="19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u w:val="single" w:color="auto"/>
          <w:color w:val="auto"/>
        </w:rPr>
        <w:t>Concentration of credit risk</w:t>
      </w:r>
    </w:p>
    <w:p>
      <w:pPr>
        <w:spacing w:after="0" w:line="252" w:lineRule="exact"/>
        <w:rPr>
          <w:rFonts w:ascii="Arial" w:cs="Arial" w:eastAsia="Arial" w:hAnsi="Arial"/>
          <w:sz w:val="18"/>
          <w:szCs w:val="18"/>
          <w:color w:val="auto"/>
        </w:rPr>
      </w:pPr>
    </w:p>
    <w:p>
      <w:pPr>
        <w:jc w:val="both"/>
        <w:ind w:left="340"/>
        <w:spacing w:after="0" w:line="263" w:lineRule="auto"/>
        <w:rPr>
          <w:rFonts w:ascii="Arial" w:cs="Arial" w:eastAsia="Arial" w:hAnsi="Arial"/>
          <w:sz w:val="18"/>
          <w:szCs w:val="18"/>
          <w:color w:val="auto"/>
        </w:rPr>
      </w:pPr>
      <w:r>
        <w:rPr>
          <w:rFonts w:ascii="Arial" w:cs="Arial" w:eastAsia="Arial" w:hAnsi="Arial"/>
          <w:sz w:val="18"/>
          <w:szCs w:val="18"/>
          <w:color w:val="auto"/>
        </w:rPr>
        <w:t>The Company maintains cash balances primarily in one financial institution in Northern California. Accounts at this institution are insured by the Federal Deposit Insurance Corporation up to $250,000. At December 31, 2020 and 2019, cash on deposit reported by the financial institutions exceeded the 2021 federally insured amount.</w:t>
      </w:r>
    </w:p>
    <w:p>
      <w:pPr>
        <w:spacing w:after="0" w:line="210" w:lineRule="exact"/>
        <w:rPr>
          <w:rFonts w:ascii="Arial" w:cs="Arial" w:eastAsia="Arial" w:hAnsi="Arial"/>
          <w:sz w:val="18"/>
          <w:szCs w:val="18"/>
          <w:color w:val="auto"/>
        </w:rPr>
      </w:pPr>
    </w:p>
    <w:p>
      <w:pPr>
        <w:jc w:val="both"/>
        <w:ind w:left="340"/>
        <w:spacing w:after="0" w:line="286" w:lineRule="auto"/>
        <w:rPr>
          <w:rFonts w:ascii="Arial" w:cs="Arial" w:eastAsia="Arial" w:hAnsi="Arial"/>
          <w:sz w:val="18"/>
          <w:szCs w:val="18"/>
          <w:color w:val="auto"/>
        </w:rPr>
      </w:pPr>
      <w:r>
        <w:rPr>
          <w:rFonts w:ascii="Arial" w:cs="Arial" w:eastAsia="Arial" w:hAnsi="Arial"/>
          <w:sz w:val="17"/>
          <w:szCs w:val="17"/>
          <w:color w:val="auto"/>
        </w:rPr>
        <w:t>Financial instruments that potentially subject the Company to concentrations of credit risk consist principally of trade accounts receivable. Credit risk is limited due to the large customer base, the credit worthiness of the customers, and the strength of the companies. Management uses direct write off procedures for bad debts and believes that minimal exposure exists for losses from credit risks.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1"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Crown Building Maintenance Co. and Crown Energy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dba Able Services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Combined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2020 and 2019</w:t>
      </w:r>
    </w:p>
    <w:p>
      <w:pPr>
        <w:spacing w:after="0" w:line="400" w:lineRule="exact"/>
        <w:rPr>
          <w:sz w:val="20"/>
          <w:szCs w:val="20"/>
          <w:color w:val="auto"/>
        </w:rPr>
      </w:pPr>
    </w:p>
    <w:p>
      <w:pPr>
        <w:ind w:left="340" w:right="5600" w:hanging="332"/>
        <w:spacing w:after="0" w:line="53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SUMMARY OF SIGNIFICANT ACCOUNTING POLICIES (continued) </w:t>
      </w:r>
      <w:r>
        <w:rPr>
          <w:rFonts w:ascii="Arial" w:cs="Arial" w:eastAsia="Arial" w:hAnsi="Arial"/>
          <w:sz w:val="18"/>
          <w:szCs w:val="18"/>
          <w:u w:val="single" w:color="auto"/>
          <w:color w:val="auto"/>
        </w:rPr>
        <w:t>Cash and cash equivalents</w:t>
      </w:r>
    </w:p>
    <w:p>
      <w:pPr>
        <w:jc w:val="both"/>
        <w:ind w:left="340"/>
        <w:spacing w:after="0" w:line="263" w:lineRule="auto"/>
        <w:rPr>
          <w:rFonts w:ascii="Arial" w:cs="Arial" w:eastAsia="Arial" w:hAnsi="Arial"/>
          <w:sz w:val="18"/>
          <w:szCs w:val="18"/>
          <w:color w:val="auto"/>
        </w:rPr>
      </w:pPr>
      <w:r>
        <w:rPr>
          <w:rFonts w:ascii="Arial" w:cs="Arial" w:eastAsia="Arial" w:hAnsi="Arial"/>
          <w:sz w:val="18"/>
          <w:szCs w:val="18"/>
          <w:color w:val="auto"/>
        </w:rPr>
        <w:t>The Company considers short-term highly liquid-investments with an original maturity of three months or less to be cash equivalents. Cash and cash equivalents consist primarily of checking and short-term investments. The Company places its cash and temporary cash investments with high credit quality institutions. As of December 31, 2020 and 2019, the Company only held cash.</w:t>
      </w:r>
    </w:p>
    <w:p>
      <w:pPr>
        <w:spacing w:after="0" w:line="21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u w:val="single" w:color="auto"/>
          <w:color w:val="auto"/>
        </w:rPr>
        <w:t>Restricted cash</w:t>
      </w:r>
    </w:p>
    <w:p>
      <w:pPr>
        <w:spacing w:after="0" w:line="252" w:lineRule="exact"/>
        <w:rPr>
          <w:rFonts w:ascii="Arial" w:cs="Arial" w:eastAsia="Arial" w:hAnsi="Arial"/>
          <w:sz w:val="18"/>
          <w:szCs w:val="18"/>
          <w:color w:val="auto"/>
        </w:rPr>
      </w:pPr>
    </w:p>
    <w:p>
      <w:pPr>
        <w:ind w:left="340"/>
        <w:spacing w:after="0" w:line="308" w:lineRule="auto"/>
        <w:rPr>
          <w:rFonts w:ascii="Arial" w:cs="Arial" w:eastAsia="Arial" w:hAnsi="Arial"/>
          <w:sz w:val="18"/>
          <w:szCs w:val="18"/>
          <w:color w:val="auto"/>
        </w:rPr>
      </w:pPr>
      <w:r>
        <w:rPr>
          <w:rFonts w:ascii="Arial" w:cs="Arial" w:eastAsia="Arial" w:hAnsi="Arial"/>
          <w:sz w:val="17"/>
          <w:szCs w:val="17"/>
          <w:color w:val="auto"/>
        </w:rPr>
        <w:t>The Company had $5,710,012 and $5,416,318 of restricted cash at December 31, 2020 and 2019, respectively. The restricted cash balances are being held by the Company's insurance carrier to meet the current obligations of the workers‘ compensation loss reserve fund.</w:t>
      </w:r>
    </w:p>
    <w:p>
      <w:pPr>
        <w:spacing w:after="0" w:line="17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u w:val="single" w:color="auto"/>
          <w:color w:val="auto"/>
        </w:rPr>
        <w:t>Allowance for doubtful accounts</w:t>
      </w:r>
    </w:p>
    <w:p>
      <w:pPr>
        <w:spacing w:after="0" w:line="252" w:lineRule="exact"/>
        <w:rPr>
          <w:rFonts w:ascii="Arial" w:cs="Arial" w:eastAsia="Arial" w:hAnsi="Arial"/>
          <w:sz w:val="18"/>
          <w:szCs w:val="18"/>
          <w:color w:val="auto"/>
        </w:rPr>
      </w:pPr>
    </w:p>
    <w:p>
      <w:pPr>
        <w:jc w:val="both"/>
        <w:ind w:left="340"/>
        <w:spacing w:after="0" w:line="271" w:lineRule="auto"/>
        <w:rPr>
          <w:rFonts w:ascii="Arial" w:cs="Arial" w:eastAsia="Arial" w:hAnsi="Arial"/>
          <w:sz w:val="18"/>
          <w:szCs w:val="18"/>
          <w:color w:val="auto"/>
        </w:rPr>
      </w:pPr>
      <w:r>
        <w:rPr>
          <w:rFonts w:ascii="Arial" w:cs="Arial" w:eastAsia="Arial" w:hAnsi="Arial"/>
          <w:sz w:val="17"/>
          <w:szCs w:val="17"/>
          <w:color w:val="auto"/>
        </w:rPr>
        <w:t>Accounts receivable are presented net of an allowance for doubtful accounts. The Company evaluates the collectability of its accounts receivable based on known collection risks and historical experience. In circumstances where the Company becomes aware of a specific customer's inability to meet its financial obligations to the Company, the Company records a specific allowance for bad debts against amounts due to reduce the net recognized receivable to the amount it reasonably believes will be collected. For all other customers, the Company records allowance for bad debts based on the length of time the receivables are past due and based on its historical experience. If circumstances change, such as higher than expected defaults or an unexpected material adverse change in a major customer's ability to meets its financial obligations, the Company's estimates of the recoverability of the amounts due could be reduced by a material amount. The allowance for doubtful accounts was $2,975,645 and $2,396,872 as of December 31, 2020 and 2019, respectively.</w:t>
      </w:r>
    </w:p>
    <w:p>
      <w:pPr>
        <w:spacing w:after="0" w:line="20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u w:val="single" w:color="auto"/>
          <w:color w:val="auto"/>
        </w:rPr>
        <w:t>Goodwill</w:t>
      </w:r>
    </w:p>
    <w:p>
      <w:pPr>
        <w:spacing w:after="0" w:line="252" w:lineRule="exact"/>
        <w:rPr>
          <w:rFonts w:ascii="Arial" w:cs="Arial" w:eastAsia="Arial" w:hAnsi="Arial"/>
          <w:sz w:val="18"/>
          <w:szCs w:val="18"/>
          <w:color w:val="auto"/>
        </w:rPr>
      </w:pPr>
    </w:p>
    <w:p>
      <w:pPr>
        <w:jc w:val="both"/>
        <w:ind w:left="340"/>
        <w:spacing w:after="0" w:line="263" w:lineRule="auto"/>
        <w:rPr>
          <w:rFonts w:ascii="Arial" w:cs="Arial" w:eastAsia="Arial" w:hAnsi="Arial"/>
          <w:sz w:val="18"/>
          <w:szCs w:val="18"/>
          <w:color w:val="auto"/>
        </w:rPr>
      </w:pPr>
      <w:r>
        <w:rPr>
          <w:rFonts w:ascii="Arial" w:cs="Arial" w:eastAsia="Arial" w:hAnsi="Arial"/>
          <w:sz w:val="18"/>
          <w:szCs w:val="18"/>
          <w:color w:val="auto"/>
        </w:rPr>
        <w:t>Goodwill is the excess of the purchase price over the fair value of net assets acquired in business combinations accounted for under the purchase method. Goodwill relates to a 2014 acquisition. Goodwill would be subject to impairment testing only upon the occurrence of a triggering event. There were no triggering events and therefore no impairment for the years ended December 31, 2020 and 2019.</w:t>
      </w:r>
    </w:p>
    <w:p>
      <w:pPr>
        <w:spacing w:after="0" w:line="21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u w:val="single" w:color="auto"/>
          <w:color w:val="auto"/>
        </w:rPr>
        <w:t>Intangible assets with estimable useful lives</w:t>
      </w:r>
    </w:p>
    <w:p>
      <w:pPr>
        <w:spacing w:after="0" w:line="252" w:lineRule="exact"/>
        <w:rPr>
          <w:rFonts w:ascii="Arial" w:cs="Arial" w:eastAsia="Arial" w:hAnsi="Arial"/>
          <w:sz w:val="18"/>
          <w:szCs w:val="18"/>
          <w:color w:val="auto"/>
        </w:rPr>
      </w:pPr>
    </w:p>
    <w:p>
      <w:pPr>
        <w:jc w:val="both"/>
        <w:ind w:left="340"/>
        <w:spacing w:after="0" w:line="259" w:lineRule="auto"/>
        <w:rPr>
          <w:rFonts w:ascii="Arial" w:cs="Arial" w:eastAsia="Arial" w:hAnsi="Arial"/>
          <w:sz w:val="18"/>
          <w:szCs w:val="18"/>
          <w:color w:val="auto"/>
        </w:rPr>
      </w:pPr>
      <w:r>
        <w:rPr>
          <w:rFonts w:ascii="Arial" w:cs="Arial" w:eastAsia="Arial" w:hAnsi="Arial"/>
          <w:sz w:val="18"/>
          <w:szCs w:val="18"/>
          <w:color w:val="auto"/>
        </w:rPr>
        <w:t>Generally accepted accounting principles in the United States of America ("US GAAP") require that intangible assets with finite lives be amortized over their estimated useful lives and reviewed for impairment when events or changes in circumstances indicate the carrying amount of an asset may not be recoverable. Intangible assets are comprised entirely of customer contracts and are amortized over 10 years. There were no events or changes in circumstances indicating impairment for the years ended December 31, 2020 and 2019.</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Crown Building Maintenance Co. and Crown Energy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dba Able Services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Combined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2020 and 2019</w:t>
      </w:r>
    </w:p>
    <w:p>
      <w:pPr>
        <w:spacing w:after="0" w:line="400" w:lineRule="exact"/>
        <w:rPr>
          <w:sz w:val="20"/>
          <w:szCs w:val="20"/>
          <w:color w:val="auto"/>
        </w:rPr>
      </w:pPr>
    </w:p>
    <w:p>
      <w:pPr>
        <w:ind w:left="340" w:right="5600" w:hanging="332"/>
        <w:spacing w:after="0" w:line="532"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SUMMARY OF SIGNIFICANT ACCOUNTING POLICIES (continued) </w:t>
      </w:r>
      <w:r>
        <w:rPr>
          <w:rFonts w:ascii="Arial" w:cs="Arial" w:eastAsia="Arial" w:hAnsi="Arial"/>
          <w:sz w:val="18"/>
          <w:szCs w:val="18"/>
          <w:u w:val="single" w:color="auto"/>
          <w:color w:val="auto"/>
        </w:rPr>
        <w:t>Property and equipment</w:t>
      </w:r>
    </w:p>
    <w:p>
      <w:pPr>
        <w:jc w:val="both"/>
        <w:ind w:left="340"/>
        <w:spacing w:after="0" w:line="301" w:lineRule="auto"/>
        <w:rPr>
          <w:rFonts w:ascii="Arial" w:cs="Arial" w:eastAsia="Arial" w:hAnsi="Arial"/>
          <w:sz w:val="18"/>
          <w:szCs w:val="18"/>
          <w:color w:val="auto"/>
        </w:rPr>
      </w:pPr>
      <w:r>
        <w:rPr>
          <w:rFonts w:ascii="Arial" w:cs="Arial" w:eastAsia="Arial" w:hAnsi="Arial"/>
          <w:sz w:val="16"/>
          <w:szCs w:val="16"/>
          <w:color w:val="auto"/>
        </w:rPr>
        <w:t>Property and equipment are stated at cost, less accumulated depreciation and amortization. Depreciation is provided using the straight-line method over estimated useful lives of 5 to 39 years. Expenditures for maintenance and repairs are charged to expense as incurred; major replacements and improvements are capitalized. Cost and accumulated depreciation and amortization of assets sold or retired are removed from the respective property and equipment accounts, and the gain or loss, if any, is reflected in the combined statements of income and retained earnings.</w:t>
      </w:r>
    </w:p>
    <w:p>
      <w:pPr>
        <w:spacing w:after="0" w:line="184"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u w:val="single" w:color="auto"/>
          <w:color w:val="auto"/>
        </w:rPr>
        <w:t>Long-lived assets</w:t>
      </w:r>
    </w:p>
    <w:p>
      <w:pPr>
        <w:spacing w:after="0" w:line="252" w:lineRule="exact"/>
        <w:rPr>
          <w:rFonts w:ascii="Arial" w:cs="Arial" w:eastAsia="Arial" w:hAnsi="Arial"/>
          <w:sz w:val="18"/>
          <w:szCs w:val="18"/>
          <w:color w:val="auto"/>
        </w:rPr>
      </w:pPr>
    </w:p>
    <w:p>
      <w:pPr>
        <w:jc w:val="both"/>
        <w:ind w:left="340"/>
        <w:spacing w:after="0" w:line="275" w:lineRule="auto"/>
        <w:rPr>
          <w:rFonts w:ascii="Arial" w:cs="Arial" w:eastAsia="Arial" w:hAnsi="Arial"/>
          <w:sz w:val="18"/>
          <w:szCs w:val="18"/>
          <w:color w:val="auto"/>
        </w:rPr>
      </w:pPr>
      <w:r>
        <w:rPr>
          <w:rFonts w:ascii="Arial" w:cs="Arial" w:eastAsia="Arial" w:hAnsi="Arial"/>
          <w:sz w:val="17"/>
          <w:szCs w:val="17"/>
          <w:color w:val="auto"/>
        </w:rPr>
        <w:t>The Company evaluates the carrying value of long-lived assets, including intangible assets, on an annual basis, or more frequently if impairment indicators arise. When indicators of impairment exist and assets are held for use, the Company estimates future undiscounted cash flows attributable to such assets. In the event cash flows are not expected to be sufficient to recover the recorded value of the assets, the assets are written down to their estimated fair values based on the expected discounted future cash flows attributable to the assets. Based on the results of that analysis, no impairment of long-lived assets was identified as of December 31, 2020 and 2019.</w:t>
      </w:r>
    </w:p>
    <w:p>
      <w:pPr>
        <w:spacing w:after="0" w:line="20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u w:val="single" w:color="auto"/>
          <w:color w:val="auto"/>
        </w:rPr>
        <w:t>Fair value of combined financial instruments</w:t>
      </w:r>
    </w:p>
    <w:p>
      <w:pPr>
        <w:spacing w:after="0" w:line="252" w:lineRule="exact"/>
        <w:rPr>
          <w:rFonts w:ascii="Arial" w:cs="Arial" w:eastAsia="Arial" w:hAnsi="Arial"/>
          <w:sz w:val="18"/>
          <w:szCs w:val="18"/>
          <w:color w:val="auto"/>
        </w:rPr>
      </w:pPr>
    </w:p>
    <w:p>
      <w:pPr>
        <w:jc w:val="both"/>
        <w:ind w:left="340"/>
        <w:spacing w:after="0" w:line="259" w:lineRule="auto"/>
        <w:rPr>
          <w:rFonts w:ascii="Arial" w:cs="Arial" w:eastAsia="Arial" w:hAnsi="Arial"/>
          <w:sz w:val="18"/>
          <w:szCs w:val="18"/>
          <w:color w:val="auto"/>
        </w:rPr>
      </w:pPr>
      <w:r>
        <w:rPr>
          <w:rFonts w:ascii="Arial" w:cs="Arial" w:eastAsia="Arial" w:hAnsi="Arial"/>
          <w:sz w:val="18"/>
          <w:szCs w:val="18"/>
          <w:color w:val="auto"/>
        </w:rPr>
        <w:t>The fair value of cash and restricted cash, accounts receivable, accounts payable and accrued liabilities at December 31, 2020 and 2019, approximates the carrying amount because of the relatively short-term maturities of these combined financial instruments. The fair value of the related party loans at December 31, 2020 and 2019, approximates their carrying amounts based on information available to the Company with respect to current interest rates and terms for similar financial instruments.</w:t>
      </w:r>
    </w:p>
    <w:p>
      <w:pPr>
        <w:spacing w:after="0" w:line="21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u w:val="single" w:color="auto"/>
          <w:color w:val="auto"/>
        </w:rPr>
        <w:t>Workers‘ compensation and general liability loss reserve</w:t>
      </w:r>
    </w:p>
    <w:p>
      <w:pPr>
        <w:spacing w:after="0" w:line="252" w:lineRule="exact"/>
        <w:rPr>
          <w:rFonts w:ascii="Arial" w:cs="Arial" w:eastAsia="Arial" w:hAnsi="Arial"/>
          <w:sz w:val="18"/>
          <w:szCs w:val="18"/>
          <w:color w:val="auto"/>
        </w:rPr>
      </w:pPr>
    </w:p>
    <w:p>
      <w:pPr>
        <w:jc w:val="both"/>
        <w:ind w:left="340"/>
        <w:spacing w:after="0" w:line="275" w:lineRule="auto"/>
        <w:rPr>
          <w:rFonts w:ascii="Arial" w:cs="Arial" w:eastAsia="Arial" w:hAnsi="Arial"/>
          <w:sz w:val="18"/>
          <w:szCs w:val="18"/>
          <w:color w:val="auto"/>
        </w:rPr>
      </w:pPr>
      <w:r>
        <w:rPr>
          <w:rFonts w:ascii="Arial" w:cs="Arial" w:eastAsia="Arial" w:hAnsi="Arial"/>
          <w:sz w:val="17"/>
          <w:szCs w:val="17"/>
          <w:color w:val="auto"/>
        </w:rPr>
        <w:t>Workers' compensation and general liability loss reserve represents the Company's estimated retained unpaid losses, allocated loss adjustment expenses and a provision for claims incurred but not reported. The Company engages third-party experts to assist in estimating the appropriate reserve. While management believes that the liability for unpaid claims at December 31, 2020 and 2019 is adequate to cover the ultimate net cost of claims, the liability is based on estimates and the amount ultimately paid may be more or less than the estimates. Adjustments and changes resulting from revisions of these estimates are reported in the period in which the revisions are made.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1"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Crown Building Maintenance Co. and Crown Energy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dba Able Services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Combined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2020 and 2019</w:t>
      </w:r>
    </w:p>
    <w:p>
      <w:pPr>
        <w:spacing w:after="0" w:line="400" w:lineRule="exact"/>
        <w:rPr>
          <w:sz w:val="20"/>
          <w:szCs w:val="20"/>
          <w:color w:val="auto"/>
        </w:rPr>
      </w:pPr>
    </w:p>
    <w:p>
      <w:pPr>
        <w:ind w:left="340" w:right="5600" w:hanging="332"/>
        <w:spacing w:after="0" w:line="532"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SUMMARY OF SIGNIFICANT ACCOUNTING POLICIES (continued) </w:t>
      </w:r>
      <w:r>
        <w:rPr>
          <w:rFonts w:ascii="Arial" w:cs="Arial" w:eastAsia="Arial" w:hAnsi="Arial"/>
          <w:sz w:val="18"/>
          <w:szCs w:val="18"/>
          <w:u w:val="single" w:color="auto"/>
          <w:color w:val="auto"/>
        </w:rPr>
        <w:t>Revenue recognition</w:t>
      </w:r>
    </w:p>
    <w:p>
      <w:pPr>
        <w:jc w:val="both"/>
        <w:ind w:left="340"/>
        <w:spacing w:after="0" w:line="263" w:lineRule="auto"/>
        <w:rPr>
          <w:rFonts w:ascii="Arial" w:cs="Arial" w:eastAsia="Arial" w:hAnsi="Arial"/>
          <w:sz w:val="18"/>
          <w:szCs w:val="18"/>
          <w:color w:val="auto"/>
        </w:rPr>
      </w:pPr>
      <w:r>
        <w:rPr>
          <w:rFonts w:ascii="Arial" w:cs="Arial" w:eastAsia="Arial" w:hAnsi="Arial"/>
          <w:sz w:val="18"/>
          <w:szCs w:val="18"/>
          <w:color w:val="auto"/>
        </w:rPr>
        <w:t>The Company derives its revenue primarily under various types of service contracts. Revenue is recognized when a contract is approved and has commitments from both parties, the rights of the parties have been identified, payment terms are identified, the contract has commercial substance, and collectability of consideration is probable. The primary types of service contracts are described below:</w:t>
      </w:r>
    </w:p>
    <w:p>
      <w:pPr>
        <w:spacing w:after="0" w:line="129" w:lineRule="exact"/>
        <w:rPr>
          <w:rFonts w:ascii="Arial" w:cs="Arial" w:eastAsia="Arial" w:hAnsi="Arial"/>
          <w:sz w:val="18"/>
          <w:szCs w:val="18"/>
          <w:color w:val="auto"/>
        </w:rPr>
      </w:pPr>
    </w:p>
    <w:p>
      <w:pPr>
        <w:jc w:val="both"/>
        <w:ind w:left="660" w:hanging="328"/>
        <w:spacing w:after="0" w:line="301" w:lineRule="auto"/>
        <w:tabs>
          <w:tab w:leader="none" w:pos="655" w:val="left"/>
        </w:tabs>
        <w:numPr>
          <w:ilvl w:val="1"/>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Cost-plus </w:t>
      </w:r>
      <w:r>
        <w:rPr>
          <w:rFonts w:ascii="Arial" w:cs="Arial" w:eastAsia="Arial" w:hAnsi="Arial"/>
          <w:sz w:val="16"/>
          <w:szCs w:val="16"/>
          <w:color w:val="auto"/>
        </w:rPr>
        <w:t>- Cost-plus arrangements are contracts in which the client reimburses the Company for the agreed-upon amount of wages and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payroll taxes, insurance charges, and other expenses associated with the contracted work, plus a profit margin. The Company measures progress toward satisfaction of the performance obligation as the services are provided, and revenue is recognized at the agreed upon contractual amount over time because the customer simultaneously receives and consumes the benefits for the services as they are performed.</w:t>
      </w:r>
    </w:p>
    <w:p>
      <w:pPr>
        <w:spacing w:after="0" w:line="103" w:lineRule="exact"/>
        <w:rPr>
          <w:rFonts w:ascii="Arial" w:cs="Arial" w:eastAsia="Arial" w:hAnsi="Arial"/>
          <w:sz w:val="16"/>
          <w:szCs w:val="16"/>
          <w:color w:val="auto"/>
        </w:rPr>
      </w:pPr>
    </w:p>
    <w:p>
      <w:pPr>
        <w:jc w:val="both"/>
        <w:ind w:left="660" w:hanging="328"/>
        <w:spacing w:after="0" w:line="286" w:lineRule="auto"/>
        <w:tabs>
          <w:tab w:leader="none" w:pos="655" w:val="left"/>
        </w:tabs>
        <w:numPr>
          <w:ilvl w:val="1"/>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Tag jobs </w:t>
      </w:r>
      <w:r>
        <w:rPr>
          <w:rFonts w:ascii="Arial" w:cs="Arial" w:eastAsia="Arial" w:hAnsi="Arial"/>
          <w:sz w:val="17"/>
          <w:szCs w:val="17"/>
          <w:color w:val="auto"/>
        </w:rPr>
        <w:t>- Tag jobs represent additional services requested by a customer outside the standard contract. Because the nature of these short-term</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contracts involves performing one-off type services, revenue is recognized at the agreed-upon contractual amount as the services are provided, because the customer simultaneously receives and consumes the benefits of the services as they are performed.</w:t>
      </w:r>
    </w:p>
    <w:p>
      <w:pPr>
        <w:spacing w:after="0" w:line="111"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Monthly Fixed Price </w:t>
      </w:r>
      <w:r>
        <w:rPr>
          <w:rFonts w:ascii="Arial" w:cs="Arial" w:eastAsia="Arial" w:hAnsi="Arial"/>
          <w:sz w:val="18"/>
          <w:szCs w:val="18"/>
          <w:color w:val="auto"/>
        </w:rPr>
        <w:t>- Monthly fixed-price arrangements are contracts in which the client agrees to pay a fixed fee every month over a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term. The Company measures progress toward satisfaction of the performance obligation as the services are provided, and revenue is recognized at the agreed-upon contractual amount over time because the customer simultaneously receives and consumes the benefits of the services as they are performed.</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Income taxes</w:t>
      </w:r>
    </w:p>
    <w:p>
      <w:pPr>
        <w:spacing w:after="0" w:line="252"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BM and AES have elected, by consent of its shareholders, to be taxed under the provisions of subchapter S of the Internal Revenue Code and various state tax laws. Under these provisions, the Company does not pay federal corporate income taxes. However, California franchise tax is limited to 1.5% of its apportioned taxable income subject to a minimum tax of $800 and other states have statutory minimum tax amounts. The shareholders, however, are liable for individual federal and state income taxes on the Company's taxable income.</w:t>
      </w:r>
    </w:p>
    <w:p>
      <w:pPr>
        <w:spacing w:after="0" w:line="198" w:lineRule="exact"/>
        <w:rPr>
          <w:sz w:val="20"/>
          <w:szCs w:val="20"/>
          <w:color w:val="auto"/>
        </w:rPr>
      </w:pPr>
    </w:p>
    <w:p>
      <w:pPr>
        <w:jc w:val="both"/>
        <w:ind w:left="340"/>
        <w:spacing w:after="0" w:line="219" w:lineRule="exact"/>
        <w:rPr>
          <w:sz w:val="20"/>
          <w:szCs w:val="20"/>
          <w:color w:val="auto"/>
        </w:rPr>
      </w:pPr>
      <w:r>
        <w:rPr>
          <w:rFonts w:ascii="Arial" w:cs="Arial" w:eastAsia="Arial" w:hAnsi="Arial"/>
          <w:sz w:val="17"/>
          <w:szCs w:val="17"/>
          <w:color w:val="auto"/>
        </w:rPr>
        <w:t xml:space="preserve">California income tax has been provided for pursuant to state provisions (SB 572) conforming to federal S-Corporation law. The Company is entitled to Enterprise Zone Credits, which reduce California tax liability. At December 31, 2020 and 2019, the Company has estimated an excess of approximately $10,046,953 and $10,114,460, respectively, in non-refundable California Enterprise Zone credits, which offset California income tax. Beginning in 2006, the Company began </w:t>
      </w:r>
      <w:r>
        <w:rPr>
          <w:rFonts w:ascii="Arial Unicode MS" w:cs="Arial Unicode MS" w:eastAsia="Arial Unicode MS" w:hAnsi="Arial Unicode MS"/>
          <w:sz w:val="17"/>
          <w:szCs w:val="17"/>
          <w:color w:val="auto"/>
        </w:rPr>
        <w:t></w:t>
      </w:r>
      <w:r>
        <w:rPr>
          <w:rFonts w:ascii="Arial" w:cs="Arial" w:eastAsia="Arial" w:hAnsi="Arial"/>
          <w:sz w:val="17"/>
          <w:szCs w:val="17"/>
          <w:color w:val="auto"/>
        </w:rPr>
        <w:t>ling state income tax returns in Texas, Illinois, Oregon, New York, and various other states.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1"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Crown Building Maintenance Co. and Crown Energy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dba Able Services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Combined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2020 and 2019</w:t>
      </w:r>
    </w:p>
    <w:p>
      <w:pPr>
        <w:spacing w:after="0" w:line="400" w:lineRule="exact"/>
        <w:rPr>
          <w:sz w:val="20"/>
          <w:szCs w:val="20"/>
          <w:color w:val="auto"/>
        </w:rPr>
      </w:pPr>
    </w:p>
    <w:p>
      <w:pPr>
        <w:ind w:left="340" w:right="5600" w:hanging="332"/>
        <w:spacing w:after="0" w:line="532"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SUMMARY OF SIGNIFICANT ACCOUNTING POLICIES (continued) </w:t>
      </w:r>
      <w:r>
        <w:rPr>
          <w:rFonts w:ascii="Arial" w:cs="Arial" w:eastAsia="Arial" w:hAnsi="Arial"/>
          <w:sz w:val="18"/>
          <w:szCs w:val="18"/>
          <w:u w:val="single" w:color="auto"/>
          <w:color w:val="auto"/>
        </w:rPr>
        <w:t>Use of estimates</w:t>
      </w:r>
    </w:p>
    <w:p>
      <w:pPr>
        <w:jc w:val="both"/>
        <w:ind w:left="340"/>
        <w:spacing w:after="0" w:line="311" w:lineRule="auto"/>
        <w:rPr>
          <w:rFonts w:ascii="Arial" w:cs="Arial" w:eastAsia="Arial" w:hAnsi="Arial"/>
          <w:sz w:val="18"/>
          <w:szCs w:val="18"/>
          <w:color w:val="auto"/>
        </w:rPr>
      </w:pPr>
      <w:r>
        <w:rPr>
          <w:rFonts w:ascii="Arial" w:cs="Arial" w:eastAsia="Arial" w:hAnsi="Arial"/>
          <w:sz w:val="16"/>
          <w:szCs w:val="16"/>
          <w:color w:val="auto"/>
        </w:rPr>
        <w:t>The preparation of combined financial statements in conformity with US. GAAP requires management to make estimates and assumptions that affect certain reported amounts of assets and liabilities and disclosure of contingent assets and liabilities at the date of the combined financial statements and the reported amounts of revenues and expenses during the reporting period. Accordingly, actual results could materially differ from those estimates.</w:t>
      </w: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PROPERTY AND EQUIPMENT</w:t>
      </w:r>
    </w:p>
    <w:p>
      <w:pPr>
        <w:spacing w:after="0" w:line="25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Property and equipment consisted of the following:</w:t>
      </w:r>
    </w:p>
    <w:p>
      <w:pPr>
        <w:spacing w:after="0" w:line="29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100" w:type="dxa"/>
            <w:vAlign w:val="bottom"/>
            <w:tcBorders>
              <w:bottom w:val="single" w:sz="8" w:color="DCE2E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DCE2E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2019</w:t>
            </w:r>
          </w:p>
        </w:tc>
      </w:tr>
      <w:tr>
        <w:trPr>
          <w:trHeight w:val="223"/>
        </w:trPr>
        <w:tc>
          <w:tcPr>
            <w:tcW w:w="6100" w:type="dxa"/>
            <w:vAlign w:val="bottom"/>
            <w:shd w:val="clear" w:color="auto" w:fill="DCE2EF"/>
          </w:tcPr>
          <w:p>
            <w:pPr>
              <w:ind w:left="20"/>
              <w:spacing w:after="0"/>
              <w:rPr>
                <w:sz w:val="20"/>
                <w:szCs w:val="20"/>
                <w:color w:val="auto"/>
              </w:rPr>
            </w:pPr>
            <w:r>
              <w:rPr>
                <w:rFonts w:ascii="Arial" w:cs="Arial" w:eastAsia="Arial" w:hAnsi="Arial"/>
                <w:sz w:val="18"/>
                <w:szCs w:val="18"/>
                <w:color w:val="auto"/>
              </w:rPr>
              <w:t>Computer and computer software</w:t>
            </w:r>
          </w:p>
        </w:tc>
        <w:tc>
          <w:tcPr>
            <w:tcW w:w="500" w:type="dxa"/>
            <w:vAlign w:val="bottom"/>
            <w:shd w:val="clear" w:color="auto" w:fill="DCE2EF"/>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3,532,841</w:t>
            </w:r>
          </w:p>
        </w:tc>
        <w:tc>
          <w:tcPr>
            <w:tcW w:w="120" w:type="dxa"/>
            <w:vAlign w:val="bottom"/>
            <w:shd w:val="clear" w:color="auto" w:fill="DCE2EF"/>
          </w:tcPr>
          <w:p>
            <w:pPr>
              <w:spacing w:after="0"/>
              <w:rPr>
                <w:sz w:val="19"/>
                <w:szCs w:val="19"/>
                <w:color w:val="auto"/>
              </w:rPr>
            </w:pPr>
          </w:p>
        </w:tc>
        <w:tc>
          <w:tcPr>
            <w:tcW w:w="500" w:type="dxa"/>
            <w:vAlign w:val="bottom"/>
            <w:shd w:val="clear" w:color="auto" w:fill="DCE2EF"/>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3,333,677</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Furniture</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1,930,400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1,930,400</w:t>
            </w:r>
          </w:p>
        </w:tc>
      </w:tr>
      <w:tr>
        <w:trPr>
          <w:trHeight w:val="229"/>
        </w:trPr>
        <w:tc>
          <w:tcPr>
            <w:tcW w:w="6100" w:type="dxa"/>
            <w:vAlign w:val="bottom"/>
            <w:shd w:val="clear" w:color="auto" w:fill="DCE2EF"/>
          </w:tcPr>
          <w:p>
            <w:pPr>
              <w:ind w:left="20"/>
              <w:spacing w:after="0"/>
              <w:rPr>
                <w:sz w:val="20"/>
                <w:szCs w:val="20"/>
                <w:color w:val="auto"/>
              </w:rPr>
            </w:pPr>
            <w:r>
              <w:rPr>
                <w:rFonts w:ascii="Arial" w:cs="Arial" w:eastAsia="Arial" w:hAnsi="Arial"/>
                <w:sz w:val="18"/>
                <w:szCs w:val="18"/>
                <w:color w:val="auto"/>
              </w:rPr>
              <w:t>Equipment/automotive</w:t>
            </w:r>
          </w:p>
        </w:tc>
        <w:tc>
          <w:tcPr>
            <w:tcW w:w="500" w:type="dxa"/>
            <w:vAlign w:val="bottom"/>
            <w:shd w:val="clear" w:color="auto" w:fill="DCE2EF"/>
          </w:tcPr>
          <w:p>
            <w:pPr>
              <w:spacing w:after="0"/>
              <w:rPr>
                <w:sz w:val="19"/>
                <w:szCs w:val="19"/>
                <w:color w:val="auto"/>
              </w:rPr>
            </w:pPr>
          </w:p>
        </w:tc>
        <w:tc>
          <w:tcPr>
            <w:tcW w:w="16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2,911,050</w:t>
            </w:r>
          </w:p>
        </w:tc>
        <w:tc>
          <w:tcPr>
            <w:tcW w:w="12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6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2,905,779</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5,246,201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5,176,310</w:t>
            </w:r>
          </w:p>
        </w:tc>
      </w:tr>
      <w:tr>
        <w:trPr>
          <w:trHeight w:val="229"/>
        </w:trPr>
        <w:tc>
          <w:tcPr>
            <w:tcW w:w="6100" w:type="dxa"/>
            <w:vAlign w:val="bottom"/>
            <w:shd w:val="clear" w:color="auto" w:fill="DCE2EF"/>
          </w:tcPr>
          <w:p>
            <w:pPr>
              <w:ind w:left="20"/>
              <w:spacing w:after="0"/>
              <w:rPr>
                <w:sz w:val="20"/>
                <w:szCs w:val="20"/>
                <w:color w:val="auto"/>
              </w:rPr>
            </w:pPr>
            <w:r>
              <w:rPr>
                <w:rFonts w:ascii="Arial" w:cs="Arial" w:eastAsia="Arial" w:hAnsi="Arial"/>
                <w:sz w:val="18"/>
                <w:szCs w:val="18"/>
                <w:color w:val="auto"/>
              </w:rPr>
              <w:t>Land</w:t>
            </w:r>
          </w:p>
        </w:tc>
        <w:tc>
          <w:tcPr>
            <w:tcW w:w="500" w:type="dxa"/>
            <w:vAlign w:val="bottom"/>
            <w:shd w:val="clear" w:color="auto" w:fill="DCE2EF"/>
          </w:tcPr>
          <w:p>
            <w:pPr>
              <w:spacing w:after="0"/>
              <w:rPr>
                <w:sz w:val="19"/>
                <w:szCs w:val="19"/>
                <w:color w:val="auto"/>
              </w:rPr>
            </w:pPr>
          </w:p>
        </w:tc>
        <w:tc>
          <w:tcPr>
            <w:tcW w:w="16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195,698</w:t>
            </w:r>
          </w:p>
        </w:tc>
        <w:tc>
          <w:tcPr>
            <w:tcW w:w="12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6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195,698</w:t>
            </w:r>
          </w:p>
        </w:tc>
      </w:tr>
      <w:tr>
        <w:trPr>
          <w:trHeight w:val="230"/>
        </w:trPr>
        <w:tc>
          <w:tcPr>
            <w:tcW w:w="6100" w:type="dxa"/>
            <w:vAlign w:val="bottom"/>
            <w:tcBorders>
              <w:bottom w:val="single" w:sz="8" w:color="DCE2EF"/>
            </w:tcBorders>
          </w:tcPr>
          <w:p>
            <w:pPr>
              <w:ind w:left="20"/>
              <w:spacing w:after="0"/>
              <w:rPr>
                <w:sz w:val="20"/>
                <w:szCs w:val="20"/>
                <w:color w:val="auto"/>
              </w:rPr>
            </w:pPr>
            <w:r>
              <w:rPr>
                <w:rFonts w:ascii="Arial" w:cs="Arial" w:eastAsia="Arial" w:hAnsi="Arial"/>
                <w:sz w:val="18"/>
                <w:szCs w:val="18"/>
                <w:color w:val="auto"/>
              </w:rPr>
              <w:t>Construction in process</w:t>
            </w: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126,500</w:t>
            </w:r>
          </w:p>
        </w:tc>
        <w:tc>
          <w:tcPr>
            <w:tcW w:w="120" w:type="dxa"/>
            <w:vAlign w:val="bottom"/>
            <w:tcBorders>
              <w:bottom w:val="single" w:sz="8" w:color="DCE2E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56,159</w:t>
            </w:r>
          </w:p>
        </w:tc>
      </w:tr>
      <w:tr>
        <w:trPr>
          <w:trHeight w:val="223"/>
        </w:trPr>
        <w:tc>
          <w:tcPr>
            <w:tcW w:w="610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6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13,942,690</w:t>
            </w:r>
          </w:p>
        </w:tc>
        <w:tc>
          <w:tcPr>
            <w:tcW w:w="12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6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13,598,023</w:t>
            </w:r>
          </w:p>
        </w:tc>
      </w:tr>
      <w:tr>
        <w:trPr>
          <w:trHeight w:val="230"/>
        </w:trPr>
        <w:tc>
          <w:tcPr>
            <w:tcW w:w="6100" w:type="dxa"/>
            <w:vAlign w:val="bottom"/>
            <w:tcBorders>
              <w:bottom w:val="single" w:sz="8" w:color="DCE2EF"/>
            </w:tcBorders>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(8,770,663)</w:t>
            </w:r>
          </w:p>
        </w:tc>
        <w:tc>
          <w:tcPr>
            <w:tcW w:w="120" w:type="dxa"/>
            <w:vAlign w:val="bottom"/>
            <w:tcBorders>
              <w:bottom w:val="single" w:sz="8" w:color="DCE2E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(8,215,271)</w:t>
            </w:r>
          </w:p>
        </w:tc>
      </w:tr>
      <w:tr>
        <w:trPr>
          <w:trHeight w:val="248"/>
        </w:trPr>
        <w:tc>
          <w:tcPr>
            <w:tcW w:w="6100" w:type="dxa"/>
            <w:vAlign w:val="bottom"/>
            <w:tcBorders>
              <w:bottom w:val="single" w:sz="8" w:color="DCE2EF"/>
            </w:tcBorders>
            <w:shd w:val="clear" w:color="auto" w:fill="DCE2EF"/>
          </w:tcPr>
          <w:p>
            <w:pPr>
              <w:spacing w:after="0"/>
              <w:rPr>
                <w:sz w:val="21"/>
                <w:szCs w:val="21"/>
                <w:color w:val="auto"/>
              </w:rPr>
            </w:pPr>
          </w:p>
        </w:tc>
        <w:tc>
          <w:tcPr>
            <w:tcW w:w="500" w:type="dxa"/>
            <w:vAlign w:val="bottom"/>
            <w:tcBorders>
              <w:bottom w:val="single" w:sz="8" w:color="auto"/>
            </w:tcBorders>
            <w:shd w:val="clear" w:color="auto" w:fill="DCE2EF"/>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5,172,027</w:t>
            </w:r>
          </w:p>
        </w:tc>
        <w:tc>
          <w:tcPr>
            <w:tcW w:w="120" w:type="dxa"/>
            <w:vAlign w:val="bottom"/>
            <w:tcBorders>
              <w:bottom w:val="single" w:sz="8" w:color="DCE2EF"/>
            </w:tcBorders>
            <w:shd w:val="clear" w:color="auto" w:fill="DCE2EF"/>
          </w:tcPr>
          <w:p>
            <w:pPr>
              <w:spacing w:after="0"/>
              <w:rPr>
                <w:sz w:val="21"/>
                <w:szCs w:val="21"/>
                <w:color w:val="auto"/>
              </w:rPr>
            </w:pPr>
          </w:p>
        </w:tc>
        <w:tc>
          <w:tcPr>
            <w:tcW w:w="500" w:type="dxa"/>
            <w:vAlign w:val="bottom"/>
            <w:tcBorders>
              <w:bottom w:val="single" w:sz="8" w:color="auto"/>
            </w:tcBorders>
            <w:shd w:val="clear" w:color="auto" w:fill="DCE2EF"/>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5,382,752</w:t>
            </w:r>
          </w:p>
        </w:tc>
      </w:tr>
      <w:tr>
        <w:trPr>
          <w:trHeight w:val="20"/>
        </w:trPr>
        <w:tc>
          <w:tcPr>
            <w:tcW w:w="6100" w:type="dxa"/>
            <w:vAlign w:val="bottom"/>
            <w:tcBorders>
              <w:top w:val="single" w:sz="8" w:color="DCE2EF"/>
            </w:tcBorders>
          </w:tcPr>
          <w:p>
            <w:pPr>
              <w:spacing w:after="0" w:line="20" w:lineRule="exact"/>
              <w:rPr>
                <w:sz w:val="1"/>
                <w:szCs w:val="1"/>
                <w:color w:val="auto"/>
              </w:rPr>
            </w:pPr>
          </w:p>
        </w:tc>
        <w:tc>
          <w:tcPr>
            <w:tcW w:w="500" w:type="dxa"/>
            <w:vAlign w:val="bottom"/>
            <w:tcBorders>
              <w:top w:val="single" w:sz="8" w:color="DCE2EF"/>
              <w:bottom w:val="single" w:sz="8" w:color="auto"/>
            </w:tcBorders>
          </w:tcPr>
          <w:p>
            <w:pPr>
              <w:spacing w:after="0" w:line="20" w:lineRule="exact"/>
              <w:rPr>
                <w:sz w:val="1"/>
                <w:szCs w:val="1"/>
                <w:color w:val="auto"/>
              </w:rPr>
            </w:pPr>
          </w:p>
        </w:tc>
        <w:tc>
          <w:tcPr>
            <w:tcW w:w="166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500" w:type="dxa"/>
            <w:vAlign w:val="bottom"/>
            <w:tcBorders>
              <w:top w:val="single" w:sz="8" w:color="DCE2EF"/>
              <w:bottom w:val="single" w:sz="8" w:color="auto"/>
            </w:tcBorders>
          </w:tcPr>
          <w:p>
            <w:pPr>
              <w:spacing w:after="0" w:line="20" w:lineRule="exact"/>
              <w:rPr>
                <w:sz w:val="1"/>
                <w:szCs w:val="1"/>
                <w:color w:val="auto"/>
              </w:rPr>
            </w:pPr>
          </w:p>
        </w:tc>
        <w:tc>
          <w:tcPr>
            <w:tcW w:w="1660" w:type="dxa"/>
            <w:vAlign w:val="bottom"/>
            <w:tcBorders>
              <w:top w:val="single" w:sz="8" w:color="DCE2E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expense totaled $627,369 and $781,571 for the years ended December 31, 2020 and 2019, respectively.</w:t>
      </w:r>
    </w:p>
    <w:p>
      <w:pPr>
        <w:spacing w:after="0" w:line="25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INTANGIBLE ASSETS</w:t>
      </w:r>
    </w:p>
    <w:p>
      <w:pPr>
        <w:spacing w:after="0" w:line="25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Intangible assets consisted of the following:</w:t>
      </w:r>
    </w:p>
    <w:p>
      <w:pPr>
        <w:spacing w:after="0" w:line="29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100" w:type="dxa"/>
            <w:vAlign w:val="bottom"/>
            <w:tcBorders>
              <w:bottom w:val="single" w:sz="8" w:color="DCE2E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DCE2E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2019</w:t>
            </w:r>
          </w:p>
        </w:tc>
      </w:tr>
      <w:tr>
        <w:trPr>
          <w:trHeight w:val="223"/>
        </w:trPr>
        <w:tc>
          <w:tcPr>
            <w:tcW w:w="6100" w:type="dxa"/>
            <w:vAlign w:val="bottom"/>
            <w:shd w:val="clear" w:color="auto" w:fill="DCE2EF"/>
          </w:tcPr>
          <w:p>
            <w:pPr>
              <w:ind w:left="20"/>
              <w:spacing w:after="0"/>
              <w:rPr>
                <w:sz w:val="20"/>
                <w:szCs w:val="20"/>
                <w:color w:val="auto"/>
              </w:rPr>
            </w:pPr>
            <w:r>
              <w:rPr>
                <w:rFonts w:ascii="Arial" w:cs="Arial" w:eastAsia="Arial" w:hAnsi="Arial"/>
                <w:sz w:val="18"/>
                <w:szCs w:val="18"/>
                <w:color w:val="auto"/>
              </w:rPr>
              <w:t>Customer Contracts</w:t>
            </w:r>
          </w:p>
        </w:tc>
        <w:tc>
          <w:tcPr>
            <w:tcW w:w="500" w:type="dxa"/>
            <w:vAlign w:val="bottom"/>
            <w:shd w:val="clear" w:color="auto" w:fill="DCE2EF"/>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12,098,959</w:t>
            </w:r>
          </w:p>
        </w:tc>
        <w:tc>
          <w:tcPr>
            <w:tcW w:w="120" w:type="dxa"/>
            <w:vAlign w:val="bottom"/>
            <w:shd w:val="clear" w:color="auto" w:fill="DCE2EF"/>
          </w:tcPr>
          <w:p>
            <w:pPr>
              <w:spacing w:after="0"/>
              <w:rPr>
                <w:sz w:val="19"/>
                <w:szCs w:val="19"/>
                <w:color w:val="auto"/>
              </w:rPr>
            </w:pPr>
          </w:p>
        </w:tc>
        <w:tc>
          <w:tcPr>
            <w:tcW w:w="500" w:type="dxa"/>
            <w:vAlign w:val="bottom"/>
            <w:shd w:val="clear" w:color="auto" w:fill="DCE2EF"/>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12,098,959</w:t>
            </w:r>
          </w:p>
        </w:tc>
      </w:tr>
      <w:tr>
        <w:trPr>
          <w:trHeight w:val="229"/>
        </w:trPr>
        <w:tc>
          <w:tcPr>
            <w:tcW w:w="6100" w:type="dxa"/>
            <w:vAlign w:val="bottom"/>
            <w:tcBorders>
              <w:bottom w:val="single" w:sz="8" w:color="DCE2EF"/>
            </w:tcBorders>
          </w:tcPr>
          <w:p>
            <w:pPr>
              <w:ind w:left="20"/>
              <w:spacing w:after="0"/>
              <w:rPr>
                <w:sz w:val="20"/>
                <w:szCs w:val="20"/>
                <w:color w:val="auto"/>
              </w:rPr>
            </w:pPr>
            <w:r>
              <w:rPr>
                <w:rFonts w:ascii="Arial" w:cs="Arial" w:eastAsia="Arial" w:hAnsi="Arial"/>
                <w:sz w:val="18"/>
                <w:szCs w:val="18"/>
                <w:color w:val="auto"/>
              </w:rPr>
              <w:t>Goodwill</w:t>
            </w: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4,960,227</w:t>
            </w:r>
          </w:p>
        </w:tc>
        <w:tc>
          <w:tcPr>
            <w:tcW w:w="120" w:type="dxa"/>
            <w:vAlign w:val="bottom"/>
            <w:tcBorders>
              <w:bottom w:val="single" w:sz="8" w:color="DCE2E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4,960,227</w:t>
            </w:r>
          </w:p>
        </w:tc>
      </w:tr>
      <w:tr>
        <w:trPr>
          <w:trHeight w:val="223"/>
        </w:trPr>
        <w:tc>
          <w:tcPr>
            <w:tcW w:w="610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6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17,059,186</w:t>
            </w:r>
          </w:p>
        </w:tc>
        <w:tc>
          <w:tcPr>
            <w:tcW w:w="12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6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17,059,186</w:t>
            </w:r>
          </w:p>
        </w:tc>
      </w:tr>
      <w:tr>
        <w:trPr>
          <w:trHeight w:val="230"/>
        </w:trPr>
        <w:tc>
          <w:tcPr>
            <w:tcW w:w="6100" w:type="dxa"/>
            <w:vAlign w:val="bottom"/>
            <w:tcBorders>
              <w:bottom w:val="single" w:sz="8" w:color="DCE2EF"/>
            </w:tcBorders>
          </w:tcPr>
          <w:p>
            <w:pPr>
              <w:ind w:left="20"/>
              <w:spacing w:after="0"/>
              <w:rPr>
                <w:sz w:val="20"/>
                <w:szCs w:val="20"/>
                <w:color w:val="auto"/>
              </w:rPr>
            </w:pPr>
            <w:r>
              <w:rPr>
                <w:rFonts w:ascii="Arial" w:cs="Arial" w:eastAsia="Arial" w:hAnsi="Arial"/>
                <w:sz w:val="18"/>
                <w:szCs w:val="18"/>
                <w:color w:val="auto"/>
              </w:rPr>
              <w:t>Accumulated amortization</w:t>
            </w: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6,733,993)</w:t>
            </w:r>
          </w:p>
        </w:tc>
        <w:tc>
          <w:tcPr>
            <w:tcW w:w="120" w:type="dxa"/>
            <w:vAlign w:val="bottom"/>
            <w:tcBorders>
              <w:bottom w:val="single" w:sz="8" w:color="DCE2E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(5,340,670)</w:t>
            </w:r>
          </w:p>
        </w:tc>
      </w:tr>
      <w:tr>
        <w:trPr>
          <w:trHeight w:val="248"/>
        </w:trPr>
        <w:tc>
          <w:tcPr>
            <w:tcW w:w="6100" w:type="dxa"/>
            <w:vAlign w:val="bottom"/>
            <w:tcBorders>
              <w:bottom w:val="single" w:sz="8" w:color="DCE2EF"/>
            </w:tcBorders>
            <w:shd w:val="clear" w:color="auto" w:fill="DCE2EF"/>
          </w:tcPr>
          <w:p>
            <w:pPr>
              <w:spacing w:after="0"/>
              <w:rPr>
                <w:sz w:val="21"/>
                <w:szCs w:val="21"/>
                <w:color w:val="auto"/>
              </w:rPr>
            </w:pPr>
          </w:p>
        </w:tc>
        <w:tc>
          <w:tcPr>
            <w:tcW w:w="500" w:type="dxa"/>
            <w:vAlign w:val="bottom"/>
            <w:tcBorders>
              <w:bottom w:val="single" w:sz="8" w:color="auto"/>
            </w:tcBorders>
            <w:shd w:val="clear" w:color="auto" w:fill="DCE2EF"/>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10,325,193</w:t>
            </w:r>
          </w:p>
        </w:tc>
        <w:tc>
          <w:tcPr>
            <w:tcW w:w="120" w:type="dxa"/>
            <w:vAlign w:val="bottom"/>
            <w:tcBorders>
              <w:bottom w:val="single" w:sz="8" w:color="DCE2EF"/>
            </w:tcBorders>
            <w:shd w:val="clear" w:color="auto" w:fill="DCE2EF"/>
          </w:tcPr>
          <w:p>
            <w:pPr>
              <w:spacing w:after="0"/>
              <w:rPr>
                <w:sz w:val="21"/>
                <w:szCs w:val="21"/>
                <w:color w:val="auto"/>
              </w:rPr>
            </w:pPr>
          </w:p>
        </w:tc>
        <w:tc>
          <w:tcPr>
            <w:tcW w:w="500" w:type="dxa"/>
            <w:vAlign w:val="bottom"/>
            <w:tcBorders>
              <w:bottom w:val="single" w:sz="8" w:color="auto"/>
            </w:tcBorders>
            <w:shd w:val="clear" w:color="auto" w:fill="DCE2EF"/>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11,718,516</w:t>
            </w:r>
          </w:p>
        </w:tc>
      </w:tr>
      <w:tr>
        <w:trPr>
          <w:trHeight w:val="20"/>
        </w:trPr>
        <w:tc>
          <w:tcPr>
            <w:tcW w:w="6100" w:type="dxa"/>
            <w:vAlign w:val="bottom"/>
            <w:tcBorders>
              <w:top w:val="single" w:sz="8" w:color="DCE2EF"/>
            </w:tcBorders>
          </w:tcPr>
          <w:p>
            <w:pPr>
              <w:spacing w:after="0" w:line="20" w:lineRule="exact"/>
              <w:rPr>
                <w:sz w:val="1"/>
                <w:szCs w:val="1"/>
                <w:color w:val="auto"/>
              </w:rPr>
            </w:pPr>
          </w:p>
        </w:tc>
        <w:tc>
          <w:tcPr>
            <w:tcW w:w="500" w:type="dxa"/>
            <w:vAlign w:val="bottom"/>
            <w:tcBorders>
              <w:top w:val="single" w:sz="8" w:color="DCE2EF"/>
              <w:bottom w:val="single" w:sz="8" w:color="auto"/>
            </w:tcBorders>
          </w:tcPr>
          <w:p>
            <w:pPr>
              <w:spacing w:after="0" w:line="20" w:lineRule="exact"/>
              <w:rPr>
                <w:sz w:val="1"/>
                <w:szCs w:val="1"/>
                <w:color w:val="auto"/>
              </w:rPr>
            </w:pPr>
          </w:p>
        </w:tc>
        <w:tc>
          <w:tcPr>
            <w:tcW w:w="166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500" w:type="dxa"/>
            <w:vAlign w:val="bottom"/>
            <w:tcBorders>
              <w:top w:val="single" w:sz="8" w:color="DCE2EF"/>
              <w:bottom w:val="single" w:sz="8" w:color="auto"/>
            </w:tcBorders>
          </w:tcPr>
          <w:p>
            <w:pPr>
              <w:spacing w:after="0" w:line="20" w:lineRule="exact"/>
              <w:rPr>
                <w:sz w:val="1"/>
                <w:szCs w:val="1"/>
                <w:color w:val="auto"/>
              </w:rPr>
            </w:pPr>
          </w:p>
        </w:tc>
        <w:tc>
          <w:tcPr>
            <w:tcW w:w="1660" w:type="dxa"/>
            <w:vAlign w:val="bottom"/>
            <w:tcBorders>
              <w:top w:val="single" w:sz="8" w:color="DCE2E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Company considers the useful economic life of these assets to be 10 years. The amortization expense for the years ended December 31, 2020 and 2019 was $1,393,323,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1"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Crown Building Maintenance Co. and Crown Energy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dba Able Services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Combined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2020 and 2019</w:t>
      </w:r>
    </w:p>
    <w:p>
      <w:pPr>
        <w:spacing w:after="0" w:line="15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ACCRUED LIABILITIES</w:t>
      </w:r>
    </w:p>
    <w:p>
      <w:pPr>
        <w:spacing w:after="0" w:line="25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Accrued liabilities consisted of the following:</w:t>
      </w:r>
    </w:p>
    <w:p>
      <w:pPr>
        <w:spacing w:after="0" w:line="29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Current</w:t>
            </w:r>
          </w:p>
        </w:tc>
        <w:tc>
          <w:tcPr>
            <w:tcW w:w="5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09"/>
        </w:trPr>
        <w:tc>
          <w:tcPr>
            <w:tcW w:w="61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DCE2EF"/>
          </w:tcPr>
          <w:p>
            <w:pPr>
              <w:ind w:left="120"/>
              <w:spacing w:after="0"/>
              <w:rPr>
                <w:sz w:val="20"/>
                <w:szCs w:val="20"/>
                <w:color w:val="auto"/>
              </w:rPr>
            </w:pPr>
            <w:r>
              <w:rPr>
                <w:rFonts w:ascii="Arial" w:cs="Arial" w:eastAsia="Arial" w:hAnsi="Arial"/>
                <w:sz w:val="18"/>
                <w:szCs w:val="18"/>
                <w:color w:val="auto"/>
              </w:rPr>
              <w:t>Payroll and related obligations</w:t>
            </w:r>
          </w:p>
        </w:tc>
        <w:tc>
          <w:tcPr>
            <w:tcW w:w="500" w:type="dxa"/>
            <w:vAlign w:val="bottom"/>
            <w:shd w:val="clear" w:color="auto" w:fill="DCE2EF"/>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49,091,745</w:t>
            </w:r>
          </w:p>
        </w:tc>
        <w:tc>
          <w:tcPr>
            <w:tcW w:w="120" w:type="dxa"/>
            <w:vAlign w:val="bottom"/>
            <w:shd w:val="clear" w:color="auto" w:fill="DCE2EF"/>
          </w:tcPr>
          <w:p>
            <w:pPr>
              <w:spacing w:after="0"/>
              <w:rPr>
                <w:sz w:val="19"/>
                <w:szCs w:val="19"/>
                <w:color w:val="auto"/>
              </w:rPr>
            </w:pPr>
          </w:p>
        </w:tc>
        <w:tc>
          <w:tcPr>
            <w:tcW w:w="500" w:type="dxa"/>
            <w:vAlign w:val="bottom"/>
            <w:shd w:val="clear" w:color="auto" w:fill="DCE2EF"/>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34,547,042</w:t>
            </w:r>
          </w:p>
        </w:tc>
        <w:tc>
          <w:tcPr>
            <w:tcW w:w="0" w:type="dxa"/>
            <w:vAlign w:val="bottom"/>
          </w:tcPr>
          <w:p>
            <w:pPr>
              <w:spacing w:after="0"/>
              <w:rPr>
                <w:sz w:val="1"/>
                <w:szCs w:val="1"/>
                <w:color w:val="auto"/>
              </w:rPr>
            </w:pPr>
          </w:p>
        </w:tc>
      </w:tr>
      <w:tr>
        <w:trPr>
          <w:trHeight w:val="230"/>
        </w:trPr>
        <w:tc>
          <w:tcPr>
            <w:tcW w:w="6100" w:type="dxa"/>
            <w:vAlign w:val="bottom"/>
          </w:tcPr>
          <w:p>
            <w:pPr>
              <w:ind w:left="120"/>
              <w:spacing w:after="0"/>
              <w:rPr>
                <w:sz w:val="20"/>
                <w:szCs w:val="20"/>
                <w:color w:val="auto"/>
              </w:rPr>
            </w:pPr>
            <w:r>
              <w:rPr>
                <w:rFonts w:ascii="Arial" w:cs="Arial" w:eastAsia="Arial" w:hAnsi="Arial"/>
                <w:sz w:val="18"/>
                <w:szCs w:val="18"/>
                <w:color w:val="auto"/>
              </w:rPr>
              <w:t>Pension and health and welfare</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1,327,517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2,234,407</w:t>
            </w:r>
          </w:p>
        </w:tc>
        <w:tc>
          <w:tcPr>
            <w:tcW w:w="0" w:type="dxa"/>
            <w:vAlign w:val="bottom"/>
          </w:tcPr>
          <w:p>
            <w:pPr>
              <w:spacing w:after="0"/>
              <w:rPr>
                <w:sz w:val="1"/>
                <w:szCs w:val="1"/>
                <w:color w:val="auto"/>
              </w:rPr>
            </w:pPr>
          </w:p>
        </w:tc>
      </w:tr>
      <w:tr>
        <w:trPr>
          <w:trHeight w:val="229"/>
        </w:trPr>
        <w:tc>
          <w:tcPr>
            <w:tcW w:w="6100" w:type="dxa"/>
            <w:vAlign w:val="bottom"/>
            <w:shd w:val="clear" w:color="auto" w:fill="DCE2EF"/>
          </w:tcPr>
          <w:p>
            <w:pPr>
              <w:ind w:left="120"/>
              <w:spacing w:after="0"/>
              <w:rPr>
                <w:sz w:val="20"/>
                <w:szCs w:val="20"/>
                <w:color w:val="auto"/>
              </w:rPr>
            </w:pPr>
            <w:r>
              <w:rPr>
                <w:rFonts w:ascii="Arial" w:cs="Arial" w:eastAsia="Arial" w:hAnsi="Arial"/>
                <w:sz w:val="18"/>
                <w:szCs w:val="18"/>
                <w:color w:val="auto"/>
              </w:rPr>
              <w:t>Taxes other than income taxes</w:t>
            </w:r>
          </w:p>
        </w:tc>
        <w:tc>
          <w:tcPr>
            <w:tcW w:w="500" w:type="dxa"/>
            <w:vAlign w:val="bottom"/>
            <w:shd w:val="clear" w:color="auto" w:fill="DCE2EF"/>
          </w:tcPr>
          <w:p>
            <w:pPr>
              <w:spacing w:after="0"/>
              <w:rPr>
                <w:sz w:val="19"/>
                <w:szCs w:val="19"/>
                <w:color w:val="auto"/>
              </w:rPr>
            </w:pPr>
          </w:p>
        </w:tc>
        <w:tc>
          <w:tcPr>
            <w:tcW w:w="16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1,750,258</w:t>
            </w:r>
          </w:p>
        </w:tc>
        <w:tc>
          <w:tcPr>
            <w:tcW w:w="12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6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3,433,412</w:t>
            </w:r>
          </w:p>
        </w:tc>
        <w:tc>
          <w:tcPr>
            <w:tcW w:w="0" w:type="dxa"/>
            <w:vAlign w:val="bottom"/>
          </w:tcPr>
          <w:p>
            <w:pPr>
              <w:spacing w:after="0"/>
              <w:rPr>
                <w:sz w:val="1"/>
                <w:szCs w:val="1"/>
                <w:color w:val="auto"/>
              </w:rPr>
            </w:pPr>
          </w:p>
        </w:tc>
      </w:tr>
      <w:tr>
        <w:trPr>
          <w:trHeight w:val="230"/>
        </w:trPr>
        <w:tc>
          <w:tcPr>
            <w:tcW w:w="6100" w:type="dxa"/>
            <w:vAlign w:val="bottom"/>
          </w:tcPr>
          <w:p>
            <w:pPr>
              <w:ind w:left="120"/>
              <w:spacing w:after="0"/>
              <w:rPr>
                <w:sz w:val="20"/>
                <w:szCs w:val="20"/>
                <w:color w:val="auto"/>
              </w:rPr>
            </w:pPr>
            <w:r>
              <w:rPr>
                <w:rFonts w:ascii="Arial" w:cs="Arial" w:eastAsia="Arial" w:hAnsi="Arial"/>
                <w:sz w:val="18"/>
                <w:szCs w:val="18"/>
                <w:color w:val="auto"/>
              </w:rPr>
              <w:t>Vacation</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14,793,243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13,050,780</w:t>
            </w:r>
          </w:p>
        </w:tc>
        <w:tc>
          <w:tcPr>
            <w:tcW w:w="0" w:type="dxa"/>
            <w:vAlign w:val="bottom"/>
          </w:tcPr>
          <w:p>
            <w:pPr>
              <w:spacing w:after="0"/>
              <w:rPr>
                <w:sz w:val="1"/>
                <w:szCs w:val="1"/>
                <w:color w:val="auto"/>
              </w:rPr>
            </w:pPr>
          </w:p>
        </w:tc>
      </w:tr>
      <w:tr>
        <w:trPr>
          <w:trHeight w:val="229"/>
        </w:trPr>
        <w:tc>
          <w:tcPr>
            <w:tcW w:w="6100" w:type="dxa"/>
            <w:vAlign w:val="bottom"/>
            <w:shd w:val="clear" w:color="auto" w:fill="DCE2EF"/>
          </w:tcPr>
          <w:p>
            <w:pPr>
              <w:ind w:left="120"/>
              <w:spacing w:after="0"/>
              <w:rPr>
                <w:sz w:val="20"/>
                <w:szCs w:val="20"/>
                <w:color w:val="auto"/>
              </w:rPr>
            </w:pPr>
            <w:r>
              <w:rPr>
                <w:rFonts w:ascii="Arial" w:cs="Arial" w:eastAsia="Arial" w:hAnsi="Arial"/>
                <w:sz w:val="18"/>
                <w:szCs w:val="18"/>
                <w:color w:val="auto"/>
              </w:rPr>
              <w:t>Workers' compensation</w:t>
            </w:r>
          </w:p>
        </w:tc>
        <w:tc>
          <w:tcPr>
            <w:tcW w:w="500" w:type="dxa"/>
            <w:vAlign w:val="bottom"/>
            <w:shd w:val="clear" w:color="auto" w:fill="DCE2EF"/>
          </w:tcPr>
          <w:p>
            <w:pPr>
              <w:spacing w:after="0"/>
              <w:rPr>
                <w:sz w:val="19"/>
                <w:szCs w:val="19"/>
                <w:color w:val="auto"/>
              </w:rPr>
            </w:pPr>
          </w:p>
        </w:tc>
        <w:tc>
          <w:tcPr>
            <w:tcW w:w="16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17,913,567</w:t>
            </w:r>
          </w:p>
        </w:tc>
        <w:tc>
          <w:tcPr>
            <w:tcW w:w="12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6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19,062,558</w:t>
            </w:r>
          </w:p>
        </w:tc>
        <w:tc>
          <w:tcPr>
            <w:tcW w:w="0" w:type="dxa"/>
            <w:vAlign w:val="bottom"/>
          </w:tcPr>
          <w:p>
            <w:pPr>
              <w:spacing w:after="0"/>
              <w:rPr>
                <w:sz w:val="1"/>
                <w:szCs w:val="1"/>
                <w:color w:val="auto"/>
              </w:rPr>
            </w:pPr>
          </w:p>
        </w:tc>
      </w:tr>
      <w:tr>
        <w:trPr>
          <w:trHeight w:val="229"/>
        </w:trPr>
        <w:tc>
          <w:tcPr>
            <w:tcW w:w="6100" w:type="dxa"/>
            <w:vAlign w:val="bottom"/>
          </w:tcPr>
          <w:p>
            <w:pPr>
              <w:ind w:left="120"/>
              <w:spacing w:after="0"/>
              <w:rPr>
                <w:sz w:val="20"/>
                <w:szCs w:val="20"/>
                <w:color w:val="auto"/>
              </w:rPr>
            </w:pPr>
            <w:r>
              <w:rPr>
                <w:rFonts w:ascii="Arial" w:cs="Arial" w:eastAsia="Arial" w:hAnsi="Arial"/>
                <w:sz w:val="18"/>
                <w:szCs w:val="18"/>
                <w:color w:val="auto"/>
              </w:rPr>
              <w:t>Payroll taxes, net of current portion</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12,504,618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00" w:type="dxa"/>
            <w:vAlign w:val="bottom"/>
            <w:shd w:val="clear" w:color="auto" w:fill="DCE2EF"/>
          </w:tcPr>
          <w:p>
            <w:pPr>
              <w:ind w:left="12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DCE2EF"/>
          </w:tcPr>
          <w:p>
            <w:pPr>
              <w:spacing w:after="0"/>
              <w:rPr>
                <w:sz w:val="19"/>
                <w:szCs w:val="19"/>
                <w:color w:val="auto"/>
              </w:rPr>
            </w:pPr>
          </w:p>
        </w:tc>
        <w:tc>
          <w:tcPr>
            <w:tcW w:w="16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5,587,325</w:t>
            </w:r>
          </w:p>
        </w:tc>
        <w:tc>
          <w:tcPr>
            <w:tcW w:w="120" w:type="dxa"/>
            <w:vAlign w:val="bottom"/>
            <w:shd w:val="clear" w:color="auto" w:fill="DCE2EF"/>
          </w:tcPr>
          <w:p>
            <w:pPr>
              <w:spacing w:after="0"/>
              <w:rPr>
                <w:sz w:val="19"/>
                <w:szCs w:val="19"/>
                <w:color w:val="auto"/>
              </w:rPr>
            </w:pPr>
          </w:p>
        </w:tc>
        <w:tc>
          <w:tcPr>
            <w:tcW w:w="500" w:type="dxa"/>
            <w:vAlign w:val="bottom"/>
            <w:tcBorders>
              <w:bottom w:val="single" w:sz="8" w:color="auto"/>
            </w:tcBorders>
            <w:shd w:val="clear" w:color="auto" w:fill="DCE2EF"/>
          </w:tcPr>
          <w:p>
            <w:pPr>
              <w:spacing w:after="0"/>
              <w:rPr>
                <w:sz w:val="19"/>
                <w:szCs w:val="19"/>
                <w:color w:val="auto"/>
              </w:rPr>
            </w:pPr>
          </w:p>
        </w:tc>
        <w:tc>
          <w:tcPr>
            <w:tcW w:w="16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4,807,814</w:t>
            </w:r>
          </w:p>
        </w:tc>
        <w:tc>
          <w:tcPr>
            <w:tcW w:w="0" w:type="dxa"/>
            <w:vAlign w:val="bottom"/>
          </w:tcPr>
          <w:p>
            <w:pPr>
              <w:spacing w:after="0"/>
              <w:rPr>
                <w:sz w:val="1"/>
                <w:szCs w:val="1"/>
                <w:color w:val="auto"/>
              </w:rPr>
            </w:pPr>
          </w:p>
        </w:tc>
      </w:tr>
      <w:tr>
        <w:trPr>
          <w:trHeight w:val="223"/>
        </w:trPr>
        <w:tc>
          <w:tcPr>
            <w:tcW w:w="6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102,968,273</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77,136,013</w:t>
            </w:r>
          </w:p>
        </w:tc>
        <w:tc>
          <w:tcPr>
            <w:tcW w:w="0" w:type="dxa"/>
            <w:vAlign w:val="bottom"/>
          </w:tcPr>
          <w:p>
            <w:pPr>
              <w:spacing w:after="0"/>
              <w:rPr>
                <w:sz w:val="1"/>
                <w:szCs w:val="1"/>
                <w:color w:val="auto"/>
              </w:rPr>
            </w:pPr>
          </w:p>
        </w:tc>
      </w:tr>
      <w:tr>
        <w:trPr>
          <w:trHeight w:val="21"/>
        </w:trPr>
        <w:tc>
          <w:tcPr>
            <w:tcW w:w="6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LINE OF CREDIT</w:t>
      </w:r>
    </w:p>
    <w:p>
      <w:pPr>
        <w:spacing w:after="0" w:line="252" w:lineRule="exact"/>
        <w:rPr>
          <w:rFonts w:ascii="Arial" w:cs="Arial" w:eastAsia="Arial" w:hAnsi="Arial"/>
          <w:sz w:val="18"/>
          <w:szCs w:val="18"/>
          <w:color w:val="auto"/>
        </w:rPr>
      </w:pPr>
    </w:p>
    <w:p>
      <w:pPr>
        <w:jc w:val="both"/>
        <w:ind w:left="340"/>
        <w:spacing w:after="0" w:line="272" w:lineRule="auto"/>
        <w:rPr>
          <w:rFonts w:ascii="Arial" w:cs="Arial" w:eastAsia="Arial" w:hAnsi="Arial"/>
          <w:sz w:val="18"/>
          <w:szCs w:val="18"/>
          <w:color w:val="auto"/>
        </w:rPr>
      </w:pPr>
      <w:r>
        <w:rPr>
          <w:rFonts w:ascii="Arial" w:cs="Arial" w:eastAsia="Arial" w:hAnsi="Arial"/>
          <w:sz w:val="17"/>
          <w:szCs w:val="17"/>
          <w:color w:val="auto"/>
        </w:rPr>
        <w:t>On March 19, 2016, the Company entered into an amendment to the credit agreement extending its revolving credit line through January 23, 2018. The agreement was subsequently extended through November 1, 2021 through a second amended and restated credit agreement. Outstanding borrowings under the line of credit shall not at any time exceed 75% of the Company's eligible accounts receivable. Interest accrues at a rate of LIBOR plus 1.35%. There were no outstanding balances on the line of credit as of December 31, 2020 and 2019. The line secures a standby letter of credit with the insurance company providing workers' compensation insurance coverage. At December 31, 2020 and 2019 the outstanding letter of credit was $25,535,000 and $30,063,209, respectively. The agreement requires the Company to comply with various financial covenants. The Company is in compliance with all financial covenants as of December 31, 2020.</w:t>
      </w:r>
    </w:p>
    <w:p>
      <w:pPr>
        <w:spacing w:after="0" w:line="204"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DEFERRED CONSIDERATION</w:t>
      </w:r>
    </w:p>
    <w:p>
      <w:pPr>
        <w:spacing w:after="0" w:line="252" w:lineRule="exact"/>
        <w:rPr>
          <w:rFonts w:ascii="Arial" w:cs="Arial" w:eastAsia="Arial" w:hAnsi="Arial"/>
          <w:sz w:val="18"/>
          <w:szCs w:val="18"/>
          <w:color w:val="auto"/>
        </w:rPr>
      </w:pPr>
    </w:p>
    <w:p>
      <w:pPr>
        <w:jc w:val="both"/>
        <w:ind w:left="340"/>
        <w:spacing w:after="0" w:line="254" w:lineRule="auto"/>
        <w:rPr>
          <w:rFonts w:ascii="Arial" w:cs="Arial" w:eastAsia="Arial" w:hAnsi="Arial"/>
          <w:sz w:val="18"/>
          <w:szCs w:val="18"/>
          <w:color w:val="auto"/>
        </w:rPr>
      </w:pPr>
      <w:r>
        <w:rPr>
          <w:rFonts w:ascii="Arial" w:cs="Arial" w:eastAsia="Arial" w:hAnsi="Arial"/>
          <w:sz w:val="18"/>
          <w:szCs w:val="18"/>
          <w:color w:val="auto"/>
        </w:rPr>
        <w:t>In December 2014, the Company entered into an asset purchase agreement among AES, Able Advantage Acquisition Inc. (collectively, the "Buyers"), Hill Mechanical Operations, Advantage Operations Inc. (collectively, the "Sellers"), and James Warren Hill, Harold G. Hacker, James B. Hill 11, R.W. Hill, James Billard, The James B. and Robert W. Hill Trust dated June 22, 2009 and the 2012 Hill Children's grantor trust dated December 31, 2012 (collectively, the "Shareholders") with a closing date of January 1, 2015. Under the agreement, the Buyers purchased certain assets and assumed certain liabilities from the Sellers for a purchase price of $11,250,000. The purchase price of $7,000,000 was paid at closing, and $4,250,000, plus interest, through a promissory note payable in five equal installments of approximately $920,438, including interest. During 2020, the Company paid off the remaining balance.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1"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Crown Building Maintenance Co. and Crown Energy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dba Able Services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Combined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2020 and 2019</w:t>
      </w:r>
    </w:p>
    <w:p>
      <w:pPr>
        <w:spacing w:after="0" w:line="157"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52"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BM has one class of common stock with 250,000 shares authorized and 125,000 issued and outstanding with no par value. AES has one class of common stock with 10,000 shares authorized and 1,000 shares issued and outstanding with a par value of $50 per share.</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LOAN FROM SHAREHOLDER</w:t>
      </w:r>
    </w:p>
    <w:p>
      <w:pPr>
        <w:spacing w:after="0" w:line="252"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BM entered into an amended promissory note with a shareholder dated December 31, 2014 for $33,726,741. The amendment converted all accrued interest as of December 31, 2014 to principal. The loan bears interest at 10% per annum.</w:t>
      </w:r>
    </w:p>
    <w:p>
      <w:pPr>
        <w:spacing w:after="0" w:line="197"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On December 31, 2020, an amended agreement was entered into extending the maturity to March 15, 2022. At December 31, 2020 and 2019 the amounts outstanding inclusive of interest were $10,689,490 and $10,847,223, respectively.</w:t>
      </w:r>
    </w:p>
    <w:p>
      <w:pPr>
        <w:spacing w:after="0" w:line="197"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DEFERRED COMPENSATION</w:t>
      </w:r>
    </w:p>
    <w:p>
      <w:pPr>
        <w:spacing w:after="0" w:line="252" w:lineRule="exact"/>
        <w:rPr>
          <w:rFonts w:ascii="Arial" w:cs="Arial" w:eastAsia="Arial" w:hAnsi="Arial"/>
          <w:sz w:val="18"/>
          <w:szCs w:val="18"/>
          <w:color w:val="auto"/>
        </w:rPr>
      </w:pPr>
    </w:p>
    <w:p>
      <w:pPr>
        <w:jc w:val="both"/>
        <w:ind w:left="340"/>
        <w:spacing w:after="0" w:line="289" w:lineRule="auto"/>
        <w:rPr>
          <w:rFonts w:ascii="Arial" w:cs="Arial" w:eastAsia="Arial" w:hAnsi="Arial"/>
          <w:sz w:val="18"/>
          <w:szCs w:val="18"/>
          <w:color w:val="auto"/>
        </w:rPr>
      </w:pPr>
      <w:r>
        <w:rPr>
          <w:rFonts w:ascii="Arial" w:cs="Arial" w:eastAsia="Arial" w:hAnsi="Arial"/>
          <w:sz w:val="16"/>
          <w:szCs w:val="16"/>
          <w:color w:val="auto"/>
        </w:rPr>
        <w:t>The Company is a party to profit-sharing and deferred compensation retirement plan agreements with several management employees. The agreements call for a payment, determined by a formulized percentage of any gain realized by the Company upon the sale of substantially all of the Company's assets, to be paid to said management employees as bonus compensation if they are employed by the Company at the date of sale. In addition, annual bonuses are earned based on a formulized percentage agreement multiplied by the annual operating profit of the Company as long as the employees are employed by the Company. After termination of employment and assuming the management employee has not engaged in competition with the Company, the employee will be vested in a retirement benefit payable beginning at the age of 65 years. The benefits payable are determined by a formulized percentage of operating profits determined as of the twelve months prior to termination. The amount distributable to each employee, or if they should die, to the designated beneficiary, is payable in installments over 120 months with interest at 3%. Deferred compensation obligations under these plans at December 31, 2020 and 2019 were $25,283,257 and $24,396,827, respectively.</w:t>
      </w:r>
    </w:p>
    <w:p>
      <w:pPr>
        <w:spacing w:after="0" w:line="193" w:lineRule="exact"/>
        <w:rPr>
          <w:rFonts w:ascii="Arial" w:cs="Arial" w:eastAsia="Arial" w:hAnsi="Arial"/>
          <w:sz w:val="18"/>
          <w:szCs w:val="18"/>
          <w:color w:val="auto"/>
        </w:rPr>
      </w:pPr>
    </w:p>
    <w:p>
      <w:pPr>
        <w:jc w:val="both"/>
        <w:ind w:left="340"/>
        <w:spacing w:after="0" w:line="296" w:lineRule="auto"/>
        <w:rPr>
          <w:rFonts w:ascii="Arial" w:cs="Arial" w:eastAsia="Arial" w:hAnsi="Arial"/>
          <w:sz w:val="18"/>
          <w:szCs w:val="18"/>
          <w:color w:val="auto"/>
        </w:rPr>
      </w:pPr>
      <w:r>
        <w:rPr>
          <w:rFonts w:ascii="Arial" w:cs="Arial" w:eastAsia="Arial" w:hAnsi="Arial"/>
          <w:sz w:val="16"/>
          <w:szCs w:val="16"/>
          <w:color w:val="auto"/>
        </w:rPr>
        <w:t>BM has entered into a deferred compensation agreement with a key executive that provides for certain post-retirement benefits. BM has elected to fund this deferred compensation obligation through a rabbi trust. The rabbi trust is subject to creditor claims in the event of insolvency, but the assets held in the rabbi trust are not available for general corporate purposes. The deferred compensation obligation under this plan at December 31, 2020 and 2019 was $4,316,603 and $4,111,051, respectively, and is included in deferred compensation plan liability on the combined balance sheet. Contributions to the rabbi trust amounted to $442,305 and $423,516 during the years ended December 31, 2020 and 2019.</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21" w:right="339" w:bottom="1440" w:gutter="0" w:footer="0" w:header="0"/>
          <w:type w:val="continuous"/>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Crown Building Maintenance Co. and Crown Energy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dba Able Services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Combined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2020 and 2019</w:t>
      </w:r>
    </w:p>
    <w:p>
      <w:pPr>
        <w:spacing w:after="0" w:line="400"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PROFIT SHARING PLANS</w:t>
      </w:r>
    </w:p>
    <w:p>
      <w:pPr>
        <w:spacing w:after="0" w:line="252" w:lineRule="exact"/>
        <w:rPr>
          <w:rFonts w:ascii="Arial" w:cs="Arial" w:eastAsia="Arial" w:hAnsi="Arial"/>
          <w:sz w:val="18"/>
          <w:szCs w:val="18"/>
          <w:color w:val="auto"/>
        </w:rPr>
      </w:pPr>
    </w:p>
    <w:p>
      <w:pPr>
        <w:jc w:val="both"/>
        <w:ind w:left="340"/>
        <w:spacing w:after="0" w:line="220" w:lineRule="exact"/>
        <w:rPr>
          <w:rFonts w:ascii="Arial" w:cs="Arial" w:eastAsia="Arial" w:hAnsi="Arial"/>
          <w:sz w:val="18"/>
          <w:szCs w:val="18"/>
          <w:color w:val="auto"/>
        </w:rPr>
      </w:pPr>
      <w:r>
        <w:rPr>
          <w:rFonts w:ascii="Arial" w:cs="Arial" w:eastAsia="Arial" w:hAnsi="Arial"/>
          <w:sz w:val="16"/>
          <w:szCs w:val="16"/>
          <w:color w:val="auto"/>
        </w:rPr>
        <w:t>AES sponsors two 401(k) plans for its employees. One plan is for the bene</w:t>
      </w:r>
      <w:r>
        <w:rPr>
          <w:rFonts w:ascii="Arial Unicode MS" w:cs="Arial Unicode MS" w:eastAsia="Arial Unicode MS" w:hAnsi="Arial Unicode MS"/>
          <w:sz w:val="16"/>
          <w:szCs w:val="16"/>
          <w:color w:val="auto"/>
        </w:rPr>
        <w:t></w:t>
      </w:r>
      <w:r>
        <w:rPr>
          <w:rFonts w:ascii="Arial" w:cs="Arial" w:eastAsia="Arial" w:hAnsi="Arial"/>
          <w:sz w:val="16"/>
          <w:szCs w:val="16"/>
          <w:color w:val="auto"/>
        </w:rPr>
        <w:t>t of union employees and the other is for the bene</w:t>
      </w:r>
      <w:r>
        <w:rPr>
          <w:rFonts w:ascii="Arial Unicode MS" w:cs="Arial Unicode MS" w:eastAsia="Arial Unicode MS" w:hAnsi="Arial Unicode MS"/>
          <w:sz w:val="16"/>
          <w:szCs w:val="16"/>
          <w:color w:val="auto"/>
        </w:rPr>
        <w:t></w:t>
      </w:r>
      <w:r>
        <w:rPr>
          <w:rFonts w:ascii="Arial" w:cs="Arial" w:eastAsia="Arial" w:hAnsi="Arial"/>
          <w:sz w:val="16"/>
          <w:szCs w:val="16"/>
          <w:color w:val="auto"/>
        </w:rPr>
        <w:t>t of non-union employees. All employees are eligible to participate in the respective plan depending on their union status. The Company does not make any contributions to the union plan. However, the Company makes matching contributions for non-union employees who work at specific job locations as listed in the plan document. Matching contributions are 50% of the employee's contribution to the plan with a maximum of 3% compensation.</w:t>
      </w:r>
    </w:p>
    <w:p>
      <w:pPr>
        <w:spacing w:after="0" w:line="228" w:lineRule="exact"/>
        <w:rPr>
          <w:rFonts w:ascii="Arial" w:cs="Arial" w:eastAsia="Arial" w:hAnsi="Arial"/>
          <w:sz w:val="18"/>
          <w:szCs w:val="18"/>
          <w:color w:val="auto"/>
        </w:rPr>
      </w:pPr>
    </w:p>
    <w:p>
      <w:pPr>
        <w:ind w:left="340"/>
        <w:spacing w:after="0" w:line="342" w:lineRule="auto"/>
        <w:rPr>
          <w:rFonts w:ascii="Arial" w:cs="Arial" w:eastAsia="Arial" w:hAnsi="Arial"/>
          <w:sz w:val="18"/>
          <w:szCs w:val="18"/>
          <w:color w:val="auto"/>
        </w:rPr>
      </w:pPr>
      <w:r>
        <w:rPr>
          <w:rFonts w:ascii="Arial" w:cs="Arial" w:eastAsia="Arial" w:hAnsi="Arial"/>
          <w:sz w:val="16"/>
          <w:szCs w:val="16"/>
          <w:color w:val="auto"/>
        </w:rPr>
        <w:t>Effective July 1, 2015, ABS makes matching contributions for nonunion employees. Non-Union employees are eligible for a match up to a maximum match of 4% of eligible compensation. Contributions to the plans were $1,352,465 and $1,316,306 during 2020 and 2019, respectively.</w:t>
      </w:r>
    </w:p>
    <w:p>
      <w:pPr>
        <w:spacing w:after="0" w:line="150" w:lineRule="exact"/>
        <w:rPr>
          <w:rFonts w:ascii="Arial" w:cs="Arial" w:eastAsia="Arial" w:hAnsi="Arial"/>
          <w:sz w:val="18"/>
          <w:szCs w:val="18"/>
          <w:color w:val="auto"/>
        </w:rPr>
      </w:pPr>
    </w:p>
    <w:p>
      <w:pPr>
        <w:jc w:val="both"/>
        <w:ind w:left="340"/>
        <w:spacing w:after="0" w:line="255" w:lineRule="auto"/>
        <w:rPr>
          <w:rFonts w:ascii="Arial" w:cs="Arial" w:eastAsia="Arial" w:hAnsi="Arial"/>
          <w:sz w:val="18"/>
          <w:szCs w:val="18"/>
          <w:color w:val="auto"/>
        </w:rPr>
      </w:pPr>
      <w:r>
        <w:rPr>
          <w:rFonts w:ascii="Arial" w:cs="Arial" w:eastAsia="Arial" w:hAnsi="Arial"/>
          <w:sz w:val="18"/>
          <w:szCs w:val="18"/>
          <w:color w:val="auto"/>
        </w:rPr>
        <w:t>The union employees at one of the BM's job locations elected to leave their union pension plan during 2010. In lieu of having BM contribute to the union retirement plan, the employees set up a 401(k) plan to which they contribute. Only employees at the job location are eligible to contribute to this plan. BM contributed to the plan at the rate of $0.97 per hour under the terms of the collective bargaining agreement which expired June 30, 2020, and is now month to month. The employees are responsible for all costs of maintaining the plan. Contributions to the plan were $201,994 and $199,194 during 2020 and 2019, respectively. BM also sponsors a 401(k) plan for its nonunion employees. All nonunion employees are eligible to participate in the plan.</w:t>
      </w:r>
    </w:p>
    <w:p>
      <w:pPr>
        <w:spacing w:after="0" w:line="219"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Effective July 1, 2015, BM makes matching contributions for nonunion employees. Non—Union employees are eligible for a match, up to 4% of eligible compensation. Contributions to the plan were $766,438 and $614,229 during 2020 and 2019, respectively.</w:t>
      </w:r>
    </w:p>
    <w:p>
      <w:pPr>
        <w:spacing w:after="0" w:line="197" w:lineRule="exact"/>
        <w:rPr>
          <w:rFonts w:ascii="Arial" w:cs="Arial" w:eastAsia="Arial" w:hAnsi="Arial"/>
          <w:sz w:val="18"/>
          <w:szCs w:val="18"/>
          <w:color w:val="auto"/>
        </w:rPr>
      </w:pPr>
    </w:p>
    <w:p>
      <w:pPr>
        <w:ind w:left="340" w:right="7640" w:hanging="332"/>
        <w:spacing w:after="0" w:line="532"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COMMITMENTS AND CONTINGENCIES </w:t>
      </w:r>
      <w:r>
        <w:rPr>
          <w:rFonts w:ascii="Arial" w:cs="Arial" w:eastAsia="Arial" w:hAnsi="Arial"/>
          <w:sz w:val="18"/>
          <w:szCs w:val="18"/>
          <w:u w:val="single" w:color="auto"/>
          <w:color w:val="auto"/>
        </w:rPr>
        <w:t>Operating leases</w:t>
      </w:r>
    </w:p>
    <w:p>
      <w:pPr>
        <w:ind w:left="340" w:right="20"/>
        <w:spacing w:after="0" w:line="224" w:lineRule="exact"/>
        <w:rPr>
          <w:rFonts w:ascii="Arial" w:cs="Arial" w:eastAsia="Arial" w:hAnsi="Arial"/>
          <w:sz w:val="18"/>
          <w:szCs w:val="18"/>
          <w:color w:val="auto"/>
        </w:rPr>
      </w:pPr>
      <w:r>
        <w:rPr>
          <w:rFonts w:ascii="Arial" w:cs="Arial" w:eastAsia="Arial" w:hAnsi="Arial"/>
          <w:sz w:val="18"/>
          <w:szCs w:val="18"/>
          <w:color w:val="auto"/>
        </w:rPr>
        <w:t>The Company leases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 space under non—cancelable operating leases in California, New York, Colorado, Illinois, and other states. The Company also leases vehicles and equipment under operating leases.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1"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0" w:type="dxa"/>
            <w:vAlign w:val="bottom"/>
            <w:gridSpan w:val="2"/>
          </w:tcPr>
          <w:p>
            <w:pPr>
              <w:ind w:left="880"/>
              <w:spacing w:after="0"/>
              <w:rPr>
                <w:sz w:val="20"/>
                <w:szCs w:val="20"/>
                <w:color w:val="auto"/>
              </w:rPr>
            </w:pPr>
            <w:r>
              <w:rPr>
                <w:rFonts w:ascii="Arial" w:cs="Arial" w:eastAsia="Arial" w:hAnsi="Arial"/>
                <w:sz w:val="18"/>
                <w:szCs w:val="18"/>
                <w:b w:val="1"/>
                <w:bCs w:val="1"/>
                <w:color w:val="auto"/>
                <w:w w:val="89"/>
              </w:rPr>
              <w:t>Exhibit 99.1</w:t>
            </w:r>
          </w:p>
        </w:tc>
        <w:tc>
          <w:tcPr>
            <w:tcW w:w="0" w:type="dxa"/>
            <w:vAlign w:val="bottom"/>
          </w:tcPr>
          <w:p>
            <w:pPr>
              <w:spacing w:after="0"/>
              <w:rPr>
                <w:sz w:val="1"/>
                <w:szCs w:val="1"/>
                <w:color w:val="auto"/>
              </w:rPr>
            </w:pPr>
          </w:p>
        </w:tc>
      </w:tr>
      <w:tr>
        <w:trPr>
          <w:trHeight w:val="755"/>
        </w:trPr>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80" w:type="dxa"/>
            <w:vAlign w:val="bottom"/>
            <w:gridSpan w:val="3"/>
          </w:tcPr>
          <w:p>
            <w:pPr>
              <w:jc w:val="center"/>
              <w:ind w:left="90"/>
              <w:spacing w:after="0"/>
              <w:rPr>
                <w:sz w:val="20"/>
                <w:szCs w:val="20"/>
                <w:color w:val="auto"/>
              </w:rPr>
            </w:pPr>
            <w:r>
              <w:rPr>
                <w:rFonts w:ascii="Arial" w:cs="Arial" w:eastAsia="Arial" w:hAnsi="Arial"/>
                <w:sz w:val="18"/>
                <w:szCs w:val="18"/>
                <w:color w:val="auto"/>
                <w:w w:val="91"/>
              </w:rPr>
              <w:t>Crown Building Maintenance Co. and Crown Energy Services, Inc.</w:t>
            </w: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0" w:type="dxa"/>
            <w:vAlign w:val="bottom"/>
            <w:gridSpan w:val="2"/>
          </w:tcPr>
          <w:p>
            <w:pPr>
              <w:jc w:val="center"/>
              <w:ind w:right="920"/>
              <w:spacing w:after="0"/>
              <w:rPr>
                <w:sz w:val="20"/>
                <w:szCs w:val="20"/>
                <w:color w:val="auto"/>
              </w:rPr>
            </w:pPr>
            <w:r>
              <w:rPr>
                <w:rFonts w:ascii="Arial" w:cs="Arial" w:eastAsia="Arial" w:hAnsi="Arial"/>
                <w:sz w:val="18"/>
                <w:szCs w:val="18"/>
                <w:color w:val="auto"/>
                <w:w w:val="90"/>
              </w:rPr>
              <w:t>dba Able Services</w:t>
            </w:r>
          </w:p>
        </w:tc>
        <w:tc>
          <w:tcPr>
            <w:tcW w:w="7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0" w:type="dxa"/>
            <w:vAlign w:val="bottom"/>
            <w:gridSpan w:val="2"/>
          </w:tcPr>
          <w:p>
            <w:pPr>
              <w:jc w:val="center"/>
              <w:ind w:right="920"/>
              <w:spacing w:after="0"/>
              <w:rPr>
                <w:sz w:val="20"/>
                <w:szCs w:val="20"/>
                <w:color w:val="auto"/>
              </w:rPr>
            </w:pPr>
            <w:r>
              <w:rPr>
                <w:rFonts w:ascii="Arial" w:cs="Arial" w:eastAsia="Arial" w:hAnsi="Arial"/>
                <w:sz w:val="18"/>
                <w:szCs w:val="18"/>
                <w:color w:val="auto"/>
                <w:w w:val="90"/>
              </w:rPr>
              <w:t>Notes to Combined Financial Statements</w:t>
            </w:r>
          </w:p>
        </w:tc>
        <w:tc>
          <w:tcPr>
            <w:tcW w:w="7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0" w:type="dxa"/>
            <w:vAlign w:val="bottom"/>
            <w:gridSpan w:val="2"/>
          </w:tcPr>
          <w:p>
            <w:pPr>
              <w:jc w:val="center"/>
              <w:ind w:right="920"/>
              <w:spacing w:after="0"/>
              <w:rPr>
                <w:sz w:val="20"/>
                <w:szCs w:val="20"/>
                <w:color w:val="auto"/>
              </w:rPr>
            </w:pPr>
            <w:r>
              <w:rPr>
                <w:rFonts w:ascii="Arial" w:cs="Arial" w:eastAsia="Arial" w:hAnsi="Arial"/>
                <w:sz w:val="18"/>
                <w:szCs w:val="18"/>
                <w:color w:val="auto"/>
                <w:w w:val="89"/>
              </w:rPr>
              <w:t>December 31, 2020 and 2019</w:t>
            </w:r>
          </w:p>
        </w:tc>
        <w:tc>
          <w:tcPr>
            <w:tcW w:w="7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8680" w:type="dxa"/>
            <w:vAlign w:val="bottom"/>
            <w:gridSpan w:val="6"/>
          </w:tcPr>
          <w:p>
            <w:pPr>
              <w:spacing w:after="0"/>
              <w:rPr>
                <w:sz w:val="20"/>
                <w:szCs w:val="20"/>
                <w:color w:val="auto"/>
              </w:rPr>
            </w:pPr>
            <w:r>
              <w:rPr>
                <w:rFonts w:ascii="Arial" w:cs="Arial" w:eastAsia="Arial" w:hAnsi="Arial"/>
                <w:sz w:val="18"/>
                <w:szCs w:val="18"/>
                <w:color w:val="auto"/>
              </w:rPr>
              <w:t>12. COMMITMENTS AND CONTINGENCIES (continued)</w:t>
            </w: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8340" w:type="dxa"/>
            <w:vAlign w:val="bottom"/>
            <w:gridSpan w:val="5"/>
          </w:tcPr>
          <w:p>
            <w:pPr>
              <w:spacing w:after="0"/>
              <w:rPr>
                <w:sz w:val="20"/>
                <w:szCs w:val="20"/>
                <w:color w:val="auto"/>
              </w:rPr>
            </w:pPr>
            <w:r>
              <w:rPr>
                <w:rFonts w:ascii="Arial" w:cs="Arial" w:eastAsia="Arial" w:hAnsi="Arial"/>
                <w:sz w:val="18"/>
                <w:szCs w:val="18"/>
                <w:color w:val="auto"/>
              </w:rPr>
              <w:t>Operating leases (continued)</w:t>
            </w: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340" w:type="dxa"/>
            <w:vAlign w:val="bottom"/>
          </w:tcPr>
          <w:p>
            <w:pPr>
              <w:spacing w:after="0"/>
              <w:rPr>
                <w:sz w:val="24"/>
                <w:szCs w:val="24"/>
                <w:color w:val="auto"/>
              </w:rPr>
            </w:pPr>
          </w:p>
        </w:tc>
        <w:tc>
          <w:tcPr>
            <w:tcW w:w="8340" w:type="dxa"/>
            <w:vAlign w:val="bottom"/>
            <w:gridSpan w:val="5"/>
          </w:tcPr>
          <w:p>
            <w:pPr>
              <w:spacing w:after="0"/>
              <w:rPr>
                <w:sz w:val="20"/>
                <w:szCs w:val="20"/>
                <w:color w:val="auto"/>
              </w:rPr>
            </w:pPr>
            <w:r>
              <w:rPr>
                <w:rFonts w:ascii="Arial" w:cs="Arial" w:eastAsia="Arial" w:hAnsi="Arial"/>
                <w:sz w:val="18"/>
                <w:szCs w:val="18"/>
                <w:color w:val="auto"/>
              </w:rPr>
              <w:t>The scheduled minimum lease payments under the lease terms are as follows:</w:t>
            </w: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80" w:type="dxa"/>
            <w:vAlign w:val="bottom"/>
            <w:gridSpan w:val="3"/>
          </w:tcPr>
          <w:p>
            <w:pPr>
              <w:jc w:val="center"/>
              <w:ind w:right="2160"/>
              <w:spacing w:after="0"/>
              <w:rPr>
                <w:sz w:val="20"/>
                <w:szCs w:val="20"/>
                <w:color w:val="auto"/>
              </w:rPr>
            </w:pPr>
            <w:r>
              <w:rPr>
                <w:rFonts w:ascii="Arial" w:cs="Arial" w:eastAsia="Arial" w:hAnsi="Arial"/>
                <w:sz w:val="18"/>
                <w:szCs w:val="18"/>
                <w:color w:val="auto"/>
                <w:w w:val="90"/>
              </w:rPr>
              <w:t>Year Ending December 31,</w:t>
            </w: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40" w:type="dxa"/>
            <w:vAlign w:val="bottom"/>
            <w:vMerge w:val="restart"/>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40" w:type="dxa"/>
            <w:vAlign w:val="bottom"/>
            <w:vMerge w:val="continue"/>
          </w:tcPr>
          <w:p>
            <w:pPr>
              <w:spacing w:after="0"/>
              <w:rPr>
                <w:sz w:val="19"/>
                <w:szCs w:val="19"/>
                <w:color w:val="auto"/>
              </w:rPr>
            </w:pPr>
          </w:p>
        </w:tc>
        <w:tc>
          <w:tcPr>
            <w:tcW w:w="5100" w:type="dxa"/>
            <w:vAlign w:val="bottom"/>
            <w:gridSpan w:val="4"/>
            <w:shd w:val="clear" w:color="auto" w:fill="DCE2EF"/>
          </w:tcPr>
          <w:p>
            <w:pPr>
              <w:jc w:val="center"/>
              <w:ind w:left="3050"/>
              <w:spacing w:after="0"/>
              <w:rPr>
                <w:sz w:val="20"/>
                <w:szCs w:val="20"/>
                <w:color w:val="auto"/>
              </w:rPr>
            </w:pPr>
            <w:r>
              <w:rPr>
                <w:rFonts w:ascii="Arial" w:cs="Arial" w:eastAsia="Arial" w:hAnsi="Arial"/>
                <w:sz w:val="18"/>
                <w:szCs w:val="18"/>
                <w:color w:val="auto"/>
                <w:w w:val="89"/>
              </w:rPr>
              <w:t>2021</w:t>
            </w:r>
          </w:p>
        </w:tc>
        <w:tc>
          <w:tcPr>
            <w:tcW w:w="3240" w:type="dxa"/>
            <w:vAlign w:val="bottom"/>
            <w:shd w:val="clear" w:color="auto" w:fill="DCE2EF"/>
          </w:tcPr>
          <w:p>
            <w:pPr>
              <w:spacing w:after="0"/>
              <w:rPr>
                <w:sz w:val="19"/>
                <w:szCs w:val="19"/>
                <w:color w:val="auto"/>
              </w:rPr>
            </w:pPr>
          </w:p>
        </w:tc>
        <w:tc>
          <w:tcPr>
            <w:tcW w:w="76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3,600,685</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100" w:type="dxa"/>
            <w:vAlign w:val="bottom"/>
            <w:gridSpan w:val="4"/>
          </w:tcPr>
          <w:p>
            <w:pPr>
              <w:jc w:val="center"/>
              <w:ind w:left="3050"/>
              <w:spacing w:after="0"/>
              <w:rPr>
                <w:sz w:val="20"/>
                <w:szCs w:val="20"/>
                <w:color w:val="auto"/>
              </w:rPr>
            </w:pPr>
            <w:r>
              <w:rPr>
                <w:rFonts w:ascii="Arial" w:cs="Arial" w:eastAsia="Arial" w:hAnsi="Arial"/>
                <w:sz w:val="18"/>
                <w:szCs w:val="18"/>
                <w:color w:val="auto"/>
                <w:w w:val="89"/>
              </w:rPr>
              <w:t>2022</w:t>
            </w:r>
          </w:p>
        </w:tc>
        <w:tc>
          <w:tcPr>
            <w:tcW w:w="3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2,410,138</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100" w:type="dxa"/>
            <w:vAlign w:val="bottom"/>
            <w:gridSpan w:val="4"/>
            <w:shd w:val="clear" w:color="auto" w:fill="DCE2EF"/>
          </w:tcPr>
          <w:p>
            <w:pPr>
              <w:jc w:val="center"/>
              <w:ind w:left="3050"/>
              <w:spacing w:after="0"/>
              <w:rPr>
                <w:sz w:val="20"/>
                <w:szCs w:val="20"/>
                <w:color w:val="auto"/>
              </w:rPr>
            </w:pPr>
            <w:r>
              <w:rPr>
                <w:rFonts w:ascii="Arial" w:cs="Arial" w:eastAsia="Arial" w:hAnsi="Arial"/>
                <w:sz w:val="18"/>
                <w:szCs w:val="18"/>
                <w:color w:val="auto"/>
                <w:w w:val="89"/>
              </w:rPr>
              <w:t>2023</w:t>
            </w:r>
          </w:p>
        </w:tc>
        <w:tc>
          <w:tcPr>
            <w:tcW w:w="3240" w:type="dxa"/>
            <w:vAlign w:val="bottom"/>
            <w:shd w:val="clear" w:color="auto" w:fill="DCE2EF"/>
          </w:tcPr>
          <w:p>
            <w:pPr>
              <w:spacing w:after="0"/>
              <w:rPr>
                <w:sz w:val="19"/>
                <w:szCs w:val="19"/>
                <w:color w:val="auto"/>
              </w:rPr>
            </w:pPr>
          </w:p>
        </w:tc>
        <w:tc>
          <w:tcPr>
            <w:tcW w:w="760" w:type="dxa"/>
            <w:vAlign w:val="bottom"/>
            <w:shd w:val="clear" w:color="auto" w:fill="DCE2EF"/>
          </w:tcPr>
          <w:p>
            <w:pPr>
              <w:spacing w:after="0"/>
              <w:rPr>
                <w:sz w:val="19"/>
                <w:szCs w:val="19"/>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1,526,448</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100" w:type="dxa"/>
            <w:vAlign w:val="bottom"/>
            <w:gridSpan w:val="4"/>
          </w:tcPr>
          <w:p>
            <w:pPr>
              <w:jc w:val="center"/>
              <w:ind w:left="3050"/>
              <w:spacing w:after="0"/>
              <w:rPr>
                <w:sz w:val="20"/>
                <w:szCs w:val="20"/>
                <w:color w:val="auto"/>
              </w:rPr>
            </w:pPr>
            <w:r>
              <w:rPr>
                <w:rFonts w:ascii="Arial" w:cs="Arial" w:eastAsia="Arial" w:hAnsi="Arial"/>
                <w:sz w:val="18"/>
                <w:szCs w:val="18"/>
                <w:color w:val="auto"/>
                <w:w w:val="89"/>
              </w:rPr>
              <w:t>2024</w:t>
            </w:r>
          </w:p>
        </w:tc>
        <w:tc>
          <w:tcPr>
            <w:tcW w:w="3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814,986</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100" w:type="dxa"/>
            <w:vAlign w:val="bottom"/>
            <w:gridSpan w:val="4"/>
            <w:shd w:val="clear" w:color="auto" w:fill="DCE2EF"/>
          </w:tcPr>
          <w:p>
            <w:pPr>
              <w:jc w:val="center"/>
              <w:ind w:left="3050"/>
              <w:spacing w:after="0"/>
              <w:rPr>
                <w:sz w:val="20"/>
                <w:szCs w:val="20"/>
                <w:color w:val="auto"/>
              </w:rPr>
            </w:pPr>
            <w:r>
              <w:rPr>
                <w:rFonts w:ascii="Arial" w:cs="Arial" w:eastAsia="Arial" w:hAnsi="Arial"/>
                <w:sz w:val="18"/>
                <w:szCs w:val="18"/>
                <w:color w:val="auto"/>
                <w:w w:val="89"/>
              </w:rPr>
              <w:t>2025</w:t>
            </w:r>
          </w:p>
        </w:tc>
        <w:tc>
          <w:tcPr>
            <w:tcW w:w="3240" w:type="dxa"/>
            <w:vAlign w:val="bottom"/>
            <w:shd w:val="clear" w:color="auto" w:fill="DCE2EF"/>
          </w:tcPr>
          <w:p>
            <w:pPr>
              <w:spacing w:after="0"/>
              <w:rPr>
                <w:sz w:val="19"/>
                <w:szCs w:val="19"/>
                <w:color w:val="auto"/>
              </w:rPr>
            </w:pPr>
          </w:p>
        </w:tc>
        <w:tc>
          <w:tcPr>
            <w:tcW w:w="760" w:type="dxa"/>
            <w:vAlign w:val="bottom"/>
            <w:shd w:val="clear" w:color="auto" w:fill="DCE2EF"/>
          </w:tcPr>
          <w:p>
            <w:pPr>
              <w:spacing w:after="0"/>
              <w:rPr>
                <w:sz w:val="19"/>
                <w:szCs w:val="19"/>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450,071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440" w:type="dxa"/>
            <w:vAlign w:val="bottom"/>
            <w:tcBorders>
              <w:bottom w:val="single" w:sz="8" w:color="DCE2EF"/>
            </w:tcBorders>
          </w:tcPr>
          <w:p>
            <w:pPr>
              <w:spacing w:after="0"/>
              <w:rPr>
                <w:sz w:val="19"/>
                <w:szCs w:val="19"/>
                <w:color w:val="auto"/>
              </w:rPr>
            </w:pPr>
          </w:p>
        </w:tc>
        <w:tc>
          <w:tcPr>
            <w:tcW w:w="620" w:type="dxa"/>
            <w:vAlign w:val="bottom"/>
            <w:tcBorders>
              <w:bottom w:val="single" w:sz="8" w:color="DCE2EF"/>
            </w:tcBorders>
          </w:tcPr>
          <w:p>
            <w:pPr>
              <w:spacing w:after="0"/>
              <w:rPr>
                <w:sz w:val="19"/>
                <w:szCs w:val="19"/>
                <w:color w:val="auto"/>
              </w:rPr>
            </w:pPr>
          </w:p>
        </w:tc>
        <w:tc>
          <w:tcPr>
            <w:tcW w:w="1080" w:type="dxa"/>
            <w:vAlign w:val="bottom"/>
            <w:tcBorders>
              <w:bottom w:val="single" w:sz="8" w:color="DCE2EF"/>
            </w:tcBorders>
          </w:tcPr>
          <w:p>
            <w:pPr>
              <w:spacing w:after="0"/>
              <w:rPr>
                <w:sz w:val="19"/>
                <w:szCs w:val="19"/>
                <w:color w:val="auto"/>
              </w:rPr>
            </w:pPr>
          </w:p>
        </w:tc>
        <w:tc>
          <w:tcPr>
            <w:tcW w:w="5200" w:type="dxa"/>
            <w:vAlign w:val="bottom"/>
            <w:tcBorders>
              <w:bottom w:val="single" w:sz="8" w:color="DCE2EF"/>
            </w:tcBorders>
            <w:gridSpan w:val="2"/>
          </w:tcPr>
          <w:p>
            <w:pPr>
              <w:jc w:val="center"/>
              <w:ind w:right="3240"/>
              <w:spacing w:after="0"/>
              <w:rPr>
                <w:sz w:val="20"/>
                <w:szCs w:val="20"/>
                <w:color w:val="auto"/>
              </w:rPr>
            </w:pPr>
            <w:r>
              <w:rPr>
                <w:rFonts w:ascii="Arial" w:cs="Arial" w:eastAsia="Arial" w:hAnsi="Arial"/>
                <w:sz w:val="18"/>
                <w:szCs w:val="18"/>
                <w:color w:val="auto"/>
                <w:w w:val="91"/>
              </w:rPr>
              <w:t>Thereafter</w:t>
            </w:r>
          </w:p>
        </w:tc>
        <w:tc>
          <w:tcPr>
            <w:tcW w:w="7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198,374</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1440" w:type="dxa"/>
            <w:vAlign w:val="bottom"/>
            <w:tcBorders>
              <w:bottom w:val="single" w:sz="8" w:color="DCE2EF"/>
            </w:tcBorders>
            <w:shd w:val="clear" w:color="auto" w:fill="DCE2EF"/>
          </w:tcPr>
          <w:p>
            <w:pPr>
              <w:spacing w:after="0"/>
              <w:rPr>
                <w:sz w:val="21"/>
                <w:szCs w:val="21"/>
                <w:color w:val="auto"/>
              </w:rPr>
            </w:pPr>
          </w:p>
        </w:tc>
        <w:tc>
          <w:tcPr>
            <w:tcW w:w="620" w:type="dxa"/>
            <w:vAlign w:val="bottom"/>
            <w:tcBorders>
              <w:bottom w:val="single" w:sz="8" w:color="DCE2EF"/>
            </w:tcBorders>
            <w:shd w:val="clear" w:color="auto" w:fill="DCE2EF"/>
          </w:tcPr>
          <w:p>
            <w:pPr>
              <w:spacing w:after="0"/>
              <w:rPr>
                <w:sz w:val="21"/>
                <w:szCs w:val="21"/>
                <w:color w:val="auto"/>
              </w:rPr>
            </w:pPr>
          </w:p>
        </w:tc>
        <w:tc>
          <w:tcPr>
            <w:tcW w:w="1080" w:type="dxa"/>
            <w:vAlign w:val="bottom"/>
            <w:tcBorders>
              <w:bottom w:val="single" w:sz="8" w:color="DCE2EF"/>
            </w:tcBorders>
            <w:shd w:val="clear" w:color="auto" w:fill="DCE2EF"/>
          </w:tcPr>
          <w:p>
            <w:pPr>
              <w:spacing w:after="0"/>
              <w:rPr>
                <w:sz w:val="21"/>
                <w:szCs w:val="21"/>
                <w:color w:val="auto"/>
              </w:rPr>
            </w:pPr>
          </w:p>
        </w:tc>
        <w:tc>
          <w:tcPr>
            <w:tcW w:w="1960" w:type="dxa"/>
            <w:vAlign w:val="bottom"/>
            <w:tcBorders>
              <w:bottom w:val="single" w:sz="8" w:color="DCE2EF"/>
            </w:tcBorders>
            <w:shd w:val="clear" w:color="auto" w:fill="DCE2EF"/>
          </w:tcPr>
          <w:p>
            <w:pPr>
              <w:spacing w:after="0"/>
              <w:rPr>
                <w:sz w:val="21"/>
                <w:szCs w:val="21"/>
                <w:color w:val="auto"/>
              </w:rPr>
            </w:pPr>
          </w:p>
        </w:tc>
        <w:tc>
          <w:tcPr>
            <w:tcW w:w="3240" w:type="dxa"/>
            <w:vAlign w:val="bottom"/>
            <w:tcBorders>
              <w:bottom w:val="single" w:sz="8" w:color="DCE2EF"/>
            </w:tcBorders>
            <w:shd w:val="clear" w:color="auto" w:fill="DCE2EF"/>
          </w:tcPr>
          <w:p>
            <w:pPr>
              <w:spacing w:after="0"/>
              <w:rPr>
                <w:sz w:val="21"/>
                <w:szCs w:val="21"/>
                <w:color w:val="auto"/>
              </w:rPr>
            </w:pPr>
          </w:p>
        </w:tc>
        <w:tc>
          <w:tcPr>
            <w:tcW w:w="760" w:type="dxa"/>
            <w:vAlign w:val="bottom"/>
            <w:tcBorders>
              <w:bottom w:val="single" w:sz="8" w:color="auto"/>
            </w:tcBorders>
            <w:shd w:val="clear" w:color="auto" w:fill="DCE2EF"/>
          </w:tcPr>
          <w:p>
            <w:pPr>
              <w:jc w:val="right"/>
              <w:ind w:right="5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9,000,702</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40" w:type="dxa"/>
            <w:vAlign w:val="bottom"/>
            <w:tcBorders>
              <w:top w:val="single" w:sz="8" w:color="DCE2EF"/>
              <w:bottom w:val="single" w:sz="8" w:color="DCE2EF"/>
            </w:tcBorders>
            <w:vMerge w:val="restart"/>
          </w:tcPr>
          <w:p>
            <w:pPr>
              <w:spacing w:after="0"/>
              <w:rPr>
                <w:sz w:val="20"/>
                <w:szCs w:val="20"/>
                <w:color w:val="auto"/>
              </w:rPr>
            </w:pPr>
            <w:r>
              <w:rPr>
                <w:rFonts w:ascii="Arial" w:cs="Arial" w:eastAsia="Arial" w:hAnsi="Arial"/>
                <w:sz w:val="18"/>
                <w:szCs w:val="18"/>
                <w:color w:val="auto"/>
                <w:w w:val="86"/>
              </w:rPr>
              <w:t>Related party leases</w:t>
            </w:r>
          </w:p>
        </w:tc>
        <w:tc>
          <w:tcPr>
            <w:tcW w:w="6900" w:type="dxa"/>
            <w:vAlign w:val="bottom"/>
            <w:tcBorders>
              <w:top w:val="single" w:sz="8" w:color="DCE2EF"/>
              <w:bottom w:val="single" w:sz="8" w:color="DCE2EF"/>
            </w:tcBorders>
            <w:gridSpan w:val="4"/>
            <w:vMerge w:val="restart"/>
          </w:tcPr>
          <w:p>
            <w:pPr>
              <w:spacing w:after="0" w:line="20" w:lineRule="exact"/>
              <w:rPr>
                <w:sz w:val="1"/>
                <w:szCs w:val="1"/>
                <w:color w:val="auto"/>
              </w:rPr>
            </w:pPr>
          </w:p>
        </w:tc>
        <w:tc>
          <w:tcPr>
            <w:tcW w:w="760" w:type="dxa"/>
            <w:vAlign w:val="bottom"/>
            <w:tcBorders>
              <w:top w:val="single" w:sz="8" w:color="DCE2EF"/>
              <w:bottom w:val="single" w:sz="8" w:color="auto"/>
            </w:tcBorders>
          </w:tcPr>
          <w:p>
            <w:pPr>
              <w:spacing w:after="0" w:line="20" w:lineRule="exact"/>
              <w:rPr>
                <w:sz w:val="1"/>
                <w:szCs w:val="1"/>
                <w:color w:val="auto"/>
              </w:rPr>
            </w:pPr>
          </w:p>
        </w:tc>
        <w:tc>
          <w:tcPr>
            <w:tcW w:w="1420" w:type="dxa"/>
            <w:vAlign w:val="bottom"/>
            <w:tcBorders>
              <w:top w:val="single" w:sz="8" w:color="DCE2EF"/>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40" w:type="dxa"/>
            <w:vAlign w:val="bottom"/>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6900" w:type="dxa"/>
            <w:vAlign w:val="bottom"/>
            <w:gridSpan w:val="4"/>
            <w:vMerge w:val="continue"/>
          </w:tcPr>
          <w:p>
            <w:pPr>
              <w:spacing w:after="0"/>
              <w:rPr>
                <w:sz w:val="21"/>
                <w:szCs w:val="21"/>
                <w:color w:val="auto"/>
              </w:rPr>
            </w:pPr>
          </w:p>
        </w:tc>
        <w:tc>
          <w:tcPr>
            <w:tcW w:w="7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0"/>
        </w:trPr>
        <w:tc>
          <w:tcPr>
            <w:tcW w:w="340" w:type="dxa"/>
            <w:vAlign w:val="bottom"/>
          </w:tcPr>
          <w:p>
            <w:pPr>
              <w:spacing w:after="0"/>
              <w:rPr>
                <w:sz w:val="24"/>
                <w:szCs w:val="24"/>
                <w:color w:val="auto"/>
              </w:rPr>
            </w:pPr>
          </w:p>
        </w:tc>
        <w:tc>
          <w:tcPr>
            <w:tcW w:w="8340" w:type="dxa"/>
            <w:vAlign w:val="bottom"/>
            <w:gridSpan w:val="5"/>
          </w:tcPr>
          <w:p>
            <w:pPr>
              <w:spacing w:after="0"/>
              <w:rPr>
                <w:sz w:val="20"/>
                <w:szCs w:val="20"/>
                <w:color w:val="auto"/>
              </w:rPr>
            </w:pPr>
            <w:r>
              <w:rPr>
                <w:rFonts w:ascii="Arial" w:cs="Arial" w:eastAsia="Arial" w:hAnsi="Arial"/>
                <w:sz w:val="18"/>
                <w:szCs w:val="18"/>
                <w:color w:val="auto"/>
              </w:rPr>
              <w:t>The Company also has two non-cancelable operating leases with a related party.</w:t>
            </w: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40" w:type="dxa"/>
            <w:vAlign w:val="bottom"/>
          </w:tcPr>
          <w:p>
            <w:pPr>
              <w:spacing w:after="0"/>
              <w:rPr>
                <w:sz w:val="24"/>
                <w:szCs w:val="24"/>
                <w:color w:val="auto"/>
              </w:rPr>
            </w:pPr>
          </w:p>
        </w:tc>
        <w:tc>
          <w:tcPr>
            <w:tcW w:w="8340" w:type="dxa"/>
            <w:vAlign w:val="bottom"/>
            <w:gridSpan w:val="5"/>
          </w:tcPr>
          <w:p>
            <w:pPr>
              <w:spacing w:after="0"/>
              <w:rPr>
                <w:sz w:val="20"/>
                <w:szCs w:val="20"/>
                <w:color w:val="auto"/>
              </w:rPr>
            </w:pPr>
            <w:r>
              <w:rPr>
                <w:rFonts w:ascii="Arial" w:cs="Arial" w:eastAsia="Arial" w:hAnsi="Arial"/>
                <w:sz w:val="18"/>
                <w:szCs w:val="18"/>
                <w:color w:val="auto"/>
              </w:rPr>
              <w:t>The scheduled minimum lease payments under the lease terms are as follows:</w:t>
            </w: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80" w:type="dxa"/>
            <w:vAlign w:val="bottom"/>
            <w:gridSpan w:val="3"/>
          </w:tcPr>
          <w:p>
            <w:pPr>
              <w:jc w:val="center"/>
              <w:ind w:right="2160"/>
              <w:spacing w:after="0"/>
              <w:rPr>
                <w:sz w:val="20"/>
                <w:szCs w:val="20"/>
                <w:color w:val="auto"/>
              </w:rPr>
            </w:pPr>
            <w:r>
              <w:rPr>
                <w:rFonts w:ascii="Arial" w:cs="Arial" w:eastAsia="Arial" w:hAnsi="Arial"/>
                <w:sz w:val="18"/>
                <w:szCs w:val="18"/>
                <w:color w:val="auto"/>
                <w:w w:val="90"/>
              </w:rPr>
              <w:t>Year Ending December 31,</w:t>
            </w: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0" w:type="dxa"/>
            <w:vAlign w:val="bottom"/>
            <w:vMerge w:val="continue"/>
          </w:tcPr>
          <w:p>
            <w:pPr>
              <w:spacing w:after="0"/>
              <w:rPr>
                <w:sz w:val="19"/>
                <w:szCs w:val="19"/>
                <w:color w:val="auto"/>
              </w:rPr>
            </w:pPr>
          </w:p>
        </w:tc>
        <w:tc>
          <w:tcPr>
            <w:tcW w:w="5100" w:type="dxa"/>
            <w:vAlign w:val="bottom"/>
            <w:gridSpan w:val="4"/>
            <w:shd w:val="clear" w:color="auto" w:fill="DCE2EF"/>
          </w:tcPr>
          <w:p>
            <w:pPr>
              <w:jc w:val="center"/>
              <w:ind w:left="3050"/>
              <w:spacing w:after="0"/>
              <w:rPr>
                <w:sz w:val="20"/>
                <w:szCs w:val="20"/>
                <w:color w:val="auto"/>
              </w:rPr>
            </w:pPr>
            <w:r>
              <w:rPr>
                <w:rFonts w:ascii="Arial" w:cs="Arial" w:eastAsia="Arial" w:hAnsi="Arial"/>
                <w:sz w:val="18"/>
                <w:szCs w:val="18"/>
                <w:color w:val="auto"/>
                <w:w w:val="89"/>
              </w:rPr>
              <w:t>2021</w:t>
            </w:r>
          </w:p>
        </w:tc>
        <w:tc>
          <w:tcPr>
            <w:tcW w:w="3240" w:type="dxa"/>
            <w:vAlign w:val="bottom"/>
            <w:shd w:val="clear" w:color="auto" w:fill="DCE2EF"/>
          </w:tcPr>
          <w:p>
            <w:pPr>
              <w:spacing w:after="0"/>
              <w:rPr>
                <w:sz w:val="19"/>
                <w:szCs w:val="19"/>
                <w:color w:val="auto"/>
              </w:rPr>
            </w:pPr>
          </w:p>
        </w:tc>
        <w:tc>
          <w:tcPr>
            <w:tcW w:w="76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360,000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100" w:type="dxa"/>
            <w:vAlign w:val="bottom"/>
            <w:gridSpan w:val="4"/>
          </w:tcPr>
          <w:p>
            <w:pPr>
              <w:jc w:val="center"/>
              <w:ind w:left="3050"/>
              <w:spacing w:after="0"/>
              <w:rPr>
                <w:sz w:val="20"/>
                <w:szCs w:val="20"/>
                <w:color w:val="auto"/>
              </w:rPr>
            </w:pPr>
            <w:r>
              <w:rPr>
                <w:rFonts w:ascii="Arial" w:cs="Arial" w:eastAsia="Arial" w:hAnsi="Arial"/>
                <w:sz w:val="18"/>
                <w:szCs w:val="18"/>
                <w:color w:val="auto"/>
                <w:w w:val="89"/>
              </w:rPr>
              <w:t>2022</w:t>
            </w:r>
          </w:p>
        </w:tc>
        <w:tc>
          <w:tcPr>
            <w:tcW w:w="3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360,000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100" w:type="dxa"/>
            <w:vAlign w:val="bottom"/>
            <w:gridSpan w:val="4"/>
            <w:shd w:val="clear" w:color="auto" w:fill="DCE2EF"/>
          </w:tcPr>
          <w:p>
            <w:pPr>
              <w:jc w:val="center"/>
              <w:ind w:left="3050"/>
              <w:spacing w:after="0"/>
              <w:rPr>
                <w:sz w:val="20"/>
                <w:szCs w:val="20"/>
                <w:color w:val="auto"/>
              </w:rPr>
            </w:pPr>
            <w:r>
              <w:rPr>
                <w:rFonts w:ascii="Arial" w:cs="Arial" w:eastAsia="Arial" w:hAnsi="Arial"/>
                <w:sz w:val="18"/>
                <w:szCs w:val="18"/>
                <w:color w:val="auto"/>
                <w:w w:val="89"/>
              </w:rPr>
              <w:t>2023</w:t>
            </w:r>
          </w:p>
        </w:tc>
        <w:tc>
          <w:tcPr>
            <w:tcW w:w="3240" w:type="dxa"/>
            <w:vAlign w:val="bottom"/>
            <w:shd w:val="clear" w:color="auto" w:fill="DCE2EF"/>
          </w:tcPr>
          <w:p>
            <w:pPr>
              <w:spacing w:after="0"/>
              <w:rPr>
                <w:sz w:val="19"/>
                <w:szCs w:val="19"/>
                <w:color w:val="auto"/>
              </w:rPr>
            </w:pPr>
          </w:p>
        </w:tc>
        <w:tc>
          <w:tcPr>
            <w:tcW w:w="760" w:type="dxa"/>
            <w:vAlign w:val="bottom"/>
            <w:shd w:val="clear" w:color="auto" w:fill="DCE2EF"/>
          </w:tcPr>
          <w:p>
            <w:pPr>
              <w:spacing w:after="0"/>
              <w:rPr>
                <w:sz w:val="19"/>
                <w:szCs w:val="19"/>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360,000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100" w:type="dxa"/>
            <w:vAlign w:val="bottom"/>
            <w:gridSpan w:val="4"/>
          </w:tcPr>
          <w:p>
            <w:pPr>
              <w:jc w:val="center"/>
              <w:ind w:left="3050"/>
              <w:spacing w:after="0"/>
              <w:rPr>
                <w:sz w:val="20"/>
                <w:szCs w:val="20"/>
                <w:color w:val="auto"/>
              </w:rPr>
            </w:pPr>
            <w:r>
              <w:rPr>
                <w:rFonts w:ascii="Arial" w:cs="Arial" w:eastAsia="Arial" w:hAnsi="Arial"/>
                <w:sz w:val="18"/>
                <w:szCs w:val="18"/>
                <w:color w:val="auto"/>
                <w:w w:val="89"/>
              </w:rPr>
              <w:t>2024</w:t>
            </w:r>
          </w:p>
        </w:tc>
        <w:tc>
          <w:tcPr>
            <w:tcW w:w="3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250,000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100" w:type="dxa"/>
            <w:vAlign w:val="bottom"/>
            <w:gridSpan w:val="4"/>
            <w:shd w:val="clear" w:color="auto" w:fill="DCE2EF"/>
          </w:tcPr>
          <w:p>
            <w:pPr>
              <w:jc w:val="center"/>
              <w:ind w:left="3050"/>
              <w:spacing w:after="0"/>
              <w:rPr>
                <w:sz w:val="20"/>
                <w:szCs w:val="20"/>
                <w:color w:val="auto"/>
              </w:rPr>
            </w:pPr>
            <w:r>
              <w:rPr>
                <w:rFonts w:ascii="Arial" w:cs="Arial" w:eastAsia="Arial" w:hAnsi="Arial"/>
                <w:sz w:val="18"/>
                <w:szCs w:val="18"/>
                <w:color w:val="auto"/>
                <w:w w:val="89"/>
              </w:rPr>
              <w:t>2025</w:t>
            </w:r>
          </w:p>
        </w:tc>
        <w:tc>
          <w:tcPr>
            <w:tcW w:w="3240" w:type="dxa"/>
            <w:vAlign w:val="bottom"/>
            <w:shd w:val="clear" w:color="auto" w:fill="DCE2EF"/>
          </w:tcPr>
          <w:p>
            <w:pPr>
              <w:spacing w:after="0"/>
              <w:rPr>
                <w:sz w:val="19"/>
                <w:szCs w:val="19"/>
                <w:color w:val="auto"/>
              </w:rPr>
            </w:pPr>
          </w:p>
        </w:tc>
        <w:tc>
          <w:tcPr>
            <w:tcW w:w="760" w:type="dxa"/>
            <w:vAlign w:val="bottom"/>
            <w:shd w:val="clear" w:color="auto" w:fill="DCE2EF"/>
          </w:tcPr>
          <w:p>
            <w:pPr>
              <w:spacing w:after="0"/>
              <w:rPr>
                <w:sz w:val="19"/>
                <w:szCs w:val="19"/>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240,000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1440" w:type="dxa"/>
            <w:vAlign w:val="bottom"/>
            <w:tcBorders>
              <w:bottom w:val="single" w:sz="8" w:color="DCE2EF"/>
            </w:tcBorders>
          </w:tcPr>
          <w:p>
            <w:pPr>
              <w:spacing w:after="0"/>
              <w:rPr>
                <w:sz w:val="19"/>
                <w:szCs w:val="19"/>
                <w:color w:val="auto"/>
              </w:rPr>
            </w:pPr>
          </w:p>
        </w:tc>
        <w:tc>
          <w:tcPr>
            <w:tcW w:w="620" w:type="dxa"/>
            <w:vAlign w:val="bottom"/>
            <w:tcBorders>
              <w:bottom w:val="single" w:sz="8" w:color="DCE2EF"/>
            </w:tcBorders>
          </w:tcPr>
          <w:p>
            <w:pPr>
              <w:spacing w:after="0"/>
              <w:rPr>
                <w:sz w:val="19"/>
                <w:szCs w:val="19"/>
                <w:color w:val="auto"/>
              </w:rPr>
            </w:pPr>
          </w:p>
        </w:tc>
        <w:tc>
          <w:tcPr>
            <w:tcW w:w="1080" w:type="dxa"/>
            <w:vAlign w:val="bottom"/>
            <w:tcBorders>
              <w:bottom w:val="single" w:sz="8" w:color="DCE2EF"/>
            </w:tcBorders>
          </w:tcPr>
          <w:p>
            <w:pPr>
              <w:spacing w:after="0"/>
              <w:rPr>
                <w:sz w:val="19"/>
                <w:szCs w:val="19"/>
                <w:color w:val="auto"/>
              </w:rPr>
            </w:pPr>
          </w:p>
        </w:tc>
        <w:tc>
          <w:tcPr>
            <w:tcW w:w="5200" w:type="dxa"/>
            <w:vAlign w:val="bottom"/>
            <w:tcBorders>
              <w:bottom w:val="single" w:sz="8" w:color="DCE2EF"/>
            </w:tcBorders>
            <w:gridSpan w:val="2"/>
          </w:tcPr>
          <w:p>
            <w:pPr>
              <w:jc w:val="center"/>
              <w:ind w:right="3240"/>
              <w:spacing w:after="0"/>
              <w:rPr>
                <w:sz w:val="20"/>
                <w:szCs w:val="20"/>
                <w:color w:val="auto"/>
              </w:rPr>
            </w:pPr>
            <w:r>
              <w:rPr>
                <w:rFonts w:ascii="Arial" w:cs="Arial" w:eastAsia="Arial" w:hAnsi="Arial"/>
                <w:sz w:val="18"/>
                <w:szCs w:val="18"/>
                <w:color w:val="auto"/>
                <w:w w:val="91"/>
              </w:rPr>
              <w:t>Thereafter</w:t>
            </w:r>
          </w:p>
        </w:tc>
        <w:tc>
          <w:tcPr>
            <w:tcW w:w="7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101,000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1440" w:type="dxa"/>
            <w:vAlign w:val="bottom"/>
            <w:tcBorders>
              <w:bottom w:val="single" w:sz="8" w:color="DCE2EF"/>
            </w:tcBorders>
            <w:shd w:val="clear" w:color="auto" w:fill="DCE2EF"/>
          </w:tcPr>
          <w:p>
            <w:pPr>
              <w:spacing w:after="0"/>
              <w:rPr>
                <w:sz w:val="21"/>
                <w:szCs w:val="21"/>
                <w:color w:val="auto"/>
              </w:rPr>
            </w:pPr>
          </w:p>
        </w:tc>
        <w:tc>
          <w:tcPr>
            <w:tcW w:w="620" w:type="dxa"/>
            <w:vAlign w:val="bottom"/>
            <w:tcBorders>
              <w:bottom w:val="single" w:sz="8" w:color="DCE2EF"/>
            </w:tcBorders>
            <w:shd w:val="clear" w:color="auto" w:fill="DCE2EF"/>
          </w:tcPr>
          <w:p>
            <w:pPr>
              <w:spacing w:after="0"/>
              <w:rPr>
                <w:sz w:val="21"/>
                <w:szCs w:val="21"/>
                <w:color w:val="auto"/>
              </w:rPr>
            </w:pPr>
          </w:p>
        </w:tc>
        <w:tc>
          <w:tcPr>
            <w:tcW w:w="1080" w:type="dxa"/>
            <w:vAlign w:val="bottom"/>
            <w:tcBorders>
              <w:bottom w:val="single" w:sz="8" w:color="DCE2EF"/>
            </w:tcBorders>
            <w:shd w:val="clear" w:color="auto" w:fill="DCE2EF"/>
          </w:tcPr>
          <w:p>
            <w:pPr>
              <w:spacing w:after="0"/>
              <w:rPr>
                <w:sz w:val="21"/>
                <w:szCs w:val="21"/>
                <w:color w:val="auto"/>
              </w:rPr>
            </w:pPr>
          </w:p>
        </w:tc>
        <w:tc>
          <w:tcPr>
            <w:tcW w:w="1960" w:type="dxa"/>
            <w:vAlign w:val="bottom"/>
            <w:tcBorders>
              <w:bottom w:val="single" w:sz="8" w:color="DCE2EF"/>
            </w:tcBorders>
            <w:shd w:val="clear" w:color="auto" w:fill="DCE2EF"/>
          </w:tcPr>
          <w:p>
            <w:pPr>
              <w:spacing w:after="0"/>
              <w:rPr>
                <w:sz w:val="21"/>
                <w:szCs w:val="21"/>
                <w:color w:val="auto"/>
              </w:rPr>
            </w:pPr>
          </w:p>
        </w:tc>
        <w:tc>
          <w:tcPr>
            <w:tcW w:w="3240" w:type="dxa"/>
            <w:vAlign w:val="bottom"/>
            <w:tcBorders>
              <w:bottom w:val="single" w:sz="8" w:color="DCE2EF"/>
            </w:tcBorders>
            <w:shd w:val="clear" w:color="auto" w:fill="DCE2EF"/>
          </w:tcPr>
          <w:p>
            <w:pPr>
              <w:spacing w:after="0"/>
              <w:rPr>
                <w:sz w:val="21"/>
                <w:szCs w:val="21"/>
                <w:color w:val="auto"/>
              </w:rPr>
            </w:pPr>
          </w:p>
        </w:tc>
        <w:tc>
          <w:tcPr>
            <w:tcW w:w="760" w:type="dxa"/>
            <w:vAlign w:val="bottom"/>
            <w:tcBorders>
              <w:bottom w:val="single" w:sz="8" w:color="auto"/>
            </w:tcBorders>
            <w:shd w:val="clear" w:color="auto" w:fill="DCE2EF"/>
          </w:tcPr>
          <w:p>
            <w:pPr>
              <w:jc w:val="right"/>
              <w:ind w:right="5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1,671,000</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40" w:type="dxa"/>
            <w:vAlign w:val="bottom"/>
            <w:tcBorders>
              <w:top w:val="single" w:sz="8" w:color="DCE2EF"/>
            </w:tcBorders>
          </w:tcPr>
          <w:p>
            <w:pPr>
              <w:spacing w:after="0" w:line="20" w:lineRule="exact"/>
              <w:rPr>
                <w:sz w:val="1"/>
                <w:szCs w:val="1"/>
                <w:color w:val="auto"/>
              </w:rPr>
            </w:pPr>
          </w:p>
        </w:tc>
        <w:tc>
          <w:tcPr>
            <w:tcW w:w="620" w:type="dxa"/>
            <w:vAlign w:val="bottom"/>
            <w:tcBorders>
              <w:top w:val="single" w:sz="8" w:color="DCE2EF"/>
            </w:tcBorders>
          </w:tcPr>
          <w:p>
            <w:pPr>
              <w:spacing w:after="0" w:line="20" w:lineRule="exact"/>
              <w:rPr>
                <w:sz w:val="1"/>
                <w:szCs w:val="1"/>
                <w:color w:val="auto"/>
              </w:rPr>
            </w:pPr>
          </w:p>
        </w:tc>
        <w:tc>
          <w:tcPr>
            <w:tcW w:w="1080" w:type="dxa"/>
            <w:vAlign w:val="bottom"/>
            <w:tcBorders>
              <w:top w:val="single" w:sz="8" w:color="DCE2EF"/>
            </w:tcBorders>
          </w:tcPr>
          <w:p>
            <w:pPr>
              <w:spacing w:after="0" w:line="20" w:lineRule="exact"/>
              <w:rPr>
                <w:sz w:val="1"/>
                <w:szCs w:val="1"/>
                <w:color w:val="auto"/>
              </w:rPr>
            </w:pPr>
          </w:p>
        </w:tc>
        <w:tc>
          <w:tcPr>
            <w:tcW w:w="1960" w:type="dxa"/>
            <w:vAlign w:val="bottom"/>
            <w:tcBorders>
              <w:top w:val="single" w:sz="8" w:color="DCE2EF"/>
            </w:tcBorders>
          </w:tcPr>
          <w:p>
            <w:pPr>
              <w:spacing w:after="0" w:line="20" w:lineRule="exact"/>
              <w:rPr>
                <w:sz w:val="1"/>
                <w:szCs w:val="1"/>
                <w:color w:val="auto"/>
              </w:rPr>
            </w:pPr>
          </w:p>
        </w:tc>
        <w:tc>
          <w:tcPr>
            <w:tcW w:w="3240" w:type="dxa"/>
            <w:vAlign w:val="bottom"/>
            <w:tcBorders>
              <w:top w:val="single" w:sz="8" w:color="DCE2EF"/>
            </w:tcBorders>
          </w:tcPr>
          <w:p>
            <w:pPr>
              <w:spacing w:after="0" w:line="20" w:lineRule="exact"/>
              <w:rPr>
                <w:sz w:val="1"/>
                <w:szCs w:val="1"/>
                <w:color w:val="auto"/>
              </w:rPr>
            </w:pPr>
          </w:p>
        </w:tc>
        <w:tc>
          <w:tcPr>
            <w:tcW w:w="760" w:type="dxa"/>
            <w:vAlign w:val="bottom"/>
            <w:tcBorders>
              <w:top w:val="single" w:sz="8" w:color="DCE2EF"/>
              <w:bottom w:val="single" w:sz="8" w:color="auto"/>
            </w:tcBorders>
          </w:tcPr>
          <w:p>
            <w:pPr>
              <w:spacing w:after="0" w:line="20" w:lineRule="exact"/>
              <w:rPr>
                <w:sz w:val="1"/>
                <w:szCs w:val="1"/>
                <w:color w:val="auto"/>
              </w:rPr>
            </w:pPr>
          </w:p>
        </w:tc>
        <w:tc>
          <w:tcPr>
            <w:tcW w:w="1420" w:type="dxa"/>
            <w:vAlign w:val="bottom"/>
            <w:tcBorders>
              <w:top w:val="single" w:sz="8" w:color="DCE2EF"/>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 expense for the years ended December 31, 2020 and 2019 totaled $4,411,244 and $4,410,267, respectively.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Legal proceedings</w:t>
      </w:r>
    </w:p>
    <w:p>
      <w:pPr>
        <w:spacing w:after="0" w:line="252" w:lineRule="exact"/>
        <w:rPr>
          <w:sz w:val="20"/>
          <w:szCs w:val="20"/>
          <w:color w:val="auto"/>
        </w:rPr>
      </w:pPr>
    </w:p>
    <w:p>
      <w:pPr>
        <w:ind w:left="340"/>
        <w:spacing w:after="0" w:line="342" w:lineRule="auto"/>
        <w:rPr>
          <w:sz w:val="20"/>
          <w:szCs w:val="20"/>
          <w:color w:val="auto"/>
        </w:rPr>
      </w:pPr>
      <w:r>
        <w:rPr>
          <w:rFonts w:ascii="Arial" w:cs="Arial" w:eastAsia="Arial" w:hAnsi="Arial"/>
          <w:sz w:val="16"/>
          <w:szCs w:val="16"/>
          <w:color w:val="auto"/>
        </w:rPr>
        <w:t>The Company is subject to certain legal proceedings and claims arising in the normal course of business. The Company believes that the ultimate amount of liability, if any, for any pending claims of any type will not materially affect its financial position, results of operations or liquidity.</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1"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Crown Building Maintenance Co. and Crown Energy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dba Able Services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Combined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2020 and 2019</w:t>
      </w:r>
    </w:p>
    <w:p>
      <w:pPr>
        <w:spacing w:after="0" w:line="400"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MULTI-EMPLOYER PLANS</w:t>
      </w:r>
    </w:p>
    <w:p>
      <w:pPr>
        <w:spacing w:after="0" w:line="252" w:lineRule="exact"/>
        <w:rPr>
          <w:rFonts w:ascii="Arial" w:cs="Arial" w:eastAsia="Arial" w:hAnsi="Arial"/>
          <w:sz w:val="18"/>
          <w:szCs w:val="18"/>
          <w:color w:val="auto"/>
        </w:rPr>
      </w:pPr>
    </w:p>
    <w:p>
      <w:pPr>
        <w:ind w:left="340"/>
        <w:spacing w:after="0" w:line="308" w:lineRule="auto"/>
        <w:rPr>
          <w:rFonts w:ascii="Arial" w:cs="Arial" w:eastAsia="Arial" w:hAnsi="Arial"/>
          <w:sz w:val="18"/>
          <w:szCs w:val="18"/>
          <w:color w:val="auto"/>
        </w:rPr>
      </w:pPr>
      <w:r>
        <w:rPr>
          <w:rFonts w:ascii="Arial" w:cs="Arial" w:eastAsia="Arial" w:hAnsi="Arial"/>
          <w:sz w:val="17"/>
          <w:szCs w:val="17"/>
          <w:color w:val="auto"/>
        </w:rPr>
        <w:t>The Company contributes to a number of multiemployer defined pension plans under the terms of collective-bargaining agreements that cover its union-represented employees. The risks of participating in these plans are different from single-employer plans in the following aspects:</w:t>
      </w:r>
    </w:p>
    <w:p>
      <w:pPr>
        <w:spacing w:after="0" w:line="173" w:lineRule="exact"/>
        <w:rPr>
          <w:rFonts w:ascii="Arial" w:cs="Arial" w:eastAsia="Arial" w:hAnsi="Arial"/>
          <w:sz w:val="18"/>
          <w:szCs w:val="18"/>
          <w:color w:val="auto"/>
        </w:rPr>
      </w:pPr>
    </w:p>
    <w:p>
      <w:pPr>
        <w:ind w:left="640" w:hanging="308"/>
        <w:spacing w:after="0"/>
        <w:tabs>
          <w:tab w:leader="none" w:pos="6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Assets contributed to a multiemployer plan by one employer may be used to provide benefits to employees of other participating employers.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If a participating employer stops contributing to the plan, the unfunded obligations of the plan may be borne by the remaining employers.</w:t>
      </w:r>
    </w:p>
    <w:p>
      <w:pPr>
        <w:spacing w:after="0" w:line="263" w:lineRule="exact"/>
        <w:rPr>
          <w:rFonts w:ascii="Arial" w:cs="Arial" w:eastAsia="Arial" w:hAnsi="Arial"/>
          <w:sz w:val="17"/>
          <w:szCs w:val="17"/>
          <w:color w:val="auto"/>
        </w:rPr>
      </w:pPr>
    </w:p>
    <w:p>
      <w:pPr>
        <w:ind w:left="660" w:hanging="328"/>
        <w:spacing w:after="0" w:line="277" w:lineRule="auto"/>
        <w:tabs>
          <w:tab w:leader="none" w:pos="65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If the Company chooses to stop participating in some of its multiemployer plans, the Company may be required to pay to those plans an amount based on the unfunded status of the plan, referred to as a withdrawal liability.</w:t>
      </w:r>
    </w:p>
    <w:p>
      <w:pPr>
        <w:spacing w:after="0" w:line="116"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The Company's participation in these plans for the years ended December 31, 2020 and 2019 is outlined in the table below. The "EIN/Pension Plan Number" column provides the Employer Identification Number (EIN) and the three-digit plan number. Unless otherwise noted, the most recent Pension Protection Act (PPA) zone status available in 2020 and 2019 is for the plan's year end at December 31, 2019 and 2018, respectively. The zone status is based on information that the Company received from the plan and is certified by the plan's actuary. Among other factors, plans in the red zone are generally less than 65 percent funded, plans in the yellow zone are less than 80 percent funded, and plans in the green zone are at least 80 percent funded. The "FIP/RP Status Pending/Implemented" column indicates plans for which a financial improvement plan (FIP) or a rehabilitation plan (RP) is either pending or has been implemented. The last column lists the expiration date(s) of the collective bargaining agreements to which the plans are subject.</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Contributions into multiemployer plans for the years ended December 31, 2020 and 2019 totaled $61,831,633 and $63,288,494, respectively.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1"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Crown Building Maintenance Co. and Crown Energy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dba Able Services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Combined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2020 and 2019</w:t>
      </w:r>
    </w:p>
    <w:p>
      <w:pPr>
        <w:spacing w:after="0" w:line="15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MULTI-EMPLOYER PLANS (continued)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the various pension plans are follows at December 31, 2020:</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164"/>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4"/>
              </w:rPr>
              <w:t>Pension Protection</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5"/>
              </w:rPr>
              <w:t>Zone Status</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9"/>
              </w:rPr>
              <w:t>Expiration Dates</w:t>
            </w:r>
          </w:p>
        </w:tc>
        <w:tc>
          <w:tcPr>
            <w:tcW w:w="0" w:type="dxa"/>
            <w:vAlign w:val="bottom"/>
          </w:tcPr>
          <w:p>
            <w:pPr>
              <w:spacing w:after="0"/>
              <w:rPr>
                <w:sz w:val="1"/>
                <w:szCs w:val="1"/>
                <w:color w:val="auto"/>
              </w:rPr>
            </w:pPr>
          </w:p>
        </w:tc>
      </w:tr>
      <w:tr>
        <w:trPr>
          <w:trHeight w:val="54"/>
        </w:trPr>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3"/>
              </w:rPr>
              <w:t>EIN/Pension Plan</w:t>
            </w: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1"/>
              </w:rPr>
              <w:t>FIP/RP Status</w:t>
            </w: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rPr>
              <w:t>Surcharge</w:t>
            </w:r>
          </w:p>
        </w:tc>
        <w:tc>
          <w:tcPr>
            <w:tcW w:w="10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of Collective</w:t>
            </w:r>
          </w:p>
        </w:tc>
        <w:tc>
          <w:tcPr>
            <w:tcW w:w="0" w:type="dxa"/>
            <w:vAlign w:val="bottom"/>
          </w:tcPr>
          <w:p>
            <w:pPr>
              <w:spacing w:after="0"/>
              <w:rPr>
                <w:sz w:val="1"/>
                <w:szCs w:val="1"/>
                <w:color w:val="auto"/>
              </w:rPr>
            </w:pPr>
          </w:p>
        </w:tc>
      </w:tr>
      <w:tr>
        <w:trPr>
          <w:trHeight w:val="74"/>
        </w:trPr>
        <w:tc>
          <w:tcPr>
            <w:tcW w:w="1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jc w:val="center"/>
              <w:ind w:right="100"/>
              <w:spacing w:after="0" w:line="108" w:lineRule="exact"/>
              <w:rPr>
                <w:sz w:val="20"/>
                <w:szCs w:val="20"/>
                <w:color w:val="auto"/>
              </w:rPr>
            </w:pPr>
            <w:r>
              <w:rPr>
                <w:rFonts w:ascii="Arial" w:cs="Arial" w:eastAsia="Arial" w:hAnsi="Arial"/>
                <w:sz w:val="12"/>
                <w:szCs w:val="12"/>
                <w:b w:val="1"/>
                <w:bCs w:val="1"/>
                <w:color w:val="auto"/>
                <w:w w:val="94"/>
              </w:rPr>
              <w:t>Peindg /</w:t>
            </w: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rPr>
              <w:t>Imposed</w:t>
            </w:r>
          </w:p>
        </w:tc>
        <w:tc>
          <w:tcPr>
            <w:tcW w:w="100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w w:val="95"/>
              </w:rPr>
              <w:t>Bargaining</w:t>
            </w:r>
          </w:p>
        </w:tc>
        <w:tc>
          <w:tcPr>
            <w:tcW w:w="0" w:type="dxa"/>
            <w:vAlign w:val="bottom"/>
          </w:tcPr>
          <w:p>
            <w:pPr>
              <w:spacing w:after="0"/>
              <w:rPr>
                <w:sz w:val="1"/>
                <w:szCs w:val="1"/>
                <w:color w:val="auto"/>
              </w:rPr>
            </w:pPr>
          </w:p>
        </w:tc>
      </w:tr>
      <w:tr>
        <w:trPr>
          <w:trHeight w:val="108"/>
        </w:trPr>
        <w:tc>
          <w:tcPr>
            <w:tcW w:w="1820" w:type="dxa"/>
            <w:vAlign w:val="bottom"/>
            <w:vMerge w:val="restart"/>
          </w:tcPr>
          <w:p>
            <w:pPr>
              <w:ind w:left="520"/>
              <w:spacing w:after="0"/>
              <w:rPr>
                <w:sz w:val="20"/>
                <w:szCs w:val="20"/>
                <w:color w:val="auto"/>
              </w:rPr>
            </w:pPr>
            <w:r>
              <w:rPr>
                <w:rFonts w:ascii="Arial" w:cs="Arial" w:eastAsia="Arial" w:hAnsi="Arial"/>
                <w:sz w:val="13"/>
                <w:szCs w:val="13"/>
                <w:b w:val="1"/>
                <w:bCs w:val="1"/>
                <w:color w:val="auto"/>
              </w:rPr>
              <w:t>Pension Fund</w:t>
            </w:r>
          </w:p>
        </w:tc>
        <w:tc>
          <w:tcPr>
            <w:tcW w:w="100" w:type="dxa"/>
            <w:vAlign w:val="bottom"/>
            <w:vMerge w:val="restart"/>
          </w:tcPr>
          <w:p>
            <w:pPr>
              <w:spacing w:after="0"/>
              <w:rPr>
                <w:sz w:val="9"/>
                <w:szCs w:val="9"/>
                <w:color w:val="auto"/>
              </w:rPr>
            </w:pPr>
          </w:p>
        </w:tc>
        <w:tc>
          <w:tcPr>
            <w:tcW w:w="11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Number</w:t>
            </w:r>
          </w:p>
        </w:tc>
        <w:tc>
          <w:tcPr>
            <w:tcW w:w="120" w:type="dxa"/>
            <w:vAlign w:val="bottom"/>
            <w:vMerge w:val="restart"/>
          </w:tcPr>
          <w:p>
            <w:pPr>
              <w:spacing w:after="0"/>
              <w:rPr>
                <w:sz w:val="9"/>
                <w:szCs w:val="9"/>
                <w:color w:val="auto"/>
              </w:rPr>
            </w:pPr>
          </w:p>
        </w:tc>
        <w:tc>
          <w:tcPr>
            <w:tcW w:w="86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Year-end</w:t>
            </w:r>
          </w:p>
        </w:tc>
        <w:tc>
          <w:tcPr>
            <w:tcW w:w="100" w:type="dxa"/>
            <w:vAlign w:val="bottom"/>
            <w:vMerge w:val="restart"/>
          </w:tcPr>
          <w:p>
            <w:pPr>
              <w:spacing w:after="0"/>
              <w:rPr>
                <w:sz w:val="9"/>
                <w:szCs w:val="9"/>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9"/>
                <w:szCs w:val="9"/>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2019</w:t>
            </w:r>
          </w:p>
        </w:tc>
        <w:tc>
          <w:tcPr>
            <w:tcW w:w="100" w:type="dxa"/>
            <w:vAlign w:val="bottom"/>
          </w:tcPr>
          <w:p>
            <w:pPr>
              <w:spacing w:after="0"/>
              <w:rPr>
                <w:sz w:val="9"/>
                <w:szCs w:val="9"/>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Implemented</w:t>
            </w:r>
          </w:p>
        </w:tc>
        <w:tc>
          <w:tcPr>
            <w:tcW w:w="12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vMerge w:val="restart"/>
          </w:tcPr>
          <w:p>
            <w:pPr>
              <w:jc w:val="right"/>
              <w:ind w:right="233"/>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Agreements</w:t>
            </w:r>
          </w:p>
        </w:tc>
        <w:tc>
          <w:tcPr>
            <w:tcW w:w="0" w:type="dxa"/>
            <w:vAlign w:val="bottom"/>
          </w:tcPr>
          <w:p>
            <w:pPr>
              <w:spacing w:after="0"/>
              <w:rPr>
                <w:sz w:val="1"/>
                <w:szCs w:val="1"/>
                <w:color w:val="auto"/>
              </w:rPr>
            </w:pPr>
          </w:p>
        </w:tc>
      </w:tr>
      <w:tr>
        <w:trPr>
          <w:trHeight w:val="54"/>
        </w:trPr>
        <w:tc>
          <w:tcPr>
            <w:tcW w:w="182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DCE2EF"/>
            </w:tcBorders>
            <w:vMerge w:val="continue"/>
          </w:tcPr>
          <w:p>
            <w:pPr>
              <w:spacing w:after="0"/>
              <w:rPr>
                <w:sz w:val="4"/>
                <w:szCs w:val="4"/>
                <w:color w:val="auto"/>
              </w:rPr>
            </w:pPr>
          </w:p>
        </w:tc>
        <w:tc>
          <w:tcPr>
            <w:tcW w:w="116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DCE2EF"/>
            </w:tcBorders>
            <w:vMerge w:val="continue"/>
          </w:tcPr>
          <w:p>
            <w:pPr>
              <w:spacing w:after="0"/>
              <w:rPr>
                <w:sz w:val="4"/>
                <w:szCs w:val="4"/>
                <w:color w:val="auto"/>
              </w:rPr>
            </w:pPr>
          </w:p>
        </w:tc>
        <w:tc>
          <w:tcPr>
            <w:tcW w:w="86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DCE2EF"/>
            </w:tcBorders>
            <w:vMerge w:val="continue"/>
          </w:tcPr>
          <w:p>
            <w:pPr>
              <w:spacing w:after="0"/>
              <w:rPr>
                <w:sz w:val="4"/>
                <w:szCs w:val="4"/>
                <w:color w:val="auto"/>
              </w:rPr>
            </w:pPr>
          </w:p>
        </w:tc>
        <w:tc>
          <w:tcPr>
            <w:tcW w:w="62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DCE2EF"/>
            </w:tcBorders>
          </w:tcPr>
          <w:p>
            <w:pPr>
              <w:spacing w:after="0"/>
              <w:rPr>
                <w:sz w:val="4"/>
                <w:szCs w:val="4"/>
                <w:color w:val="auto"/>
              </w:rPr>
            </w:pPr>
          </w:p>
        </w:tc>
        <w:tc>
          <w:tcPr>
            <w:tcW w:w="62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DCE2EF"/>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DCE2EF"/>
            </w:tcBorders>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200" w:type="dxa"/>
            <w:vAlign w:val="bottom"/>
            <w:tcBorders>
              <w:bottom w:val="single" w:sz="8" w:color="DCE2E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DCE2E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DCE2EF"/>
            </w:tcBorders>
          </w:tcPr>
          <w:p>
            <w:pPr>
              <w:spacing w:after="0"/>
              <w:rPr>
                <w:sz w:val="4"/>
                <w:szCs w:val="4"/>
                <w:color w:val="auto"/>
              </w:rPr>
            </w:pPr>
          </w:p>
        </w:tc>
        <w:tc>
          <w:tcPr>
            <w:tcW w:w="100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1920" w:type="dxa"/>
            <w:vAlign w:val="bottom"/>
            <w:gridSpan w:val="2"/>
            <w:shd w:val="clear" w:color="auto" w:fill="DCE2EF"/>
          </w:tcPr>
          <w:p>
            <w:pPr>
              <w:ind w:left="20"/>
              <w:spacing w:after="0" w:line="131" w:lineRule="exact"/>
              <w:rPr>
                <w:sz w:val="20"/>
                <w:szCs w:val="20"/>
                <w:color w:val="auto"/>
              </w:rPr>
            </w:pPr>
            <w:r>
              <w:rPr>
                <w:rFonts w:ascii="Arial" w:cs="Arial" w:eastAsia="Arial" w:hAnsi="Arial"/>
                <w:sz w:val="13"/>
                <w:szCs w:val="13"/>
                <w:color w:val="auto"/>
              </w:rPr>
              <w:t>Central Pension Fund of the</w:t>
            </w:r>
          </w:p>
        </w:tc>
        <w:tc>
          <w:tcPr>
            <w:tcW w:w="1160" w:type="dxa"/>
            <w:vAlign w:val="bottom"/>
            <w:shd w:val="clear" w:color="auto" w:fill="DCE2EF"/>
          </w:tcPr>
          <w:p>
            <w:pPr>
              <w:spacing w:after="0"/>
              <w:rPr>
                <w:sz w:val="11"/>
                <w:szCs w:val="11"/>
                <w:color w:val="auto"/>
              </w:rPr>
            </w:pPr>
          </w:p>
        </w:tc>
        <w:tc>
          <w:tcPr>
            <w:tcW w:w="120" w:type="dxa"/>
            <w:vAlign w:val="bottom"/>
            <w:shd w:val="clear" w:color="auto" w:fill="DCE2EF"/>
          </w:tcPr>
          <w:p>
            <w:pPr>
              <w:spacing w:after="0"/>
              <w:rPr>
                <w:sz w:val="11"/>
                <w:szCs w:val="11"/>
                <w:color w:val="auto"/>
              </w:rPr>
            </w:pPr>
          </w:p>
        </w:tc>
        <w:tc>
          <w:tcPr>
            <w:tcW w:w="86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620" w:type="dxa"/>
            <w:vAlign w:val="bottom"/>
            <w:shd w:val="clear" w:color="auto" w:fill="DCE2EF"/>
          </w:tcPr>
          <w:p>
            <w:pPr>
              <w:spacing w:after="0"/>
              <w:rPr>
                <w:sz w:val="11"/>
                <w:szCs w:val="11"/>
                <w:color w:val="auto"/>
              </w:rPr>
            </w:pPr>
          </w:p>
        </w:tc>
        <w:tc>
          <w:tcPr>
            <w:tcW w:w="120" w:type="dxa"/>
            <w:vAlign w:val="bottom"/>
            <w:shd w:val="clear" w:color="auto" w:fill="DCE2EF"/>
          </w:tcPr>
          <w:p>
            <w:pPr>
              <w:spacing w:after="0"/>
              <w:rPr>
                <w:sz w:val="11"/>
                <w:szCs w:val="11"/>
                <w:color w:val="auto"/>
              </w:rPr>
            </w:pPr>
          </w:p>
        </w:tc>
        <w:tc>
          <w:tcPr>
            <w:tcW w:w="62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940" w:type="dxa"/>
            <w:vAlign w:val="bottom"/>
            <w:shd w:val="clear" w:color="auto" w:fill="DCE2EF"/>
          </w:tcPr>
          <w:p>
            <w:pPr>
              <w:spacing w:after="0"/>
              <w:rPr>
                <w:sz w:val="11"/>
                <w:szCs w:val="11"/>
                <w:color w:val="auto"/>
              </w:rPr>
            </w:pPr>
          </w:p>
        </w:tc>
        <w:tc>
          <w:tcPr>
            <w:tcW w:w="120" w:type="dxa"/>
            <w:vAlign w:val="bottom"/>
            <w:shd w:val="clear" w:color="auto" w:fill="DCE2EF"/>
          </w:tcPr>
          <w:p>
            <w:pPr>
              <w:spacing w:after="0"/>
              <w:rPr>
                <w:sz w:val="11"/>
                <w:szCs w:val="11"/>
                <w:color w:val="auto"/>
              </w:rPr>
            </w:pPr>
          </w:p>
        </w:tc>
        <w:tc>
          <w:tcPr>
            <w:tcW w:w="140" w:type="dxa"/>
            <w:vAlign w:val="bottom"/>
            <w:shd w:val="clear" w:color="auto" w:fill="DCE2EF"/>
          </w:tcPr>
          <w:p>
            <w:pPr>
              <w:spacing w:after="0"/>
              <w:rPr>
                <w:sz w:val="11"/>
                <w:szCs w:val="11"/>
                <w:color w:val="auto"/>
              </w:rPr>
            </w:pPr>
          </w:p>
        </w:tc>
        <w:tc>
          <w:tcPr>
            <w:tcW w:w="740" w:type="dxa"/>
            <w:vAlign w:val="bottom"/>
            <w:shd w:val="clear" w:color="auto" w:fill="DCE2EF"/>
          </w:tcPr>
          <w:p>
            <w:pPr>
              <w:spacing w:after="0"/>
              <w:rPr>
                <w:sz w:val="11"/>
                <w:szCs w:val="11"/>
                <w:color w:val="auto"/>
              </w:rPr>
            </w:pPr>
          </w:p>
        </w:tc>
        <w:tc>
          <w:tcPr>
            <w:tcW w:w="200" w:type="dxa"/>
            <w:vAlign w:val="bottom"/>
            <w:shd w:val="clear" w:color="auto" w:fill="DCE2EF"/>
          </w:tcPr>
          <w:p>
            <w:pPr>
              <w:spacing w:after="0"/>
              <w:rPr>
                <w:sz w:val="11"/>
                <w:szCs w:val="11"/>
                <w:color w:val="auto"/>
              </w:rPr>
            </w:pPr>
          </w:p>
        </w:tc>
        <w:tc>
          <w:tcPr>
            <w:tcW w:w="180" w:type="dxa"/>
            <w:vAlign w:val="bottom"/>
            <w:shd w:val="clear" w:color="auto" w:fill="DCE2EF"/>
          </w:tcPr>
          <w:p>
            <w:pPr>
              <w:spacing w:after="0"/>
              <w:rPr>
                <w:sz w:val="11"/>
                <w:szCs w:val="11"/>
                <w:color w:val="auto"/>
              </w:rPr>
            </w:pPr>
          </w:p>
        </w:tc>
        <w:tc>
          <w:tcPr>
            <w:tcW w:w="780" w:type="dxa"/>
            <w:vAlign w:val="bottom"/>
            <w:shd w:val="clear" w:color="auto" w:fill="DCE2EF"/>
          </w:tcPr>
          <w:p>
            <w:pPr>
              <w:spacing w:after="0"/>
              <w:rPr>
                <w:sz w:val="11"/>
                <w:szCs w:val="11"/>
                <w:color w:val="auto"/>
              </w:rPr>
            </w:pPr>
          </w:p>
        </w:tc>
        <w:tc>
          <w:tcPr>
            <w:tcW w:w="100" w:type="dxa"/>
            <w:vAlign w:val="bottom"/>
            <w:shd w:val="clear" w:color="auto" w:fill="DCE2EF"/>
          </w:tcPr>
          <w:p>
            <w:pPr>
              <w:spacing w:after="0"/>
              <w:rPr>
                <w:sz w:val="11"/>
                <w:szCs w:val="11"/>
                <w:color w:val="auto"/>
              </w:rPr>
            </w:pPr>
          </w:p>
        </w:tc>
        <w:tc>
          <w:tcPr>
            <w:tcW w:w="900" w:type="dxa"/>
            <w:vAlign w:val="bottom"/>
            <w:shd w:val="clear" w:color="auto" w:fill="DCE2EF"/>
          </w:tcPr>
          <w:p>
            <w:pPr>
              <w:spacing w:after="0"/>
              <w:rPr>
                <w:sz w:val="11"/>
                <w:szCs w:val="11"/>
                <w:color w:val="auto"/>
              </w:rPr>
            </w:pPr>
          </w:p>
        </w:tc>
        <w:tc>
          <w:tcPr>
            <w:tcW w:w="120" w:type="dxa"/>
            <w:vAlign w:val="bottom"/>
            <w:shd w:val="clear" w:color="auto" w:fill="DCE2EF"/>
          </w:tcPr>
          <w:p>
            <w:pPr>
              <w:spacing w:after="0"/>
              <w:rPr>
                <w:sz w:val="11"/>
                <w:szCs w:val="11"/>
                <w:color w:val="auto"/>
              </w:rPr>
            </w:pPr>
          </w:p>
        </w:tc>
        <w:tc>
          <w:tcPr>
            <w:tcW w:w="1000" w:type="dxa"/>
            <w:vAlign w:val="bottom"/>
            <w:shd w:val="clear" w:color="auto" w:fill="DCE2E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DCE2EF"/>
          </w:tcPr>
          <w:p>
            <w:pPr>
              <w:ind w:left="20"/>
              <w:spacing w:after="0" w:line="135" w:lineRule="exact"/>
              <w:rPr>
                <w:sz w:val="20"/>
                <w:szCs w:val="20"/>
                <w:color w:val="auto"/>
              </w:rPr>
            </w:pPr>
            <w:r>
              <w:rPr>
                <w:rFonts w:ascii="Arial" w:cs="Arial" w:eastAsia="Arial" w:hAnsi="Arial"/>
                <w:sz w:val="13"/>
                <w:szCs w:val="13"/>
                <w:color w:val="auto"/>
              </w:rPr>
              <w:t>IUOE &amp; Participating</w:t>
            </w:r>
          </w:p>
        </w:tc>
        <w:tc>
          <w:tcPr>
            <w:tcW w:w="1160" w:type="dxa"/>
            <w:vAlign w:val="bottom"/>
            <w:vMerge w:val="restart"/>
            <w:shd w:val="clear" w:color="auto" w:fill="DCE2EF"/>
          </w:tcPr>
          <w:p>
            <w:pPr>
              <w:jc w:val="center"/>
              <w:spacing w:after="0"/>
              <w:rPr>
                <w:sz w:val="20"/>
                <w:szCs w:val="20"/>
                <w:color w:val="auto"/>
              </w:rPr>
            </w:pPr>
            <w:r>
              <w:rPr>
                <w:rFonts w:ascii="Arial" w:cs="Arial" w:eastAsia="Arial" w:hAnsi="Arial"/>
                <w:sz w:val="13"/>
                <w:szCs w:val="13"/>
                <w:color w:val="auto"/>
                <w:w w:val="94"/>
              </w:rPr>
              <w:t>36-6052390-001</w:t>
            </w:r>
          </w:p>
        </w:tc>
        <w:tc>
          <w:tcPr>
            <w:tcW w:w="120" w:type="dxa"/>
            <w:vAlign w:val="bottom"/>
            <w:shd w:val="clear" w:color="auto" w:fill="DCE2EF"/>
          </w:tcPr>
          <w:p>
            <w:pPr>
              <w:spacing w:after="0"/>
              <w:rPr>
                <w:sz w:val="11"/>
                <w:szCs w:val="11"/>
                <w:color w:val="auto"/>
              </w:rPr>
            </w:pPr>
          </w:p>
        </w:tc>
        <w:tc>
          <w:tcPr>
            <w:tcW w:w="860" w:type="dxa"/>
            <w:vAlign w:val="bottom"/>
            <w:vMerge w:val="restart"/>
            <w:shd w:val="clear" w:color="auto" w:fill="DCE2EF"/>
          </w:tcPr>
          <w:p>
            <w:pPr>
              <w:jc w:val="center"/>
              <w:spacing w:after="0"/>
              <w:rPr>
                <w:sz w:val="20"/>
                <w:szCs w:val="20"/>
                <w:color w:val="auto"/>
              </w:rPr>
            </w:pPr>
            <w:r>
              <w:rPr>
                <w:rFonts w:ascii="Arial" w:cs="Arial" w:eastAsia="Arial" w:hAnsi="Arial"/>
                <w:sz w:val="13"/>
                <w:szCs w:val="13"/>
                <w:color w:val="auto"/>
                <w:w w:val="93"/>
              </w:rPr>
              <w:t>1/31/2020</w:t>
            </w:r>
          </w:p>
        </w:tc>
        <w:tc>
          <w:tcPr>
            <w:tcW w:w="100" w:type="dxa"/>
            <w:vAlign w:val="bottom"/>
            <w:shd w:val="clear" w:color="auto" w:fill="DCE2EF"/>
          </w:tcPr>
          <w:p>
            <w:pPr>
              <w:spacing w:after="0"/>
              <w:rPr>
                <w:sz w:val="11"/>
                <w:szCs w:val="11"/>
                <w:color w:val="auto"/>
              </w:rPr>
            </w:pPr>
          </w:p>
        </w:tc>
        <w:tc>
          <w:tcPr>
            <w:tcW w:w="740" w:type="dxa"/>
            <w:vAlign w:val="bottom"/>
            <w:gridSpan w:val="2"/>
            <w:vMerge w:val="restart"/>
            <w:shd w:val="clear" w:color="auto" w:fill="DCE2EF"/>
          </w:tcPr>
          <w:p>
            <w:pPr>
              <w:jc w:val="center"/>
              <w:ind w:right="120"/>
              <w:spacing w:after="0"/>
              <w:rPr>
                <w:sz w:val="20"/>
                <w:szCs w:val="20"/>
                <w:color w:val="auto"/>
              </w:rPr>
            </w:pPr>
            <w:r>
              <w:rPr>
                <w:rFonts w:ascii="Arial" w:cs="Arial" w:eastAsia="Arial" w:hAnsi="Arial"/>
                <w:sz w:val="13"/>
                <w:szCs w:val="13"/>
                <w:color w:val="auto"/>
                <w:w w:val="93"/>
              </w:rPr>
              <w:t>Green</w:t>
            </w:r>
          </w:p>
        </w:tc>
        <w:tc>
          <w:tcPr>
            <w:tcW w:w="620" w:type="dxa"/>
            <w:vAlign w:val="bottom"/>
            <w:vMerge w:val="restart"/>
            <w:shd w:val="clear" w:color="auto" w:fill="DCE2EF"/>
          </w:tcPr>
          <w:p>
            <w:pPr>
              <w:jc w:val="center"/>
              <w:spacing w:after="0"/>
              <w:rPr>
                <w:sz w:val="20"/>
                <w:szCs w:val="20"/>
                <w:color w:val="auto"/>
              </w:rPr>
            </w:pPr>
            <w:r>
              <w:rPr>
                <w:rFonts w:ascii="Arial" w:cs="Arial" w:eastAsia="Arial" w:hAnsi="Arial"/>
                <w:sz w:val="13"/>
                <w:szCs w:val="13"/>
                <w:color w:val="auto"/>
                <w:w w:val="88"/>
              </w:rPr>
              <w:t>Green</w:t>
            </w:r>
          </w:p>
        </w:tc>
        <w:tc>
          <w:tcPr>
            <w:tcW w:w="100" w:type="dxa"/>
            <w:vAlign w:val="bottom"/>
            <w:shd w:val="clear" w:color="auto" w:fill="DCE2EF"/>
          </w:tcPr>
          <w:p>
            <w:pPr>
              <w:spacing w:after="0"/>
              <w:rPr>
                <w:sz w:val="11"/>
                <w:szCs w:val="11"/>
                <w:color w:val="auto"/>
              </w:rPr>
            </w:pPr>
          </w:p>
        </w:tc>
        <w:tc>
          <w:tcPr>
            <w:tcW w:w="1060" w:type="dxa"/>
            <w:vAlign w:val="bottom"/>
            <w:gridSpan w:val="2"/>
            <w:vMerge w:val="restart"/>
            <w:shd w:val="clear" w:color="auto" w:fill="DCE2EF"/>
          </w:tcPr>
          <w:p>
            <w:pPr>
              <w:jc w:val="center"/>
              <w:ind w:right="100"/>
              <w:spacing w:after="0"/>
              <w:rPr>
                <w:sz w:val="20"/>
                <w:szCs w:val="20"/>
                <w:color w:val="auto"/>
              </w:rPr>
            </w:pPr>
            <w:r>
              <w:rPr>
                <w:rFonts w:ascii="Arial" w:cs="Arial" w:eastAsia="Arial" w:hAnsi="Arial"/>
                <w:sz w:val="13"/>
                <w:szCs w:val="13"/>
                <w:color w:val="auto"/>
                <w:w w:val="96"/>
              </w:rPr>
              <w:t>No</w:t>
            </w:r>
          </w:p>
        </w:tc>
        <w:tc>
          <w:tcPr>
            <w:tcW w:w="14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19,013,650</w:t>
            </w:r>
          </w:p>
        </w:tc>
        <w:tc>
          <w:tcPr>
            <w:tcW w:w="200" w:type="dxa"/>
            <w:vAlign w:val="bottom"/>
            <w:shd w:val="clear" w:color="auto" w:fill="DCE2EF"/>
          </w:tcPr>
          <w:p>
            <w:pPr>
              <w:spacing w:after="0"/>
              <w:rPr>
                <w:sz w:val="11"/>
                <w:szCs w:val="11"/>
                <w:color w:val="auto"/>
              </w:rPr>
            </w:pPr>
          </w:p>
        </w:tc>
        <w:tc>
          <w:tcPr>
            <w:tcW w:w="180" w:type="dxa"/>
            <w:vAlign w:val="bottom"/>
            <w:vMerge w:val="restart"/>
            <w:shd w:val="clear" w:color="auto" w:fill="DCE2EF"/>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18,883,574</w:t>
            </w:r>
          </w:p>
        </w:tc>
        <w:tc>
          <w:tcPr>
            <w:tcW w:w="100" w:type="dxa"/>
            <w:vAlign w:val="bottom"/>
            <w:shd w:val="clear" w:color="auto" w:fill="DCE2EF"/>
          </w:tcPr>
          <w:p>
            <w:pPr>
              <w:spacing w:after="0"/>
              <w:rPr>
                <w:sz w:val="11"/>
                <w:szCs w:val="11"/>
                <w:color w:val="auto"/>
              </w:rPr>
            </w:pPr>
          </w:p>
        </w:tc>
        <w:tc>
          <w:tcPr>
            <w:tcW w:w="1020" w:type="dxa"/>
            <w:vAlign w:val="bottom"/>
            <w:gridSpan w:val="2"/>
            <w:vMerge w:val="restart"/>
            <w:shd w:val="clear" w:color="auto" w:fill="DCE2EF"/>
          </w:tcPr>
          <w:p>
            <w:pPr>
              <w:jc w:val="center"/>
              <w:ind w:right="100"/>
              <w:spacing w:after="0"/>
              <w:rPr>
                <w:sz w:val="20"/>
                <w:szCs w:val="20"/>
                <w:color w:val="auto"/>
              </w:rPr>
            </w:pPr>
            <w:r>
              <w:rPr>
                <w:rFonts w:ascii="Arial" w:cs="Arial" w:eastAsia="Arial" w:hAnsi="Arial"/>
                <w:sz w:val="13"/>
                <w:szCs w:val="13"/>
                <w:color w:val="auto"/>
                <w:w w:val="96"/>
              </w:rPr>
              <w:t>No</w:t>
            </w:r>
          </w:p>
        </w:tc>
        <w:tc>
          <w:tcPr>
            <w:tcW w:w="1000" w:type="dxa"/>
            <w:vAlign w:val="bottom"/>
            <w:vMerge w:val="restart"/>
            <w:shd w:val="clear" w:color="auto" w:fill="DCE2EF"/>
          </w:tcPr>
          <w:p>
            <w:pPr>
              <w:jc w:val="center"/>
              <w:spacing w:after="0"/>
              <w:rPr>
                <w:sz w:val="20"/>
                <w:szCs w:val="20"/>
                <w:color w:val="auto"/>
              </w:rPr>
            </w:pPr>
            <w:r>
              <w:rPr>
                <w:rFonts w:ascii="Arial" w:cs="Arial" w:eastAsia="Arial" w:hAnsi="Arial"/>
                <w:sz w:val="13"/>
                <w:szCs w:val="13"/>
                <w:color w:val="auto"/>
                <w:w w:val="96"/>
              </w:rPr>
              <w:t>9/7/20 - 6/30/23</w:t>
            </w:r>
          </w:p>
        </w:tc>
        <w:tc>
          <w:tcPr>
            <w:tcW w:w="0" w:type="dxa"/>
            <w:vAlign w:val="bottom"/>
          </w:tcPr>
          <w:p>
            <w:pPr>
              <w:spacing w:after="0"/>
              <w:rPr>
                <w:sz w:val="1"/>
                <w:szCs w:val="1"/>
                <w:color w:val="auto"/>
              </w:rPr>
            </w:pPr>
          </w:p>
        </w:tc>
      </w:tr>
      <w:tr>
        <w:trPr>
          <w:trHeight w:val="186"/>
        </w:trPr>
        <w:tc>
          <w:tcPr>
            <w:tcW w:w="1920" w:type="dxa"/>
            <w:vAlign w:val="bottom"/>
            <w:gridSpan w:val="2"/>
            <w:shd w:val="clear" w:color="auto" w:fill="DCE2EF"/>
          </w:tcPr>
          <w:p>
            <w:pPr>
              <w:ind w:left="20"/>
              <w:spacing w:after="0"/>
              <w:rPr>
                <w:sz w:val="20"/>
                <w:szCs w:val="20"/>
                <w:color w:val="auto"/>
              </w:rPr>
            </w:pPr>
            <w:r>
              <w:rPr>
                <w:rFonts w:ascii="Arial" w:cs="Arial" w:eastAsia="Arial" w:hAnsi="Arial"/>
                <w:sz w:val="13"/>
                <w:szCs w:val="13"/>
                <w:color w:val="auto"/>
              </w:rPr>
              <w:t>Employers (a) (b)</w:t>
            </w:r>
          </w:p>
        </w:tc>
        <w:tc>
          <w:tcPr>
            <w:tcW w:w="1160" w:type="dxa"/>
            <w:vAlign w:val="bottom"/>
            <w:vMerge w:val="continue"/>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860" w:type="dxa"/>
            <w:vAlign w:val="bottom"/>
            <w:vMerge w:val="continue"/>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740" w:type="dxa"/>
            <w:vAlign w:val="bottom"/>
            <w:gridSpan w:val="2"/>
            <w:vMerge w:val="continue"/>
            <w:shd w:val="clear" w:color="auto" w:fill="DCE2EF"/>
          </w:tcPr>
          <w:p>
            <w:pPr>
              <w:spacing w:after="0"/>
              <w:rPr>
                <w:sz w:val="16"/>
                <w:szCs w:val="16"/>
                <w:color w:val="auto"/>
              </w:rPr>
            </w:pPr>
          </w:p>
        </w:tc>
        <w:tc>
          <w:tcPr>
            <w:tcW w:w="620" w:type="dxa"/>
            <w:vAlign w:val="bottom"/>
            <w:vMerge w:val="continue"/>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060" w:type="dxa"/>
            <w:vAlign w:val="bottom"/>
            <w:gridSpan w:val="2"/>
            <w:vMerge w:val="continue"/>
            <w:shd w:val="clear" w:color="auto" w:fill="DCE2EF"/>
          </w:tcPr>
          <w:p>
            <w:pPr>
              <w:spacing w:after="0"/>
              <w:rPr>
                <w:sz w:val="16"/>
                <w:szCs w:val="16"/>
                <w:color w:val="auto"/>
              </w:rPr>
            </w:pPr>
          </w:p>
        </w:tc>
        <w:tc>
          <w:tcPr>
            <w:tcW w:w="140" w:type="dxa"/>
            <w:vAlign w:val="bottom"/>
            <w:vMerge w:val="continue"/>
            <w:shd w:val="clear" w:color="auto" w:fill="DCE2EF"/>
          </w:tcPr>
          <w:p>
            <w:pPr>
              <w:spacing w:after="0"/>
              <w:rPr>
                <w:sz w:val="16"/>
                <w:szCs w:val="16"/>
                <w:color w:val="auto"/>
              </w:rPr>
            </w:pPr>
          </w:p>
        </w:tc>
        <w:tc>
          <w:tcPr>
            <w:tcW w:w="740" w:type="dxa"/>
            <w:vAlign w:val="bottom"/>
            <w:vMerge w:val="continue"/>
            <w:shd w:val="clear" w:color="auto" w:fill="DCE2EF"/>
          </w:tcPr>
          <w:p>
            <w:pPr>
              <w:spacing w:after="0"/>
              <w:rPr>
                <w:sz w:val="16"/>
                <w:szCs w:val="16"/>
                <w:color w:val="auto"/>
              </w:rPr>
            </w:pPr>
          </w:p>
        </w:tc>
        <w:tc>
          <w:tcPr>
            <w:tcW w:w="200" w:type="dxa"/>
            <w:vAlign w:val="bottom"/>
            <w:shd w:val="clear" w:color="auto" w:fill="DCE2EF"/>
          </w:tcPr>
          <w:p>
            <w:pPr>
              <w:spacing w:after="0"/>
              <w:rPr>
                <w:sz w:val="16"/>
                <w:szCs w:val="16"/>
                <w:color w:val="auto"/>
              </w:rPr>
            </w:pPr>
          </w:p>
        </w:tc>
        <w:tc>
          <w:tcPr>
            <w:tcW w:w="180" w:type="dxa"/>
            <w:vAlign w:val="bottom"/>
            <w:vMerge w:val="continue"/>
            <w:shd w:val="clear" w:color="auto" w:fill="DCE2EF"/>
          </w:tcPr>
          <w:p>
            <w:pPr>
              <w:spacing w:after="0"/>
              <w:rPr>
                <w:sz w:val="16"/>
                <w:szCs w:val="16"/>
                <w:color w:val="auto"/>
              </w:rPr>
            </w:pPr>
          </w:p>
        </w:tc>
        <w:tc>
          <w:tcPr>
            <w:tcW w:w="780" w:type="dxa"/>
            <w:vAlign w:val="bottom"/>
            <w:vMerge w:val="continue"/>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020" w:type="dxa"/>
            <w:vAlign w:val="bottom"/>
            <w:gridSpan w:val="2"/>
            <w:vMerge w:val="continue"/>
            <w:shd w:val="clear" w:color="auto" w:fill="DCE2EF"/>
          </w:tcPr>
          <w:p>
            <w:pPr>
              <w:spacing w:after="0"/>
              <w:rPr>
                <w:sz w:val="16"/>
                <w:szCs w:val="16"/>
                <w:color w:val="auto"/>
              </w:rPr>
            </w:pPr>
          </w:p>
        </w:tc>
        <w:tc>
          <w:tcPr>
            <w:tcW w:w="1000" w:type="dxa"/>
            <w:vAlign w:val="bottom"/>
            <w:vMerge w:val="continue"/>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gridSpan w:val="2"/>
          </w:tcPr>
          <w:p>
            <w:pPr>
              <w:ind w:left="20"/>
              <w:spacing w:after="0" w:line="138" w:lineRule="exact"/>
              <w:rPr>
                <w:sz w:val="20"/>
                <w:szCs w:val="20"/>
                <w:color w:val="auto"/>
              </w:rPr>
            </w:pPr>
            <w:r>
              <w:rPr>
                <w:rFonts w:ascii="Arial" w:cs="Arial" w:eastAsia="Arial" w:hAnsi="Arial"/>
                <w:sz w:val="13"/>
                <w:szCs w:val="13"/>
                <w:color w:val="auto"/>
              </w:rPr>
              <w:t>IUOE Stationary Engineers</w:t>
            </w:r>
          </w:p>
        </w:tc>
        <w:tc>
          <w:tcPr>
            <w:tcW w:w="1160" w:type="dxa"/>
            <w:vAlign w:val="bottom"/>
            <w:vMerge w:val="restart"/>
          </w:tcPr>
          <w:p>
            <w:pPr>
              <w:jc w:val="center"/>
              <w:spacing w:after="0"/>
              <w:rPr>
                <w:sz w:val="20"/>
                <w:szCs w:val="20"/>
                <w:color w:val="auto"/>
              </w:rPr>
            </w:pPr>
            <w:r>
              <w:rPr>
                <w:rFonts w:ascii="Arial" w:cs="Arial" w:eastAsia="Arial" w:hAnsi="Arial"/>
                <w:sz w:val="13"/>
                <w:szCs w:val="13"/>
                <w:color w:val="auto"/>
                <w:w w:val="94"/>
              </w:rPr>
              <w:t>94-6118939-001</w:t>
            </w:r>
          </w:p>
        </w:tc>
        <w:tc>
          <w:tcPr>
            <w:tcW w:w="12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w w:val="95"/>
              </w:rPr>
              <w:t>12/31/2019</w:t>
            </w:r>
          </w:p>
        </w:tc>
        <w:tc>
          <w:tcPr>
            <w:tcW w:w="100" w:type="dxa"/>
            <w:vAlign w:val="bottom"/>
          </w:tcPr>
          <w:p>
            <w:pPr>
              <w:spacing w:after="0"/>
              <w:rPr>
                <w:sz w:val="11"/>
                <w:szCs w:val="11"/>
                <w:color w:val="auto"/>
              </w:rPr>
            </w:pP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93"/>
              </w:rPr>
              <w:t>Green</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8"/>
              </w:rPr>
              <w:t>Green</w:t>
            </w:r>
          </w:p>
        </w:tc>
        <w:tc>
          <w:tcPr>
            <w:tcW w:w="100" w:type="dxa"/>
            <w:vAlign w:val="bottom"/>
          </w:tcPr>
          <w:p>
            <w:pPr>
              <w:spacing w:after="0"/>
              <w:rPr>
                <w:sz w:val="11"/>
                <w:szCs w:val="11"/>
                <w:color w:val="auto"/>
              </w:rPr>
            </w:pP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6"/>
              </w:rPr>
              <w:t>No</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30,555,448</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30,582,352</w:t>
            </w:r>
          </w:p>
        </w:tc>
        <w:tc>
          <w:tcPr>
            <w:tcW w:w="100" w:type="dxa"/>
            <w:vAlign w:val="bottom"/>
          </w:tcPr>
          <w:p>
            <w:pPr>
              <w:spacing w:after="0"/>
              <w:rPr>
                <w:sz w:val="11"/>
                <w:szCs w:val="11"/>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6"/>
              </w:rPr>
              <w:t>No</w:t>
            </w:r>
          </w:p>
        </w:tc>
        <w:tc>
          <w:tcPr>
            <w:tcW w:w="1000" w:type="dxa"/>
            <w:vAlign w:val="bottom"/>
          </w:tcPr>
          <w:p>
            <w:pPr>
              <w:jc w:val="center"/>
              <w:spacing w:after="0" w:line="138" w:lineRule="exact"/>
              <w:rPr>
                <w:sz w:val="20"/>
                <w:szCs w:val="20"/>
                <w:color w:val="auto"/>
              </w:rPr>
            </w:pPr>
            <w:r>
              <w:rPr>
                <w:rFonts w:ascii="Arial" w:cs="Arial" w:eastAsia="Arial" w:hAnsi="Arial"/>
                <w:sz w:val="13"/>
                <w:szCs w:val="13"/>
                <w:color w:val="auto"/>
                <w:w w:val="95"/>
              </w:rPr>
              <w:t>Various to</w:t>
            </w:r>
          </w:p>
        </w:tc>
        <w:tc>
          <w:tcPr>
            <w:tcW w:w="0" w:type="dxa"/>
            <w:vAlign w:val="bottom"/>
          </w:tcPr>
          <w:p>
            <w:pPr>
              <w:spacing w:after="0"/>
              <w:rPr>
                <w:sz w:val="1"/>
                <w:szCs w:val="1"/>
                <w:color w:val="auto"/>
              </w:rPr>
            </w:pPr>
          </w:p>
        </w:tc>
      </w:tr>
      <w:tr>
        <w:trPr>
          <w:trHeight w:val="179"/>
        </w:trPr>
        <w:tc>
          <w:tcPr>
            <w:tcW w:w="1920" w:type="dxa"/>
            <w:vAlign w:val="bottom"/>
            <w:gridSpan w:val="2"/>
          </w:tcPr>
          <w:p>
            <w:pPr>
              <w:ind w:left="20"/>
              <w:spacing w:after="0"/>
              <w:rPr>
                <w:sz w:val="20"/>
                <w:szCs w:val="20"/>
                <w:color w:val="auto"/>
              </w:rPr>
            </w:pPr>
            <w:r>
              <w:rPr>
                <w:rFonts w:ascii="Arial" w:cs="Arial" w:eastAsia="Arial" w:hAnsi="Arial"/>
                <w:sz w:val="13"/>
                <w:szCs w:val="13"/>
                <w:color w:val="auto"/>
              </w:rPr>
              <w:t>Local 39 Pension Trust Fund</w:t>
            </w:r>
          </w:p>
        </w:tc>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2"/>
              </w:rPr>
              <w:t>8/31/23</w:t>
            </w:r>
          </w:p>
        </w:tc>
        <w:tc>
          <w:tcPr>
            <w:tcW w:w="0" w:type="dxa"/>
            <w:vAlign w:val="bottom"/>
          </w:tcPr>
          <w:p>
            <w:pPr>
              <w:spacing w:after="0"/>
              <w:rPr>
                <w:sz w:val="1"/>
                <w:szCs w:val="1"/>
                <w:color w:val="auto"/>
              </w:rPr>
            </w:pPr>
          </w:p>
        </w:tc>
      </w:tr>
      <w:tr>
        <w:trPr>
          <w:trHeight w:val="145"/>
        </w:trPr>
        <w:tc>
          <w:tcPr>
            <w:tcW w:w="1920" w:type="dxa"/>
            <w:vAlign w:val="bottom"/>
            <w:gridSpan w:val="2"/>
            <w:shd w:val="clear" w:color="auto" w:fill="DCE2EF"/>
          </w:tcPr>
          <w:p>
            <w:pPr>
              <w:ind w:left="20"/>
              <w:spacing w:after="0" w:line="145" w:lineRule="exact"/>
              <w:rPr>
                <w:sz w:val="20"/>
                <w:szCs w:val="20"/>
                <w:color w:val="auto"/>
              </w:rPr>
            </w:pPr>
            <w:r>
              <w:rPr>
                <w:rFonts w:ascii="Arial" w:cs="Arial" w:eastAsia="Arial" w:hAnsi="Arial"/>
                <w:sz w:val="13"/>
                <w:szCs w:val="13"/>
                <w:color w:val="auto"/>
              </w:rPr>
              <w:t>Building Service 32B] Pension</w:t>
            </w:r>
          </w:p>
        </w:tc>
        <w:tc>
          <w:tcPr>
            <w:tcW w:w="1160" w:type="dxa"/>
            <w:vAlign w:val="bottom"/>
            <w:vMerge w:val="restart"/>
            <w:shd w:val="clear" w:color="auto" w:fill="DCE2EF"/>
          </w:tcPr>
          <w:p>
            <w:pPr>
              <w:jc w:val="center"/>
              <w:spacing w:after="0"/>
              <w:rPr>
                <w:sz w:val="20"/>
                <w:szCs w:val="20"/>
                <w:color w:val="auto"/>
              </w:rPr>
            </w:pPr>
            <w:r>
              <w:rPr>
                <w:rFonts w:ascii="Arial" w:cs="Arial" w:eastAsia="Arial" w:hAnsi="Arial"/>
                <w:sz w:val="13"/>
                <w:szCs w:val="13"/>
                <w:color w:val="auto"/>
                <w:w w:val="94"/>
              </w:rPr>
              <w:t>13-1879376-001</w:t>
            </w:r>
          </w:p>
        </w:tc>
        <w:tc>
          <w:tcPr>
            <w:tcW w:w="120" w:type="dxa"/>
            <w:vAlign w:val="bottom"/>
            <w:shd w:val="clear" w:color="auto" w:fill="DCE2EF"/>
          </w:tcPr>
          <w:p>
            <w:pPr>
              <w:spacing w:after="0"/>
              <w:rPr>
                <w:sz w:val="12"/>
                <w:szCs w:val="12"/>
                <w:color w:val="auto"/>
              </w:rPr>
            </w:pPr>
          </w:p>
        </w:tc>
        <w:tc>
          <w:tcPr>
            <w:tcW w:w="860" w:type="dxa"/>
            <w:vAlign w:val="bottom"/>
            <w:vMerge w:val="restart"/>
            <w:shd w:val="clear" w:color="auto" w:fill="DCE2EF"/>
          </w:tcPr>
          <w:p>
            <w:pPr>
              <w:jc w:val="center"/>
              <w:spacing w:after="0"/>
              <w:rPr>
                <w:sz w:val="20"/>
                <w:szCs w:val="20"/>
                <w:color w:val="auto"/>
              </w:rPr>
            </w:pPr>
            <w:r>
              <w:rPr>
                <w:rFonts w:ascii="Arial" w:cs="Arial" w:eastAsia="Arial" w:hAnsi="Arial"/>
                <w:sz w:val="13"/>
                <w:szCs w:val="13"/>
                <w:color w:val="auto"/>
                <w:w w:val="93"/>
              </w:rPr>
              <w:t>6/30/2019</w:t>
            </w:r>
          </w:p>
        </w:tc>
        <w:tc>
          <w:tcPr>
            <w:tcW w:w="100" w:type="dxa"/>
            <w:vAlign w:val="bottom"/>
            <w:shd w:val="clear" w:color="auto" w:fill="DCE2EF"/>
          </w:tcPr>
          <w:p>
            <w:pPr>
              <w:spacing w:after="0"/>
              <w:rPr>
                <w:sz w:val="12"/>
                <w:szCs w:val="12"/>
                <w:color w:val="auto"/>
              </w:rPr>
            </w:pPr>
          </w:p>
        </w:tc>
        <w:tc>
          <w:tcPr>
            <w:tcW w:w="740" w:type="dxa"/>
            <w:vAlign w:val="bottom"/>
            <w:gridSpan w:val="2"/>
            <w:vMerge w:val="restart"/>
            <w:shd w:val="clear" w:color="auto" w:fill="DCE2EF"/>
          </w:tcPr>
          <w:p>
            <w:pPr>
              <w:jc w:val="center"/>
              <w:ind w:right="120"/>
              <w:spacing w:after="0"/>
              <w:rPr>
                <w:sz w:val="20"/>
                <w:szCs w:val="20"/>
                <w:color w:val="auto"/>
              </w:rPr>
            </w:pPr>
            <w:r>
              <w:rPr>
                <w:rFonts w:ascii="Arial" w:cs="Arial" w:eastAsia="Arial" w:hAnsi="Arial"/>
                <w:sz w:val="13"/>
                <w:szCs w:val="13"/>
                <w:color w:val="auto"/>
                <w:w w:val="92"/>
              </w:rPr>
              <w:t>Red</w:t>
            </w:r>
          </w:p>
        </w:tc>
        <w:tc>
          <w:tcPr>
            <w:tcW w:w="620" w:type="dxa"/>
            <w:vAlign w:val="bottom"/>
            <w:vMerge w:val="restart"/>
            <w:shd w:val="clear" w:color="auto" w:fill="DCE2EF"/>
          </w:tcPr>
          <w:p>
            <w:pPr>
              <w:jc w:val="center"/>
              <w:spacing w:after="0"/>
              <w:rPr>
                <w:sz w:val="20"/>
                <w:szCs w:val="20"/>
                <w:color w:val="auto"/>
              </w:rPr>
            </w:pPr>
            <w:r>
              <w:rPr>
                <w:rFonts w:ascii="Arial" w:cs="Arial" w:eastAsia="Arial" w:hAnsi="Arial"/>
                <w:sz w:val="13"/>
                <w:szCs w:val="13"/>
                <w:color w:val="auto"/>
                <w:w w:val="92"/>
              </w:rPr>
              <w:t>Red</w:t>
            </w:r>
          </w:p>
        </w:tc>
        <w:tc>
          <w:tcPr>
            <w:tcW w:w="100" w:type="dxa"/>
            <w:vAlign w:val="bottom"/>
            <w:shd w:val="clear" w:color="auto" w:fill="DCE2EF"/>
          </w:tcPr>
          <w:p>
            <w:pPr>
              <w:spacing w:after="0"/>
              <w:rPr>
                <w:sz w:val="12"/>
                <w:szCs w:val="12"/>
                <w:color w:val="auto"/>
              </w:rPr>
            </w:pPr>
          </w:p>
        </w:tc>
        <w:tc>
          <w:tcPr>
            <w:tcW w:w="1060" w:type="dxa"/>
            <w:vAlign w:val="bottom"/>
            <w:gridSpan w:val="2"/>
            <w:vMerge w:val="restart"/>
            <w:shd w:val="clear" w:color="auto" w:fill="DCE2EF"/>
          </w:tcPr>
          <w:p>
            <w:pPr>
              <w:jc w:val="center"/>
              <w:ind w:right="100"/>
              <w:spacing w:after="0"/>
              <w:rPr>
                <w:sz w:val="20"/>
                <w:szCs w:val="20"/>
                <w:color w:val="auto"/>
              </w:rPr>
            </w:pPr>
            <w:r>
              <w:rPr>
                <w:rFonts w:ascii="Arial" w:cs="Arial" w:eastAsia="Arial" w:hAnsi="Arial"/>
                <w:sz w:val="13"/>
                <w:szCs w:val="13"/>
                <w:color w:val="auto"/>
                <w:w w:val="95"/>
              </w:rPr>
              <w:t>Implemented</w:t>
            </w:r>
          </w:p>
        </w:tc>
        <w:tc>
          <w:tcPr>
            <w:tcW w:w="140" w:type="dxa"/>
            <w:vAlign w:val="bottom"/>
            <w:shd w:val="clear" w:color="auto" w:fill="DCE2EF"/>
          </w:tcPr>
          <w:p>
            <w:pPr>
              <w:spacing w:after="0"/>
              <w:rPr>
                <w:sz w:val="12"/>
                <w:szCs w:val="12"/>
                <w:color w:val="auto"/>
              </w:rPr>
            </w:pPr>
          </w:p>
        </w:tc>
        <w:tc>
          <w:tcPr>
            <w:tcW w:w="74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2,008,156</w:t>
            </w:r>
          </w:p>
        </w:tc>
        <w:tc>
          <w:tcPr>
            <w:tcW w:w="200" w:type="dxa"/>
            <w:vAlign w:val="bottom"/>
            <w:shd w:val="clear" w:color="auto" w:fill="DCE2EF"/>
          </w:tcPr>
          <w:p>
            <w:pPr>
              <w:spacing w:after="0"/>
              <w:rPr>
                <w:sz w:val="12"/>
                <w:szCs w:val="12"/>
                <w:color w:val="auto"/>
              </w:rPr>
            </w:pPr>
          </w:p>
        </w:tc>
        <w:tc>
          <w:tcPr>
            <w:tcW w:w="180" w:type="dxa"/>
            <w:vAlign w:val="bottom"/>
            <w:shd w:val="clear" w:color="auto" w:fill="DCE2EF"/>
          </w:tcPr>
          <w:p>
            <w:pPr>
              <w:spacing w:after="0"/>
              <w:rPr>
                <w:sz w:val="12"/>
                <w:szCs w:val="12"/>
                <w:color w:val="auto"/>
              </w:rPr>
            </w:pPr>
          </w:p>
        </w:tc>
        <w:tc>
          <w:tcPr>
            <w:tcW w:w="78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2,333,990</w:t>
            </w:r>
          </w:p>
        </w:tc>
        <w:tc>
          <w:tcPr>
            <w:tcW w:w="100" w:type="dxa"/>
            <w:vAlign w:val="bottom"/>
            <w:shd w:val="clear" w:color="auto" w:fill="DCE2EF"/>
          </w:tcPr>
          <w:p>
            <w:pPr>
              <w:spacing w:after="0"/>
              <w:rPr>
                <w:sz w:val="12"/>
                <w:szCs w:val="12"/>
                <w:color w:val="auto"/>
              </w:rPr>
            </w:pPr>
          </w:p>
        </w:tc>
        <w:tc>
          <w:tcPr>
            <w:tcW w:w="1020" w:type="dxa"/>
            <w:vAlign w:val="bottom"/>
            <w:gridSpan w:val="2"/>
            <w:vMerge w:val="restart"/>
            <w:shd w:val="clear" w:color="auto" w:fill="DCE2EF"/>
          </w:tcPr>
          <w:p>
            <w:pPr>
              <w:jc w:val="center"/>
              <w:ind w:right="100"/>
              <w:spacing w:after="0"/>
              <w:rPr>
                <w:sz w:val="20"/>
                <w:szCs w:val="20"/>
                <w:color w:val="auto"/>
              </w:rPr>
            </w:pPr>
            <w:r>
              <w:rPr>
                <w:rFonts w:ascii="Arial" w:cs="Arial" w:eastAsia="Arial" w:hAnsi="Arial"/>
                <w:sz w:val="13"/>
                <w:szCs w:val="13"/>
                <w:color w:val="auto"/>
                <w:w w:val="89"/>
              </w:rPr>
              <w:t>Yes</w:t>
            </w:r>
          </w:p>
        </w:tc>
        <w:tc>
          <w:tcPr>
            <w:tcW w:w="1000" w:type="dxa"/>
            <w:vAlign w:val="bottom"/>
            <w:shd w:val="clear" w:color="auto" w:fill="DCE2EF"/>
          </w:tcPr>
          <w:p>
            <w:pPr>
              <w:jc w:val="center"/>
              <w:spacing w:after="0" w:line="145" w:lineRule="exact"/>
              <w:rPr>
                <w:sz w:val="20"/>
                <w:szCs w:val="20"/>
                <w:color w:val="auto"/>
              </w:rPr>
            </w:pPr>
            <w:r>
              <w:rPr>
                <w:rFonts w:ascii="Arial" w:cs="Arial" w:eastAsia="Arial" w:hAnsi="Arial"/>
                <w:sz w:val="13"/>
                <w:szCs w:val="13"/>
                <w:color w:val="auto"/>
                <w:w w:val="95"/>
              </w:rPr>
              <w:t>Various to</w:t>
            </w:r>
          </w:p>
        </w:tc>
        <w:tc>
          <w:tcPr>
            <w:tcW w:w="0" w:type="dxa"/>
            <w:vAlign w:val="bottom"/>
          </w:tcPr>
          <w:p>
            <w:pPr>
              <w:spacing w:after="0"/>
              <w:rPr>
                <w:sz w:val="1"/>
                <w:szCs w:val="1"/>
                <w:color w:val="auto"/>
              </w:rPr>
            </w:pPr>
          </w:p>
        </w:tc>
      </w:tr>
      <w:tr>
        <w:trPr>
          <w:trHeight w:val="186"/>
        </w:trPr>
        <w:tc>
          <w:tcPr>
            <w:tcW w:w="1920" w:type="dxa"/>
            <w:vAlign w:val="bottom"/>
            <w:gridSpan w:val="2"/>
            <w:shd w:val="clear" w:color="auto" w:fill="DCE2EF"/>
          </w:tcPr>
          <w:p>
            <w:pPr>
              <w:ind w:left="20"/>
              <w:spacing w:after="0"/>
              <w:rPr>
                <w:sz w:val="20"/>
                <w:szCs w:val="20"/>
                <w:color w:val="auto"/>
              </w:rPr>
            </w:pPr>
            <w:r>
              <w:rPr>
                <w:rFonts w:ascii="Arial" w:cs="Arial" w:eastAsia="Arial" w:hAnsi="Arial"/>
                <w:sz w:val="13"/>
                <w:szCs w:val="13"/>
                <w:color w:val="auto"/>
              </w:rPr>
              <w:t>Fund (b)</w:t>
            </w:r>
          </w:p>
        </w:tc>
        <w:tc>
          <w:tcPr>
            <w:tcW w:w="1160" w:type="dxa"/>
            <w:vAlign w:val="bottom"/>
            <w:vMerge w:val="continue"/>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860" w:type="dxa"/>
            <w:vAlign w:val="bottom"/>
            <w:vMerge w:val="continue"/>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740" w:type="dxa"/>
            <w:vAlign w:val="bottom"/>
            <w:gridSpan w:val="2"/>
            <w:vMerge w:val="continue"/>
            <w:shd w:val="clear" w:color="auto" w:fill="DCE2EF"/>
          </w:tcPr>
          <w:p>
            <w:pPr>
              <w:spacing w:after="0"/>
              <w:rPr>
                <w:sz w:val="16"/>
                <w:szCs w:val="16"/>
                <w:color w:val="auto"/>
              </w:rPr>
            </w:pPr>
          </w:p>
        </w:tc>
        <w:tc>
          <w:tcPr>
            <w:tcW w:w="620" w:type="dxa"/>
            <w:vAlign w:val="bottom"/>
            <w:vMerge w:val="continue"/>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060" w:type="dxa"/>
            <w:vAlign w:val="bottom"/>
            <w:gridSpan w:val="2"/>
            <w:vMerge w:val="continue"/>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740" w:type="dxa"/>
            <w:vAlign w:val="bottom"/>
            <w:vMerge w:val="continue"/>
            <w:shd w:val="clear" w:color="auto" w:fill="DCE2EF"/>
          </w:tcPr>
          <w:p>
            <w:pPr>
              <w:spacing w:after="0"/>
              <w:rPr>
                <w:sz w:val="16"/>
                <w:szCs w:val="16"/>
                <w:color w:val="auto"/>
              </w:rPr>
            </w:pPr>
          </w:p>
        </w:tc>
        <w:tc>
          <w:tcPr>
            <w:tcW w:w="200" w:type="dxa"/>
            <w:vAlign w:val="bottom"/>
            <w:shd w:val="clear" w:color="auto" w:fill="DCE2EF"/>
          </w:tcPr>
          <w:p>
            <w:pPr>
              <w:spacing w:after="0"/>
              <w:rPr>
                <w:sz w:val="16"/>
                <w:szCs w:val="16"/>
                <w:color w:val="auto"/>
              </w:rPr>
            </w:pPr>
          </w:p>
        </w:tc>
        <w:tc>
          <w:tcPr>
            <w:tcW w:w="180" w:type="dxa"/>
            <w:vAlign w:val="bottom"/>
            <w:shd w:val="clear" w:color="auto" w:fill="DCE2EF"/>
          </w:tcPr>
          <w:p>
            <w:pPr>
              <w:spacing w:after="0"/>
              <w:rPr>
                <w:sz w:val="16"/>
                <w:szCs w:val="16"/>
                <w:color w:val="auto"/>
              </w:rPr>
            </w:pPr>
          </w:p>
        </w:tc>
        <w:tc>
          <w:tcPr>
            <w:tcW w:w="780" w:type="dxa"/>
            <w:vAlign w:val="bottom"/>
            <w:vMerge w:val="continue"/>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020" w:type="dxa"/>
            <w:vAlign w:val="bottom"/>
            <w:gridSpan w:val="2"/>
            <w:vMerge w:val="continue"/>
            <w:shd w:val="clear" w:color="auto" w:fill="DCE2EF"/>
          </w:tcPr>
          <w:p>
            <w:pPr>
              <w:spacing w:after="0"/>
              <w:rPr>
                <w:sz w:val="16"/>
                <w:szCs w:val="16"/>
                <w:color w:val="auto"/>
              </w:rPr>
            </w:pPr>
          </w:p>
        </w:tc>
        <w:tc>
          <w:tcPr>
            <w:tcW w:w="1000" w:type="dxa"/>
            <w:vAlign w:val="bottom"/>
            <w:shd w:val="clear" w:color="auto" w:fill="DCE2EF"/>
          </w:tcPr>
          <w:p>
            <w:pPr>
              <w:jc w:val="center"/>
              <w:spacing w:after="0"/>
              <w:rPr>
                <w:sz w:val="20"/>
                <w:szCs w:val="20"/>
                <w:color w:val="auto"/>
              </w:rPr>
            </w:pPr>
            <w:r>
              <w:rPr>
                <w:rFonts w:ascii="Arial" w:cs="Arial" w:eastAsia="Arial" w:hAnsi="Arial"/>
                <w:sz w:val="13"/>
                <w:szCs w:val="13"/>
                <w:color w:val="auto"/>
                <w:w w:val="94"/>
              </w:rPr>
              <w:t>10/15/23</w:t>
            </w:r>
          </w:p>
        </w:tc>
        <w:tc>
          <w:tcPr>
            <w:tcW w:w="0" w:type="dxa"/>
            <w:vAlign w:val="bottom"/>
          </w:tcPr>
          <w:p>
            <w:pPr>
              <w:spacing w:after="0"/>
              <w:rPr>
                <w:sz w:val="1"/>
                <w:szCs w:val="1"/>
                <w:color w:val="auto"/>
              </w:rPr>
            </w:pPr>
          </w:p>
        </w:tc>
      </w:tr>
      <w:tr>
        <w:trPr>
          <w:trHeight w:val="182"/>
        </w:trPr>
        <w:tc>
          <w:tcPr>
            <w:tcW w:w="1920" w:type="dxa"/>
            <w:vAlign w:val="bottom"/>
            <w:gridSpan w:val="2"/>
          </w:tcPr>
          <w:p>
            <w:pPr>
              <w:ind w:left="20"/>
              <w:spacing w:after="0" w:line="175" w:lineRule="exact"/>
              <w:rPr>
                <w:sz w:val="20"/>
                <w:szCs w:val="20"/>
                <w:color w:val="auto"/>
              </w:rPr>
            </w:pPr>
            <w:r>
              <w:rPr>
                <w:rFonts w:ascii="Arial" w:cs="Arial" w:eastAsia="Arial" w:hAnsi="Arial"/>
                <w:sz w:val="13"/>
                <w:szCs w:val="13"/>
                <w:color w:val="auto"/>
              </w:rPr>
              <w:t>Steam</w:t>
            </w:r>
            <w:r>
              <w:rPr>
                <w:rFonts w:ascii="Arial Unicode MS" w:cs="Arial Unicode MS" w:eastAsia="Arial Unicode MS" w:hAnsi="Arial Unicode MS"/>
                <w:sz w:val="13"/>
                <w:szCs w:val="13"/>
                <w:color w:val="auto"/>
              </w:rPr>
              <w:t></w:t>
            </w:r>
            <w:r>
              <w:rPr>
                <w:rFonts w:ascii="Arial" w:cs="Arial" w:eastAsia="Arial" w:hAnsi="Arial"/>
                <w:sz w:val="13"/>
                <w:szCs w:val="13"/>
                <w:color w:val="auto"/>
              </w:rPr>
              <w:t>tters Local Union #420</w:t>
            </w:r>
          </w:p>
        </w:tc>
        <w:tc>
          <w:tcPr>
            <w:tcW w:w="1160" w:type="dxa"/>
            <w:vAlign w:val="bottom"/>
          </w:tcPr>
          <w:p>
            <w:pPr>
              <w:jc w:val="center"/>
              <w:spacing w:after="0"/>
              <w:rPr>
                <w:sz w:val="20"/>
                <w:szCs w:val="20"/>
                <w:color w:val="auto"/>
              </w:rPr>
            </w:pPr>
            <w:r>
              <w:rPr>
                <w:rFonts w:ascii="Arial" w:cs="Arial" w:eastAsia="Arial" w:hAnsi="Arial"/>
                <w:sz w:val="13"/>
                <w:szCs w:val="13"/>
                <w:color w:val="auto"/>
                <w:w w:val="92"/>
              </w:rPr>
              <w:t>23-2004424</w:t>
            </w:r>
          </w:p>
        </w:tc>
        <w:tc>
          <w:tcPr>
            <w:tcW w:w="1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95"/>
              </w:rPr>
              <w:t>12/31/2019</w:t>
            </w:r>
          </w:p>
        </w:tc>
        <w:tc>
          <w:tcPr>
            <w:tcW w:w="100" w:type="dxa"/>
            <w:vAlign w:val="bottom"/>
          </w:tcPr>
          <w:p>
            <w:pPr>
              <w:spacing w:after="0"/>
              <w:rPr>
                <w:sz w:val="15"/>
                <w:szCs w:val="15"/>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Red</w:t>
            </w:r>
          </w:p>
        </w:tc>
        <w:tc>
          <w:tcPr>
            <w:tcW w:w="620" w:type="dxa"/>
            <w:vAlign w:val="bottom"/>
          </w:tcPr>
          <w:p>
            <w:pPr>
              <w:jc w:val="center"/>
              <w:spacing w:after="0"/>
              <w:rPr>
                <w:sz w:val="20"/>
                <w:szCs w:val="20"/>
                <w:color w:val="auto"/>
              </w:rPr>
            </w:pPr>
            <w:r>
              <w:rPr>
                <w:rFonts w:ascii="Arial" w:cs="Arial" w:eastAsia="Arial" w:hAnsi="Arial"/>
                <w:sz w:val="13"/>
                <w:szCs w:val="13"/>
                <w:color w:val="auto"/>
                <w:w w:val="92"/>
              </w:rPr>
              <w:t>Red</w:t>
            </w:r>
          </w:p>
        </w:tc>
        <w:tc>
          <w:tcPr>
            <w:tcW w:w="100" w:type="dxa"/>
            <w:vAlign w:val="bottom"/>
          </w:tcPr>
          <w:p>
            <w:pPr>
              <w:spacing w:after="0"/>
              <w:rPr>
                <w:sz w:val="15"/>
                <w:szCs w:val="15"/>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Implemented</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958,360</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893,830</w:t>
            </w:r>
          </w:p>
        </w:tc>
        <w:tc>
          <w:tcPr>
            <w:tcW w:w="100" w:type="dxa"/>
            <w:vAlign w:val="bottom"/>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No</w:t>
            </w: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5/1/20 - 4/30/23</w:t>
            </w:r>
          </w:p>
        </w:tc>
        <w:tc>
          <w:tcPr>
            <w:tcW w:w="0" w:type="dxa"/>
            <w:vAlign w:val="bottom"/>
          </w:tcPr>
          <w:p>
            <w:pPr>
              <w:spacing w:after="0"/>
              <w:rPr>
                <w:sz w:val="1"/>
                <w:szCs w:val="1"/>
                <w:color w:val="auto"/>
              </w:rPr>
            </w:pPr>
          </w:p>
        </w:tc>
      </w:tr>
      <w:tr>
        <w:trPr>
          <w:trHeight w:val="145"/>
        </w:trPr>
        <w:tc>
          <w:tcPr>
            <w:tcW w:w="1920" w:type="dxa"/>
            <w:vAlign w:val="bottom"/>
            <w:gridSpan w:val="2"/>
            <w:vMerge w:val="restart"/>
            <w:shd w:val="clear" w:color="auto" w:fill="DCE2EF"/>
          </w:tcPr>
          <w:p>
            <w:pPr>
              <w:ind w:left="20"/>
              <w:spacing w:after="0"/>
              <w:rPr>
                <w:sz w:val="20"/>
                <w:szCs w:val="20"/>
                <w:color w:val="auto"/>
              </w:rPr>
            </w:pPr>
            <w:r>
              <w:rPr>
                <w:rFonts w:ascii="Arial" w:cs="Arial" w:eastAsia="Arial" w:hAnsi="Arial"/>
                <w:sz w:val="13"/>
                <w:szCs w:val="13"/>
                <w:color w:val="auto"/>
              </w:rPr>
              <w:t>IUOE Local 30 Pension Fund</w:t>
            </w:r>
          </w:p>
        </w:tc>
        <w:tc>
          <w:tcPr>
            <w:tcW w:w="1160" w:type="dxa"/>
            <w:vAlign w:val="bottom"/>
            <w:vMerge w:val="restart"/>
            <w:shd w:val="clear" w:color="auto" w:fill="DCE2EF"/>
          </w:tcPr>
          <w:p>
            <w:pPr>
              <w:jc w:val="center"/>
              <w:spacing w:after="0"/>
              <w:rPr>
                <w:sz w:val="20"/>
                <w:szCs w:val="20"/>
                <w:color w:val="auto"/>
              </w:rPr>
            </w:pPr>
            <w:r>
              <w:rPr>
                <w:rFonts w:ascii="Arial" w:cs="Arial" w:eastAsia="Arial" w:hAnsi="Arial"/>
                <w:sz w:val="13"/>
                <w:szCs w:val="13"/>
                <w:color w:val="auto"/>
                <w:w w:val="94"/>
              </w:rPr>
              <w:t>51-6045848-001</w:t>
            </w:r>
          </w:p>
        </w:tc>
        <w:tc>
          <w:tcPr>
            <w:tcW w:w="120" w:type="dxa"/>
            <w:vAlign w:val="bottom"/>
            <w:shd w:val="clear" w:color="auto" w:fill="DCE2EF"/>
          </w:tcPr>
          <w:p>
            <w:pPr>
              <w:spacing w:after="0"/>
              <w:rPr>
                <w:sz w:val="12"/>
                <w:szCs w:val="12"/>
                <w:color w:val="auto"/>
              </w:rPr>
            </w:pPr>
          </w:p>
        </w:tc>
        <w:tc>
          <w:tcPr>
            <w:tcW w:w="860" w:type="dxa"/>
            <w:vAlign w:val="bottom"/>
            <w:vMerge w:val="restart"/>
            <w:shd w:val="clear" w:color="auto" w:fill="DCE2EF"/>
          </w:tcPr>
          <w:p>
            <w:pPr>
              <w:jc w:val="center"/>
              <w:spacing w:after="0"/>
              <w:rPr>
                <w:sz w:val="20"/>
                <w:szCs w:val="20"/>
                <w:color w:val="auto"/>
              </w:rPr>
            </w:pPr>
            <w:r>
              <w:rPr>
                <w:rFonts w:ascii="Arial" w:cs="Arial" w:eastAsia="Arial" w:hAnsi="Arial"/>
                <w:sz w:val="13"/>
                <w:szCs w:val="13"/>
                <w:color w:val="auto"/>
                <w:w w:val="95"/>
              </w:rPr>
              <w:t>12/31/2019</w:t>
            </w:r>
          </w:p>
        </w:tc>
        <w:tc>
          <w:tcPr>
            <w:tcW w:w="100" w:type="dxa"/>
            <w:vAlign w:val="bottom"/>
            <w:shd w:val="clear" w:color="auto" w:fill="DCE2EF"/>
          </w:tcPr>
          <w:p>
            <w:pPr>
              <w:spacing w:after="0"/>
              <w:rPr>
                <w:sz w:val="12"/>
                <w:szCs w:val="12"/>
                <w:color w:val="auto"/>
              </w:rPr>
            </w:pPr>
          </w:p>
        </w:tc>
        <w:tc>
          <w:tcPr>
            <w:tcW w:w="740" w:type="dxa"/>
            <w:vAlign w:val="bottom"/>
            <w:gridSpan w:val="2"/>
            <w:vMerge w:val="restart"/>
            <w:shd w:val="clear" w:color="auto" w:fill="DCE2EF"/>
          </w:tcPr>
          <w:p>
            <w:pPr>
              <w:jc w:val="center"/>
              <w:ind w:right="120"/>
              <w:spacing w:after="0"/>
              <w:rPr>
                <w:sz w:val="20"/>
                <w:szCs w:val="20"/>
                <w:color w:val="auto"/>
              </w:rPr>
            </w:pPr>
            <w:r>
              <w:rPr>
                <w:rFonts w:ascii="Arial" w:cs="Arial" w:eastAsia="Arial" w:hAnsi="Arial"/>
                <w:sz w:val="13"/>
                <w:szCs w:val="13"/>
                <w:color w:val="auto"/>
                <w:w w:val="93"/>
              </w:rPr>
              <w:t>Green</w:t>
            </w:r>
          </w:p>
        </w:tc>
        <w:tc>
          <w:tcPr>
            <w:tcW w:w="620" w:type="dxa"/>
            <w:vAlign w:val="bottom"/>
            <w:vMerge w:val="restart"/>
            <w:shd w:val="clear" w:color="auto" w:fill="DCE2EF"/>
          </w:tcPr>
          <w:p>
            <w:pPr>
              <w:jc w:val="center"/>
              <w:spacing w:after="0"/>
              <w:rPr>
                <w:sz w:val="20"/>
                <w:szCs w:val="20"/>
                <w:color w:val="auto"/>
              </w:rPr>
            </w:pPr>
            <w:r>
              <w:rPr>
                <w:rFonts w:ascii="Arial" w:cs="Arial" w:eastAsia="Arial" w:hAnsi="Arial"/>
                <w:sz w:val="13"/>
                <w:szCs w:val="13"/>
                <w:color w:val="auto"/>
                <w:w w:val="88"/>
              </w:rPr>
              <w:t>Green</w:t>
            </w:r>
          </w:p>
        </w:tc>
        <w:tc>
          <w:tcPr>
            <w:tcW w:w="100" w:type="dxa"/>
            <w:vAlign w:val="bottom"/>
            <w:shd w:val="clear" w:color="auto" w:fill="DCE2EF"/>
          </w:tcPr>
          <w:p>
            <w:pPr>
              <w:spacing w:after="0"/>
              <w:rPr>
                <w:sz w:val="12"/>
                <w:szCs w:val="12"/>
                <w:color w:val="auto"/>
              </w:rPr>
            </w:pPr>
          </w:p>
        </w:tc>
        <w:tc>
          <w:tcPr>
            <w:tcW w:w="1060" w:type="dxa"/>
            <w:vAlign w:val="bottom"/>
            <w:gridSpan w:val="2"/>
            <w:vMerge w:val="restart"/>
            <w:shd w:val="clear" w:color="auto" w:fill="DCE2EF"/>
          </w:tcPr>
          <w:p>
            <w:pPr>
              <w:jc w:val="center"/>
              <w:ind w:right="100"/>
              <w:spacing w:after="0"/>
              <w:rPr>
                <w:sz w:val="20"/>
                <w:szCs w:val="20"/>
                <w:color w:val="auto"/>
              </w:rPr>
            </w:pPr>
            <w:r>
              <w:rPr>
                <w:rFonts w:ascii="Arial" w:cs="Arial" w:eastAsia="Arial" w:hAnsi="Arial"/>
                <w:sz w:val="13"/>
                <w:szCs w:val="13"/>
                <w:color w:val="auto"/>
                <w:w w:val="96"/>
              </w:rPr>
              <w:t>No</w:t>
            </w:r>
          </w:p>
        </w:tc>
        <w:tc>
          <w:tcPr>
            <w:tcW w:w="140" w:type="dxa"/>
            <w:vAlign w:val="bottom"/>
            <w:shd w:val="clear" w:color="auto" w:fill="DCE2EF"/>
          </w:tcPr>
          <w:p>
            <w:pPr>
              <w:spacing w:after="0"/>
              <w:rPr>
                <w:sz w:val="12"/>
                <w:szCs w:val="12"/>
                <w:color w:val="auto"/>
              </w:rPr>
            </w:pPr>
          </w:p>
        </w:tc>
        <w:tc>
          <w:tcPr>
            <w:tcW w:w="74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744,372</w:t>
            </w:r>
          </w:p>
        </w:tc>
        <w:tc>
          <w:tcPr>
            <w:tcW w:w="200" w:type="dxa"/>
            <w:vAlign w:val="bottom"/>
            <w:shd w:val="clear" w:color="auto" w:fill="DCE2EF"/>
          </w:tcPr>
          <w:p>
            <w:pPr>
              <w:spacing w:after="0"/>
              <w:rPr>
                <w:sz w:val="12"/>
                <w:szCs w:val="12"/>
                <w:color w:val="auto"/>
              </w:rPr>
            </w:pPr>
          </w:p>
        </w:tc>
        <w:tc>
          <w:tcPr>
            <w:tcW w:w="180" w:type="dxa"/>
            <w:vAlign w:val="bottom"/>
            <w:shd w:val="clear" w:color="auto" w:fill="DCE2EF"/>
          </w:tcPr>
          <w:p>
            <w:pPr>
              <w:spacing w:after="0"/>
              <w:rPr>
                <w:sz w:val="12"/>
                <w:szCs w:val="12"/>
                <w:color w:val="auto"/>
              </w:rPr>
            </w:pPr>
          </w:p>
        </w:tc>
        <w:tc>
          <w:tcPr>
            <w:tcW w:w="78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263,508</w:t>
            </w:r>
          </w:p>
        </w:tc>
        <w:tc>
          <w:tcPr>
            <w:tcW w:w="100" w:type="dxa"/>
            <w:vAlign w:val="bottom"/>
            <w:shd w:val="clear" w:color="auto" w:fill="DCE2EF"/>
          </w:tcPr>
          <w:p>
            <w:pPr>
              <w:spacing w:after="0"/>
              <w:rPr>
                <w:sz w:val="12"/>
                <w:szCs w:val="12"/>
                <w:color w:val="auto"/>
              </w:rPr>
            </w:pPr>
          </w:p>
        </w:tc>
        <w:tc>
          <w:tcPr>
            <w:tcW w:w="1020" w:type="dxa"/>
            <w:vAlign w:val="bottom"/>
            <w:gridSpan w:val="2"/>
            <w:vMerge w:val="restart"/>
            <w:shd w:val="clear" w:color="auto" w:fill="DCE2EF"/>
          </w:tcPr>
          <w:p>
            <w:pPr>
              <w:jc w:val="center"/>
              <w:ind w:right="100"/>
              <w:spacing w:after="0"/>
              <w:rPr>
                <w:sz w:val="20"/>
                <w:szCs w:val="20"/>
                <w:color w:val="auto"/>
              </w:rPr>
            </w:pPr>
            <w:r>
              <w:rPr>
                <w:rFonts w:ascii="Arial" w:cs="Arial" w:eastAsia="Arial" w:hAnsi="Arial"/>
                <w:sz w:val="13"/>
                <w:szCs w:val="13"/>
                <w:color w:val="auto"/>
                <w:w w:val="96"/>
              </w:rPr>
              <w:t>No</w:t>
            </w:r>
          </w:p>
        </w:tc>
        <w:tc>
          <w:tcPr>
            <w:tcW w:w="1000" w:type="dxa"/>
            <w:vAlign w:val="bottom"/>
            <w:shd w:val="clear" w:color="auto" w:fill="DCE2EF"/>
          </w:tcPr>
          <w:p>
            <w:pPr>
              <w:jc w:val="center"/>
              <w:spacing w:after="0" w:line="145" w:lineRule="exact"/>
              <w:rPr>
                <w:sz w:val="20"/>
                <w:szCs w:val="20"/>
                <w:color w:val="auto"/>
              </w:rPr>
            </w:pPr>
            <w:r>
              <w:rPr>
                <w:rFonts w:ascii="Arial" w:cs="Arial" w:eastAsia="Arial" w:hAnsi="Arial"/>
                <w:sz w:val="13"/>
                <w:szCs w:val="13"/>
                <w:color w:val="auto"/>
                <w:w w:val="95"/>
              </w:rPr>
              <w:t>Various to</w:t>
            </w:r>
          </w:p>
        </w:tc>
        <w:tc>
          <w:tcPr>
            <w:tcW w:w="0" w:type="dxa"/>
            <w:vAlign w:val="bottom"/>
          </w:tcPr>
          <w:p>
            <w:pPr>
              <w:spacing w:after="0"/>
              <w:rPr>
                <w:sz w:val="1"/>
                <w:szCs w:val="1"/>
                <w:color w:val="auto"/>
              </w:rPr>
            </w:pPr>
          </w:p>
        </w:tc>
      </w:tr>
      <w:tr>
        <w:trPr>
          <w:trHeight w:val="186"/>
        </w:trPr>
        <w:tc>
          <w:tcPr>
            <w:tcW w:w="1920" w:type="dxa"/>
            <w:vAlign w:val="bottom"/>
            <w:gridSpan w:val="2"/>
            <w:vMerge w:val="continue"/>
            <w:shd w:val="clear" w:color="auto" w:fill="DCE2EF"/>
          </w:tcPr>
          <w:p>
            <w:pPr>
              <w:spacing w:after="0"/>
              <w:rPr>
                <w:sz w:val="16"/>
                <w:szCs w:val="16"/>
                <w:color w:val="auto"/>
              </w:rPr>
            </w:pPr>
          </w:p>
        </w:tc>
        <w:tc>
          <w:tcPr>
            <w:tcW w:w="1160" w:type="dxa"/>
            <w:vAlign w:val="bottom"/>
            <w:vMerge w:val="continue"/>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860" w:type="dxa"/>
            <w:vAlign w:val="bottom"/>
            <w:vMerge w:val="continue"/>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740" w:type="dxa"/>
            <w:vAlign w:val="bottom"/>
            <w:gridSpan w:val="2"/>
            <w:vMerge w:val="continue"/>
            <w:shd w:val="clear" w:color="auto" w:fill="DCE2EF"/>
          </w:tcPr>
          <w:p>
            <w:pPr>
              <w:spacing w:after="0"/>
              <w:rPr>
                <w:sz w:val="16"/>
                <w:szCs w:val="16"/>
                <w:color w:val="auto"/>
              </w:rPr>
            </w:pPr>
          </w:p>
        </w:tc>
        <w:tc>
          <w:tcPr>
            <w:tcW w:w="620" w:type="dxa"/>
            <w:vAlign w:val="bottom"/>
            <w:vMerge w:val="continue"/>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060" w:type="dxa"/>
            <w:vAlign w:val="bottom"/>
            <w:gridSpan w:val="2"/>
            <w:vMerge w:val="continue"/>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740" w:type="dxa"/>
            <w:vAlign w:val="bottom"/>
            <w:vMerge w:val="continue"/>
            <w:shd w:val="clear" w:color="auto" w:fill="DCE2EF"/>
          </w:tcPr>
          <w:p>
            <w:pPr>
              <w:spacing w:after="0"/>
              <w:rPr>
                <w:sz w:val="16"/>
                <w:szCs w:val="16"/>
                <w:color w:val="auto"/>
              </w:rPr>
            </w:pPr>
          </w:p>
        </w:tc>
        <w:tc>
          <w:tcPr>
            <w:tcW w:w="200" w:type="dxa"/>
            <w:vAlign w:val="bottom"/>
            <w:shd w:val="clear" w:color="auto" w:fill="DCE2EF"/>
          </w:tcPr>
          <w:p>
            <w:pPr>
              <w:spacing w:after="0"/>
              <w:rPr>
                <w:sz w:val="16"/>
                <w:szCs w:val="16"/>
                <w:color w:val="auto"/>
              </w:rPr>
            </w:pPr>
          </w:p>
        </w:tc>
        <w:tc>
          <w:tcPr>
            <w:tcW w:w="180" w:type="dxa"/>
            <w:vAlign w:val="bottom"/>
            <w:shd w:val="clear" w:color="auto" w:fill="DCE2EF"/>
          </w:tcPr>
          <w:p>
            <w:pPr>
              <w:spacing w:after="0"/>
              <w:rPr>
                <w:sz w:val="16"/>
                <w:szCs w:val="16"/>
                <w:color w:val="auto"/>
              </w:rPr>
            </w:pPr>
          </w:p>
        </w:tc>
        <w:tc>
          <w:tcPr>
            <w:tcW w:w="780" w:type="dxa"/>
            <w:vAlign w:val="bottom"/>
            <w:vMerge w:val="continue"/>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020" w:type="dxa"/>
            <w:vAlign w:val="bottom"/>
            <w:gridSpan w:val="2"/>
            <w:vMerge w:val="continue"/>
            <w:shd w:val="clear" w:color="auto" w:fill="DCE2EF"/>
          </w:tcPr>
          <w:p>
            <w:pPr>
              <w:spacing w:after="0"/>
              <w:rPr>
                <w:sz w:val="16"/>
                <w:szCs w:val="16"/>
                <w:color w:val="auto"/>
              </w:rPr>
            </w:pPr>
          </w:p>
        </w:tc>
        <w:tc>
          <w:tcPr>
            <w:tcW w:w="1000" w:type="dxa"/>
            <w:vAlign w:val="bottom"/>
            <w:shd w:val="clear" w:color="auto" w:fill="DCE2EF"/>
          </w:tcPr>
          <w:p>
            <w:pPr>
              <w:jc w:val="center"/>
              <w:spacing w:after="0"/>
              <w:rPr>
                <w:sz w:val="20"/>
                <w:szCs w:val="20"/>
                <w:color w:val="auto"/>
              </w:rPr>
            </w:pPr>
            <w:r>
              <w:rPr>
                <w:rFonts w:ascii="Arial" w:cs="Arial" w:eastAsia="Arial" w:hAnsi="Arial"/>
                <w:sz w:val="13"/>
                <w:szCs w:val="13"/>
                <w:color w:val="auto"/>
                <w:w w:val="94"/>
              </w:rPr>
              <w:t>12/31/23</w:t>
            </w:r>
          </w:p>
        </w:tc>
        <w:tc>
          <w:tcPr>
            <w:tcW w:w="0" w:type="dxa"/>
            <w:vAlign w:val="bottom"/>
          </w:tcPr>
          <w:p>
            <w:pPr>
              <w:spacing w:after="0"/>
              <w:rPr>
                <w:sz w:val="1"/>
                <w:szCs w:val="1"/>
                <w:color w:val="auto"/>
              </w:rPr>
            </w:pPr>
          </w:p>
        </w:tc>
      </w:tr>
      <w:tr>
        <w:trPr>
          <w:trHeight w:val="138"/>
        </w:trPr>
        <w:tc>
          <w:tcPr>
            <w:tcW w:w="1920" w:type="dxa"/>
            <w:vAlign w:val="bottom"/>
            <w:gridSpan w:val="2"/>
          </w:tcPr>
          <w:p>
            <w:pPr>
              <w:ind w:left="20"/>
              <w:spacing w:after="0" w:line="138" w:lineRule="exact"/>
              <w:rPr>
                <w:sz w:val="20"/>
                <w:szCs w:val="20"/>
                <w:color w:val="auto"/>
              </w:rPr>
            </w:pPr>
            <w:r>
              <w:rPr>
                <w:rFonts w:ascii="Arial" w:cs="Arial" w:eastAsia="Arial" w:hAnsi="Arial"/>
                <w:sz w:val="13"/>
                <w:szCs w:val="13"/>
                <w:color w:val="auto"/>
              </w:rPr>
              <w:t>Local 68 Engineers Union</w:t>
            </w:r>
          </w:p>
        </w:tc>
        <w:tc>
          <w:tcPr>
            <w:tcW w:w="1160" w:type="dxa"/>
            <w:vAlign w:val="bottom"/>
            <w:vMerge w:val="restart"/>
          </w:tcPr>
          <w:p>
            <w:pPr>
              <w:jc w:val="center"/>
              <w:spacing w:after="0"/>
              <w:rPr>
                <w:sz w:val="20"/>
                <w:szCs w:val="20"/>
                <w:color w:val="auto"/>
              </w:rPr>
            </w:pPr>
            <w:r>
              <w:rPr>
                <w:rFonts w:ascii="Arial" w:cs="Arial" w:eastAsia="Arial" w:hAnsi="Arial"/>
                <w:sz w:val="13"/>
                <w:szCs w:val="13"/>
                <w:color w:val="auto"/>
                <w:w w:val="94"/>
              </w:rPr>
              <w:t>51-0176618-001</w:t>
            </w:r>
          </w:p>
        </w:tc>
        <w:tc>
          <w:tcPr>
            <w:tcW w:w="12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w w:val="93"/>
              </w:rPr>
              <w:t>6/30/2019</w:t>
            </w:r>
          </w:p>
        </w:tc>
        <w:tc>
          <w:tcPr>
            <w:tcW w:w="100" w:type="dxa"/>
            <w:vAlign w:val="bottom"/>
          </w:tcPr>
          <w:p>
            <w:pPr>
              <w:spacing w:after="0"/>
              <w:rPr>
                <w:sz w:val="11"/>
                <w:szCs w:val="11"/>
                <w:color w:val="auto"/>
              </w:rPr>
            </w:pP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99"/>
              </w:rPr>
              <w:t>Yellow</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99"/>
              </w:rPr>
              <w:t>Yellow</w:t>
            </w:r>
          </w:p>
        </w:tc>
        <w:tc>
          <w:tcPr>
            <w:tcW w:w="100" w:type="dxa"/>
            <w:vAlign w:val="bottom"/>
          </w:tcPr>
          <w:p>
            <w:pPr>
              <w:spacing w:after="0"/>
              <w:rPr>
                <w:sz w:val="11"/>
                <w:szCs w:val="11"/>
                <w:color w:val="auto"/>
              </w:rPr>
            </w:pP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5"/>
              </w:rPr>
              <w:t>Implemented</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1,123,114</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1,913,599</w:t>
            </w:r>
          </w:p>
        </w:tc>
        <w:tc>
          <w:tcPr>
            <w:tcW w:w="100" w:type="dxa"/>
            <w:vAlign w:val="bottom"/>
          </w:tcPr>
          <w:p>
            <w:pPr>
              <w:spacing w:after="0"/>
              <w:rPr>
                <w:sz w:val="11"/>
                <w:szCs w:val="11"/>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6"/>
              </w:rPr>
              <w:t>No</w:t>
            </w:r>
          </w:p>
        </w:tc>
        <w:tc>
          <w:tcPr>
            <w:tcW w:w="1000" w:type="dxa"/>
            <w:vAlign w:val="bottom"/>
          </w:tcPr>
          <w:p>
            <w:pPr>
              <w:jc w:val="center"/>
              <w:spacing w:after="0" w:line="138" w:lineRule="exact"/>
              <w:rPr>
                <w:sz w:val="20"/>
                <w:szCs w:val="20"/>
                <w:color w:val="auto"/>
              </w:rPr>
            </w:pPr>
            <w:r>
              <w:rPr>
                <w:rFonts w:ascii="Arial" w:cs="Arial" w:eastAsia="Arial" w:hAnsi="Arial"/>
                <w:sz w:val="13"/>
                <w:szCs w:val="13"/>
                <w:color w:val="auto"/>
                <w:w w:val="95"/>
              </w:rPr>
              <w:t>Various to</w:t>
            </w:r>
          </w:p>
        </w:tc>
        <w:tc>
          <w:tcPr>
            <w:tcW w:w="0" w:type="dxa"/>
            <w:vAlign w:val="bottom"/>
          </w:tcPr>
          <w:p>
            <w:pPr>
              <w:spacing w:after="0"/>
              <w:rPr>
                <w:sz w:val="1"/>
                <w:szCs w:val="1"/>
                <w:color w:val="auto"/>
              </w:rPr>
            </w:pPr>
          </w:p>
        </w:tc>
      </w:tr>
      <w:tr>
        <w:trPr>
          <w:trHeight w:val="179"/>
        </w:trPr>
        <w:tc>
          <w:tcPr>
            <w:tcW w:w="1920" w:type="dxa"/>
            <w:vAlign w:val="bottom"/>
            <w:gridSpan w:val="2"/>
          </w:tcPr>
          <w:p>
            <w:pPr>
              <w:ind w:left="20"/>
              <w:spacing w:after="0"/>
              <w:rPr>
                <w:sz w:val="20"/>
                <w:szCs w:val="20"/>
                <w:color w:val="auto"/>
              </w:rPr>
            </w:pPr>
            <w:r>
              <w:rPr>
                <w:rFonts w:ascii="Arial" w:cs="Arial" w:eastAsia="Arial" w:hAnsi="Arial"/>
                <w:sz w:val="13"/>
                <w:szCs w:val="13"/>
                <w:color w:val="auto"/>
              </w:rPr>
              <w:t>Pension Plan (b) (c)</w:t>
            </w:r>
          </w:p>
        </w:tc>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2"/>
              </w:rPr>
              <w:t>2/29/24</w:t>
            </w:r>
          </w:p>
        </w:tc>
        <w:tc>
          <w:tcPr>
            <w:tcW w:w="0" w:type="dxa"/>
            <w:vAlign w:val="bottom"/>
          </w:tcPr>
          <w:p>
            <w:pPr>
              <w:spacing w:after="0"/>
              <w:rPr>
                <w:sz w:val="1"/>
                <w:szCs w:val="1"/>
                <w:color w:val="auto"/>
              </w:rPr>
            </w:pPr>
          </w:p>
        </w:tc>
      </w:tr>
      <w:tr>
        <w:trPr>
          <w:trHeight w:val="145"/>
        </w:trPr>
        <w:tc>
          <w:tcPr>
            <w:tcW w:w="1920" w:type="dxa"/>
            <w:vAlign w:val="bottom"/>
            <w:gridSpan w:val="2"/>
            <w:vMerge w:val="restart"/>
            <w:shd w:val="clear" w:color="auto" w:fill="DCE2EF"/>
          </w:tcPr>
          <w:p>
            <w:pPr>
              <w:ind w:left="20"/>
              <w:spacing w:after="0"/>
              <w:rPr>
                <w:sz w:val="20"/>
                <w:szCs w:val="20"/>
                <w:color w:val="auto"/>
              </w:rPr>
            </w:pPr>
            <w:r>
              <w:rPr>
                <w:rFonts w:ascii="Arial" w:cs="Arial" w:eastAsia="Arial" w:hAnsi="Arial"/>
                <w:sz w:val="13"/>
                <w:szCs w:val="13"/>
                <w:color w:val="auto"/>
              </w:rPr>
              <w:t>Local No 1 Pension Trust Fund</w:t>
            </w:r>
          </w:p>
        </w:tc>
        <w:tc>
          <w:tcPr>
            <w:tcW w:w="1160" w:type="dxa"/>
            <w:vAlign w:val="bottom"/>
            <w:vMerge w:val="restart"/>
            <w:shd w:val="clear" w:color="auto" w:fill="DCE2EF"/>
          </w:tcPr>
          <w:p>
            <w:pPr>
              <w:jc w:val="center"/>
              <w:spacing w:after="0"/>
              <w:rPr>
                <w:sz w:val="20"/>
                <w:szCs w:val="20"/>
                <w:color w:val="auto"/>
              </w:rPr>
            </w:pPr>
            <w:r>
              <w:rPr>
                <w:rFonts w:ascii="Arial" w:cs="Arial" w:eastAsia="Arial" w:hAnsi="Arial"/>
                <w:sz w:val="13"/>
                <w:szCs w:val="13"/>
                <w:color w:val="auto"/>
                <w:w w:val="94"/>
              </w:rPr>
              <w:t>51-6055057-001</w:t>
            </w:r>
          </w:p>
        </w:tc>
        <w:tc>
          <w:tcPr>
            <w:tcW w:w="120" w:type="dxa"/>
            <w:vAlign w:val="bottom"/>
            <w:shd w:val="clear" w:color="auto" w:fill="DCE2EF"/>
          </w:tcPr>
          <w:p>
            <w:pPr>
              <w:spacing w:after="0"/>
              <w:rPr>
                <w:sz w:val="12"/>
                <w:szCs w:val="12"/>
                <w:color w:val="auto"/>
              </w:rPr>
            </w:pPr>
          </w:p>
        </w:tc>
        <w:tc>
          <w:tcPr>
            <w:tcW w:w="860" w:type="dxa"/>
            <w:vAlign w:val="bottom"/>
            <w:vMerge w:val="restart"/>
            <w:shd w:val="clear" w:color="auto" w:fill="DCE2EF"/>
          </w:tcPr>
          <w:p>
            <w:pPr>
              <w:jc w:val="center"/>
              <w:spacing w:after="0"/>
              <w:rPr>
                <w:sz w:val="20"/>
                <w:szCs w:val="20"/>
                <w:color w:val="auto"/>
              </w:rPr>
            </w:pPr>
            <w:r>
              <w:rPr>
                <w:rFonts w:ascii="Arial" w:cs="Arial" w:eastAsia="Arial" w:hAnsi="Arial"/>
                <w:sz w:val="13"/>
                <w:szCs w:val="13"/>
                <w:color w:val="auto"/>
                <w:w w:val="93"/>
              </w:rPr>
              <w:t>6/30/2019</w:t>
            </w:r>
          </w:p>
        </w:tc>
        <w:tc>
          <w:tcPr>
            <w:tcW w:w="100" w:type="dxa"/>
            <w:vAlign w:val="bottom"/>
            <w:shd w:val="clear" w:color="auto" w:fill="DCE2EF"/>
          </w:tcPr>
          <w:p>
            <w:pPr>
              <w:spacing w:after="0"/>
              <w:rPr>
                <w:sz w:val="12"/>
                <w:szCs w:val="12"/>
                <w:color w:val="auto"/>
              </w:rPr>
            </w:pPr>
          </w:p>
        </w:tc>
        <w:tc>
          <w:tcPr>
            <w:tcW w:w="740" w:type="dxa"/>
            <w:vAlign w:val="bottom"/>
            <w:gridSpan w:val="2"/>
            <w:vMerge w:val="restart"/>
            <w:shd w:val="clear" w:color="auto" w:fill="DCE2EF"/>
          </w:tcPr>
          <w:p>
            <w:pPr>
              <w:jc w:val="center"/>
              <w:ind w:right="120"/>
              <w:spacing w:after="0"/>
              <w:rPr>
                <w:sz w:val="20"/>
                <w:szCs w:val="20"/>
                <w:color w:val="auto"/>
              </w:rPr>
            </w:pPr>
            <w:r>
              <w:rPr>
                <w:rFonts w:ascii="Arial" w:cs="Arial" w:eastAsia="Arial" w:hAnsi="Arial"/>
                <w:sz w:val="13"/>
                <w:szCs w:val="13"/>
                <w:color w:val="auto"/>
                <w:w w:val="93"/>
              </w:rPr>
              <w:t>Green</w:t>
            </w:r>
          </w:p>
        </w:tc>
        <w:tc>
          <w:tcPr>
            <w:tcW w:w="620" w:type="dxa"/>
            <w:vAlign w:val="bottom"/>
            <w:vMerge w:val="restart"/>
            <w:shd w:val="clear" w:color="auto" w:fill="DCE2EF"/>
          </w:tcPr>
          <w:p>
            <w:pPr>
              <w:jc w:val="center"/>
              <w:spacing w:after="0"/>
              <w:rPr>
                <w:sz w:val="20"/>
                <w:szCs w:val="20"/>
                <w:color w:val="auto"/>
              </w:rPr>
            </w:pPr>
            <w:r>
              <w:rPr>
                <w:rFonts w:ascii="Arial" w:cs="Arial" w:eastAsia="Arial" w:hAnsi="Arial"/>
                <w:sz w:val="13"/>
                <w:szCs w:val="13"/>
                <w:color w:val="auto"/>
                <w:w w:val="88"/>
              </w:rPr>
              <w:t>Green</w:t>
            </w:r>
          </w:p>
        </w:tc>
        <w:tc>
          <w:tcPr>
            <w:tcW w:w="100" w:type="dxa"/>
            <w:vAlign w:val="bottom"/>
            <w:shd w:val="clear" w:color="auto" w:fill="DCE2EF"/>
          </w:tcPr>
          <w:p>
            <w:pPr>
              <w:spacing w:after="0"/>
              <w:rPr>
                <w:sz w:val="12"/>
                <w:szCs w:val="12"/>
                <w:color w:val="auto"/>
              </w:rPr>
            </w:pPr>
          </w:p>
        </w:tc>
        <w:tc>
          <w:tcPr>
            <w:tcW w:w="1060" w:type="dxa"/>
            <w:vAlign w:val="bottom"/>
            <w:gridSpan w:val="2"/>
            <w:vMerge w:val="restart"/>
            <w:shd w:val="clear" w:color="auto" w:fill="DCE2EF"/>
          </w:tcPr>
          <w:p>
            <w:pPr>
              <w:jc w:val="center"/>
              <w:ind w:right="100"/>
              <w:spacing w:after="0"/>
              <w:rPr>
                <w:sz w:val="20"/>
                <w:szCs w:val="20"/>
                <w:color w:val="auto"/>
              </w:rPr>
            </w:pPr>
            <w:r>
              <w:rPr>
                <w:rFonts w:ascii="Arial" w:cs="Arial" w:eastAsia="Arial" w:hAnsi="Arial"/>
                <w:sz w:val="13"/>
                <w:szCs w:val="13"/>
                <w:color w:val="auto"/>
                <w:w w:val="96"/>
              </w:rPr>
              <w:t>No</w:t>
            </w:r>
          </w:p>
        </w:tc>
        <w:tc>
          <w:tcPr>
            <w:tcW w:w="140" w:type="dxa"/>
            <w:vAlign w:val="bottom"/>
            <w:shd w:val="clear" w:color="auto" w:fill="DCE2EF"/>
          </w:tcPr>
          <w:p>
            <w:pPr>
              <w:spacing w:after="0"/>
              <w:rPr>
                <w:sz w:val="12"/>
                <w:szCs w:val="12"/>
                <w:color w:val="auto"/>
              </w:rPr>
            </w:pPr>
          </w:p>
        </w:tc>
        <w:tc>
          <w:tcPr>
            <w:tcW w:w="74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1,388,526</w:t>
            </w:r>
          </w:p>
        </w:tc>
        <w:tc>
          <w:tcPr>
            <w:tcW w:w="200" w:type="dxa"/>
            <w:vAlign w:val="bottom"/>
            <w:shd w:val="clear" w:color="auto" w:fill="DCE2EF"/>
          </w:tcPr>
          <w:p>
            <w:pPr>
              <w:spacing w:after="0"/>
              <w:rPr>
                <w:sz w:val="12"/>
                <w:szCs w:val="12"/>
                <w:color w:val="auto"/>
              </w:rPr>
            </w:pPr>
          </w:p>
        </w:tc>
        <w:tc>
          <w:tcPr>
            <w:tcW w:w="180" w:type="dxa"/>
            <w:vAlign w:val="bottom"/>
            <w:shd w:val="clear" w:color="auto" w:fill="DCE2EF"/>
          </w:tcPr>
          <w:p>
            <w:pPr>
              <w:spacing w:after="0"/>
              <w:rPr>
                <w:sz w:val="12"/>
                <w:szCs w:val="12"/>
                <w:color w:val="auto"/>
              </w:rPr>
            </w:pPr>
          </w:p>
        </w:tc>
        <w:tc>
          <w:tcPr>
            <w:tcW w:w="780" w:type="dxa"/>
            <w:vAlign w:val="bottom"/>
            <w:vMerge w:val="restart"/>
            <w:shd w:val="clear" w:color="auto" w:fill="DCE2EF"/>
          </w:tcPr>
          <w:p>
            <w:pPr>
              <w:jc w:val="right"/>
              <w:spacing w:after="0"/>
              <w:rPr>
                <w:sz w:val="20"/>
                <w:szCs w:val="20"/>
                <w:color w:val="auto"/>
              </w:rPr>
            </w:pPr>
            <w:r>
              <w:rPr>
                <w:rFonts w:ascii="Arial" w:cs="Arial" w:eastAsia="Arial" w:hAnsi="Arial"/>
                <w:sz w:val="13"/>
                <w:szCs w:val="13"/>
                <w:color w:val="auto"/>
              </w:rPr>
              <w:t>1,227,381</w:t>
            </w:r>
          </w:p>
        </w:tc>
        <w:tc>
          <w:tcPr>
            <w:tcW w:w="100" w:type="dxa"/>
            <w:vAlign w:val="bottom"/>
            <w:shd w:val="clear" w:color="auto" w:fill="DCE2EF"/>
          </w:tcPr>
          <w:p>
            <w:pPr>
              <w:spacing w:after="0"/>
              <w:rPr>
                <w:sz w:val="12"/>
                <w:szCs w:val="12"/>
                <w:color w:val="auto"/>
              </w:rPr>
            </w:pPr>
          </w:p>
        </w:tc>
        <w:tc>
          <w:tcPr>
            <w:tcW w:w="1020" w:type="dxa"/>
            <w:vAlign w:val="bottom"/>
            <w:gridSpan w:val="2"/>
            <w:vMerge w:val="restart"/>
            <w:shd w:val="clear" w:color="auto" w:fill="DCE2EF"/>
          </w:tcPr>
          <w:p>
            <w:pPr>
              <w:jc w:val="center"/>
              <w:ind w:right="100"/>
              <w:spacing w:after="0"/>
              <w:rPr>
                <w:sz w:val="20"/>
                <w:szCs w:val="20"/>
                <w:color w:val="auto"/>
              </w:rPr>
            </w:pPr>
            <w:r>
              <w:rPr>
                <w:rFonts w:ascii="Arial" w:cs="Arial" w:eastAsia="Arial" w:hAnsi="Arial"/>
                <w:sz w:val="13"/>
                <w:szCs w:val="13"/>
                <w:color w:val="auto"/>
                <w:w w:val="96"/>
              </w:rPr>
              <w:t>No</w:t>
            </w:r>
          </w:p>
        </w:tc>
        <w:tc>
          <w:tcPr>
            <w:tcW w:w="1000" w:type="dxa"/>
            <w:vAlign w:val="bottom"/>
            <w:shd w:val="clear" w:color="auto" w:fill="DCE2EF"/>
          </w:tcPr>
          <w:p>
            <w:pPr>
              <w:jc w:val="center"/>
              <w:spacing w:after="0" w:line="145" w:lineRule="exact"/>
              <w:rPr>
                <w:sz w:val="20"/>
                <w:szCs w:val="20"/>
                <w:color w:val="auto"/>
              </w:rPr>
            </w:pPr>
            <w:r>
              <w:rPr>
                <w:rFonts w:ascii="Arial" w:cs="Arial" w:eastAsia="Arial" w:hAnsi="Arial"/>
                <w:sz w:val="13"/>
                <w:szCs w:val="13"/>
                <w:color w:val="auto"/>
                <w:w w:val="96"/>
              </w:rPr>
              <w:t>12/1/17 to</w:t>
            </w:r>
          </w:p>
        </w:tc>
        <w:tc>
          <w:tcPr>
            <w:tcW w:w="0" w:type="dxa"/>
            <w:vAlign w:val="bottom"/>
          </w:tcPr>
          <w:p>
            <w:pPr>
              <w:spacing w:after="0"/>
              <w:rPr>
                <w:sz w:val="1"/>
                <w:szCs w:val="1"/>
                <w:color w:val="auto"/>
              </w:rPr>
            </w:pPr>
          </w:p>
        </w:tc>
      </w:tr>
      <w:tr>
        <w:trPr>
          <w:trHeight w:val="186"/>
        </w:trPr>
        <w:tc>
          <w:tcPr>
            <w:tcW w:w="1920" w:type="dxa"/>
            <w:vAlign w:val="bottom"/>
            <w:gridSpan w:val="2"/>
            <w:vMerge w:val="continue"/>
            <w:shd w:val="clear" w:color="auto" w:fill="DCE2EF"/>
          </w:tcPr>
          <w:p>
            <w:pPr>
              <w:spacing w:after="0"/>
              <w:rPr>
                <w:sz w:val="16"/>
                <w:szCs w:val="16"/>
                <w:color w:val="auto"/>
              </w:rPr>
            </w:pPr>
          </w:p>
        </w:tc>
        <w:tc>
          <w:tcPr>
            <w:tcW w:w="1160" w:type="dxa"/>
            <w:vAlign w:val="bottom"/>
            <w:vMerge w:val="continue"/>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860" w:type="dxa"/>
            <w:vAlign w:val="bottom"/>
            <w:vMerge w:val="continue"/>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740" w:type="dxa"/>
            <w:vAlign w:val="bottom"/>
            <w:gridSpan w:val="2"/>
            <w:vMerge w:val="continue"/>
            <w:shd w:val="clear" w:color="auto" w:fill="DCE2EF"/>
          </w:tcPr>
          <w:p>
            <w:pPr>
              <w:spacing w:after="0"/>
              <w:rPr>
                <w:sz w:val="16"/>
                <w:szCs w:val="16"/>
                <w:color w:val="auto"/>
              </w:rPr>
            </w:pPr>
          </w:p>
        </w:tc>
        <w:tc>
          <w:tcPr>
            <w:tcW w:w="620" w:type="dxa"/>
            <w:vAlign w:val="bottom"/>
            <w:vMerge w:val="continue"/>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060" w:type="dxa"/>
            <w:vAlign w:val="bottom"/>
            <w:gridSpan w:val="2"/>
            <w:vMerge w:val="continue"/>
            <w:shd w:val="clear" w:color="auto" w:fill="DCE2EF"/>
          </w:tcPr>
          <w:p>
            <w:pPr>
              <w:spacing w:after="0"/>
              <w:rPr>
                <w:sz w:val="16"/>
                <w:szCs w:val="16"/>
                <w:color w:val="auto"/>
              </w:rPr>
            </w:pPr>
          </w:p>
        </w:tc>
        <w:tc>
          <w:tcPr>
            <w:tcW w:w="140" w:type="dxa"/>
            <w:vAlign w:val="bottom"/>
            <w:shd w:val="clear" w:color="auto" w:fill="DCE2EF"/>
          </w:tcPr>
          <w:p>
            <w:pPr>
              <w:spacing w:after="0"/>
              <w:rPr>
                <w:sz w:val="16"/>
                <w:szCs w:val="16"/>
                <w:color w:val="auto"/>
              </w:rPr>
            </w:pPr>
          </w:p>
        </w:tc>
        <w:tc>
          <w:tcPr>
            <w:tcW w:w="740" w:type="dxa"/>
            <w:vAlign w:val="bottom"/>
            <w:vMerge w:val="continue"/>
            <w:shd w:val="clear" w:color="auto" w:fill="DCE2EF"/>
          </w:tcPr>
          <w:p>
            <w:pPr>
              <w:spacing w:after="0"/>
              <w:rPr>
                <w:sz w:val="16"/>
                <w:szCs w:val="16"/>
                <w:color w:val="auto"/>
              </w:rPr>
            </w:pPr>
          </w:p>
        </w:tc>
        <w:tc>
          <w:tcPr>
            <w:tcW w:w="200" w:type="dxa"/>
            <w:vAlign w:val="bottom"/>
            <w:shd w:val="clear" w:color="auto" w:fill="DCE2EF"/>
          </w:tcPr>
          <w:p>
            <w:pPr>
              <w:spacing w:after="0"/>
              <w:rPr>
                <w:sz w:val="16"/>
                <w:szCs w:val="16"/>
                <w:color w:val="auto"/>
              </w:rPr>
            </w:pPr>
          </w:p>
        </w:tc>
        <w:tc>
          <w:tcPr>
            <w:tcW w:w="180" w:type="dxa"/>
            <w:vAlign w:val="bottom"/>
            <w:shd w:val="clear" w:color="auto" w:fill="DCE2EF"/>
          </w:tcPr>
          <w:p>
            <w:pPr>
              <w:spacing w:after="0"/>
              <w:rPr>
                <w:sz w:val="16"/>
                <w:szCs w:val="16"/>
                <w:color w:val="auto"/>
              </w:rPr>
            </w:pPr>
          </w:p>
        </w:tc>
        <w:tc>
          <w:tcPr>
            <w:tcW w:w="780" w:type="dxa"/>
            <w:vAlign w:val="bottom"/>
            <w:vMerge w:val="continue"/>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020" w:type="dxa"/>
            <w:vAlign w:val="bottom"/>
            <w:gridSpan w:val="2"/>
            <w:vMerge w:val="continue"/>
            <w:shd w:val="clear" w:color="auto" w:fill="DCE2EF"/>
          </w:tcPr>
          <w:p>
            <w:pPr>
              <w:spacing w:after="0"/>
              <w:rPr>
                <w:sz w:val="16"/>
                <w:szCs w:val="16"/>
                <w:color w:val="auto"/>
              </w:rPr>
            </w:pPr>
          </w:p>
        </w:tc>
        <w:tc>
          <w:tcPr>
            <w:tcW w:w="1000" w:type="dxa"/>
            <w:vAlign w:val="bottom"/>
            <w:shd w:val="clear" w:color="auto" w:fill="DCE2EF"/>
          </w:tcPr>
          <w:p>
            <w:pPr>
              <w:jc w:val="center"/>
              <w:spacing w:after="0"/>
              <w:rPr>
                <w:sz w:val="20"/>
                <w:szCs w:val="20"/>
                <w:color w:val="auto"/>
              </w:rPr>
            </w:pPr>
            <w:r>
              <w:rPr>
                <w:rFonts w:ascii="Arial" w:cs="Arial" w:eastAsia="Arial" w:hAnsi="Arial"/>
                <w:sz w:val="13"/>
                <w:szCs w:val="13"/>
                <w:color w:val="auto"/>
                <w:w w:val="94"/>
              </w:rPr>
              <w:t>11/30/21</w:t>
            </w:r>
          </w:p>
        </w:tc>
        <w:tc>
          <w:tcPr>
            <w:tcW w:w="0" w:type="dxa"/>
            <w:vAlign w:val="bottom"/>
          </w:tcPr>
          <w:p>
            <w:pPr>
              <w:spacing w:after="0"/>
              <w:rPr>
                <w:sz w:val="1"/>
                <w:szCs w:val="1"/>
                <w:color w:val="auto"/>
              </w:rPr>
            </w:pPr>
          </w:p>
        </w:tc>
      </w:tr>
      <w:tr>
        <w:trPr>
          <w:trHeight w:val="138"/>
        </w:trPr>
        <w:tc>
          <w:tcPr>
            <w:tcW w:w="1920" w:type="dxa"/>
            <w:vAlign w:val="bottom"/>
            <w:gridSpan w:val="2"/>
          </w:tcPr>
          <w:p>
            <w:pPr>
              <w:ind w:left="20"/>
              <w:spacing w:after="0" w:line="138" w:lineRule="exact"/>
              <w:rPr>
                <w:sz w:val="20"/>
                <w:szCs w:val="20"/>
                <w:color w:val="auto"/>
              </w:rPr>
            </w:pPr>
            <w:r>
              <w:rPr>
                <w:rFonts w:ascii="Arial" w:cs="Arial" w:eastAsia="Arial" w:hAnsi="Arial"/>
                <w:sz w:val="13"/>
                <w:szCs w:val="13"/>
                <w:color w:val="auto"/>
              </w:rPr>
              <w:t>SEIU National Industry Pension</w:t>
            </w:r>
          </w:p>
        </w:tc>
        <w:tc>
          <w:tcPr>
            <w:tcW w:w="1160" w:type="dxa"/>
            <w:vAlign w:val="bottom"/>
            <w:vMerge w:val="restart"/>
          </w:tcPr>
          <w:p>
            <w:pPr>
              <w:jc w:val="center"/>
              <w:spacing w:after="0"/>
              <w:rPr>
                <w:sz w:val="20"/>
                <w:szCs w:val="20"/>
                <w:color w:val="auto"/>
              </w:rPr>
            </w:pPr>
            <w:r>
              <w:rPr>
                <w:rFonts w:ascii="Arial" w:cs="Arial" w:eastAsia="Arial" w:hAnsi="Arial"/>
                <w:sz w:val="13"/>
                <w:szCs w:val="13"/>
                <w:color w:val="auto"/>
                <w:w w:val="94"/>
              </w:rPr>
              <w:t>52-6148540-001</w:t>
            </w:r>
          </w:p>
        </w:tc>
        <w:tc>
          <w:tcPr>
            <w:tcW w:w="12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w w:val="95"/>
              </w:rPr>
              <w:t>12/31/2019</w:t>
            </w:r>
          </w:p>
        </w:tc>
        <w:tc>
          <w:tcPr>
            <w:tcW w:w="100" w:type="dxa"/>
            <w:vAlign w:val="bottom"/>
          </w:tcPr>
          <w:p>
            <w:pPr>
              <w:spacing w:after="0"/>
              <w:rPr>
                <w:sz w:val="11"/>
                <w:szCs w:val="11"/>
                <w:color w:val="auto"/>
              </w:rPr>
            </w:pP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99"/>
              </w:rPr>
              <w:t>Yellow</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99"/>
              </w:rPr>
              <w:t>Yellow</w:t>
            </w:r>
          </w:p>
        </w:tc>
        <w:tc>
          <w:tcPr>
            <w:tcW w:w="100" w:type="dxa"/>
            <w:vAlign w:val="bottom"/>
          </w:tcPr>
          <w:p>
            <w:pPr>
              <w:spacing w:after="0"/>
              <w:rPr>
                <w:sz w:val="11"/>
                <w:szCs w:val="11"/>
                <w:color w:val="auto"/>
              </w:rPr>
            </w:pP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5"/>
              </w:rPr>
              <w:t>Implemented</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5,084,933</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6,112,356</w:t>
            </w:r>
          </w:p>
        </w:tc>
        <w:tc>
          <w:tcPr>
            <w:tcW w:w="100" w:type="dxa"/>
            <w:vAlign w:val="bottom"/>
          </w:tcPr>
          <w:p>
            <w:pPr>
              <w:spacing w:after="0"/>
              <w:rPr>
                <w:sz w:val="11"/>
                <w:szCs w:val="11"/>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6"/>
              </w:rPr>
              <w:t>No</w:t>
            </w:r>
          </w:p>
        </w:tc>
        <w:tc>
          <w:tcPr>
            <w:tcW w:w="1000" w:type="dxa"/>
            <w:vAlign w:val="bottom"/>
          </w:tcPr>
          <w:p>
            <w:pPr>
              <w:jc w:val="center"/>
              <w:spacing w:after="0" w:line="138" w:lineRule="exact"/>
              <w:rPr>
                <w:sz w:val="20"/>
                <w:szCs w:val="20"/>
                <w:color w:val="auto"/>
              </w:rPr>
            </w:pPr>
            <w:r>
              <w:rPr>
                <w:rFonts w:ascii="Arial" w:cs="Arial" w:eastAsia="Arial" w:hAnsi="Arial"/>
                <w:sz w:val="13"/>
                <w:szCs w:val="13"/>
                <w:color w:val="auto"/>
                <w:w w:val="95"/>
              </w:rPr>
              <w:t>Various to</w:t>
            </w:r>
          </w:p>
        </w:tc>
        <w:tc>
          <w:tcPr>
            <w:tcW w:w="0" w:type="dxa"/>
            <w:vAlign w:val="bottom"/>
          </w:tcPr>
          <w:p>
            <w:pPr>
              <w:spacing w:after="0"/>
              <w:rPr>
                <w:sz w:val="1"/>
                <w:szCs w:val="1"/>
                <w:color w:val="auto"/>
              </w:rPr>
            </w:pPr>
          </w:p>
        </w:tc>
      </w:tr>
      <w:tr>
        <w:trPr>
          <w:trHeight w:val="179"/>
        </w:trPr>
        <w:tc>
          <w:tcPr>
            <w:tcW w:w="1920" w:type="dxa"/>
            <w:vAlign w:val="bottom"/>
            <w:gridSpan w:val="2"/>
          </w:tcPr>
          <w:p>
            <w:pPr>
              <w:ind w:left="20"/>
              <w:spacing w:after="0"/>
              <w:rPr>
                <w:sz w:val="20"/>
                <w:szCs w:val="20"/>
                <w:color w:val="auto"/>
              </w:rPr>
            </w:pPr>
            <w:r>
              <w:rPr>
                <w:rFonts w:ascii="Arial" w:cs="Arial" w:eastAsia="Arial" w:hAnsi="Arial"/>
                <w:sz w:val="13"/>
                <w:szCs w:val="13"/>
                <w:color w:val="auto"/>
              </w:rPr>
              <w:t>Fund</w:t>
            </w:r>
          </w:p>
        </w:tc>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2"/>
              </w:rPr>
              <w:t>4/31/21</w:t>
            </w:r>
          </w:p>
        </w:tc>
        <w:tc>
          <w:tcPr>
            <w:tcW w:w="0" w:type="dxa"/>
            <w:vAlign w:val="bottom"/>
          </w:tcPr>
          <w:p>
            <w:pPr>
              <w:spacing w:after="0"/>
              <w:rPr>
                <w:sz w:val="1"/>
                <w:szCs w:val="1"/>
                <w:color w:val="auto"/>
              </w:rPr>
            </w:pPr>
          </w:p>
        </w:tc>
      </w:tr>
      <w:tr>
        <w:trPr>
          <w:trHeight w:val="190"/>
        </w:trPr>
        <w:tc>
          <w:tcPr>
            <w:tcW w:w="1920" w:type="dxa"/>
            <w:vAlign w:val="bottom"/>
            <w:gridSpan w:val="2"/>
            <w:shd w:val="clear" w:color="auto" w:fill="DCE2EF"/>
          </w:tcPr>
          <w:p>
            <w:pPr>
              <w:ind w:left="20"/>
              <w:spacing w:after="0"/>
              <w:rPr>
                <w:sz w:val="20"/>
                <w:szCs w:val="20"/>
                <w:color w:val="auto"/>
              </w:rPr>
            </w:pPr>
            <w:r>
              <w:rPr>
                <w:rFonts w:ascii="Arial" w:cs="Arial" w:eastAsia="Arial" w:hAnsi="Arial"/>
                <w:sz w:val="13"/>
                <w:szCs w:val="13"/>
                <w:color w:val="auto"/>
              </w:rPr>
              <w:t>Other funds</w:t>
            </w:r>
          </w:p>
        </w:tc>
        <w:tc>
          <w:tcPr>
            <w:tcW w:w="11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86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62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62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94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40" w:type="dxa"/>
            <w:vAlign w:val="bottom"/>
            <w:tcBorders>
              <w:bottom w:val="single" w:sz="8" w:color="auto"/>
            </w:tcBorders>
            <w:shd w:val="clear" w:color="auto" w:fill="DCE2EF"/>
          </w:tcPr>
          <w:p>
            <w:pPr>
              <w:spacing w:after="0"/>
              <w:rPr>
                <w:sz w:val="16"/>
                <w:szCs w:val="16"/>
                <w:color w:val="auto"/>
              </w:rPr>
            </w:pPr>
          </w:p>
        </w:tc>
        <w:tc>
          <w:tcPr>
            <w:tcW w:w="7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color w:val="auto"/>
              </w:rPr>
              <w:t>955,074</w:t>
            </w:r>
          </w:p>
        </w:tc>
        <w:tc>
          <w:tcPr>
            <w:tcW w:w="200" w:type="dxa"/>
            <w:vAlign w:val="bottom"/>
            <w:shd w:val="clear" w:color="auto" w:fill="DCE2EF"/>
          </w:tcPr>
          <w:p>
            <w:pPr>
              <w:spacing w:after="0"/>
              <w:rPr>
                <w:sz w:val="16"/>
                <w:szCs w:val="16"/>
                <w:color w:val="auto"/>
              </w:rPr>
            </w:pPr>
          </w:p>
        </w:tc>
        <w:tc>
          <w:tcPr>
            <w:tcW w:w="180" w:type="dxa"/>
            <w:vAlign w:val="bottom"/>
            <w:tcBorders>
              <w:bottom w:val="single" w:sz="8" w:color="auto"/>
            </w:tcBorders>
            <w:shd w:val="clear" w:color="auto" w:fill="DCE2EF"/>
          </w:tcPr>
          <w:p>
            <w:pPr>
              <w:spacing w:after="0"/>
              <w:rPr>
                <w:sz w:val="16"/>
                <w:szCs w:val="16"/>
                <w:color w:val="auto"/>
              </w:rPr>
            </w:pPr>
          </w:p>
        </w:tc>
        <w:tc>
          <w:tcPr>
            <w:tcW w:w="7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3"/>
                <w:szCs w:val="13"/>
                <w:color w:val="auto"/>
              </w:rPr>
              <w:t>1,078,904</w:t>
            </w:r>
          </w:p>
        </w:tc>
        <w:tc>
          <w:tcPr>
            <w:tcW w:w="100" w:type="dxa"/>
            <w:vAlign w:val="bottom"/>
            <w:shd w:val="clear" w:color="auto" w:fill="DCE2EF"/>
          </w:tcPr>
          <w:p>
            <w:pPr>
              <w:spacing w:after="0"/>
              <w:rPr>
                <w:sz w:val="16"/>
                <w:szCs w:val="16"/>
                <w:color w:val="auto"/>
              </w:rPr>
            </w:pPr>
          </w:p>
        </w:tc>
        <w:tc>
          <w:tcPr>
            <w:tcW w:w="90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00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20" w:type="dxa"/>
            <w:vAlign w:val="bottom"/>
            <w:gridSpan w:val="2"/>
          </w:tcPr>
          <w:p>
            <w:pPr>
              <w:ind w:left="20"/>
              <w:spacing w:after="0"/>
              <w:rPr>
                <w:sz w:val="20"/>
                <w:szCs w:val="20"/>
                <w:color w:val="auto"/>
              </w:rPr>
            </w:pPr>
            <w:r>
              <w:rPr>
                <w:rFonts w:ascii="Arial" w:cs="Arial" w:eastAsia="Arial" w:hAnsi="Arial"/>
                <w:sz w:val="13"/>
                <w:szCs w:val="13"/>
                <w:color w:val="auto"/>
              </w:rPr>
              <w:t>Total contributions</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61,831,633</w:t>
            </w:r>
          </w:p>
        </w:tc>
        <w:tc>
          <w:tcPr>
            <w:tcW w:w="200" w:type="dxa"/>
            <w:vAlign w:val="bottom"/>
          </w:tcPr>
          <w:p>
            <w:pPr>
              <w:spacing w:after="0"/>
              <w:rPr>
                <w:sz w:val="16"/>
                <w:szCs w:val="16"/>
                <w:color w:val="auto"/>
              </w:rPr>
            </w:pP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63,288,494</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340" w:right="20" w:hanging="8"/>
        <w:spacing w:after="0" w:line="218" w:lineRule="auto"/>
        <w:tabs>
          <w:tab w:leader="none" w:pos="528" w:val="left"/>
        </w:tabs>
        <w:numPr>
          <w:ilvl w:val="0"/>
          <w:numId w:val="14"/>
        </w:numPr>
        <w:rPr>
          <w:rFonts w:ascii="Arial" w:cs="Arial" w:eastAsia="Arial" w:hAnsi="Arial"/>
          <w:sz w:val="23"/>
          <w:szCs w:val="23"/>
          <w:color w:val="auto"/>
          <w:vertAlign w:val="superscript"/>
        </w:rPr>
      </w:pPr>
      <w:r>
        <w:rPr>
          <w:rFonts w:ascii="Arial" w:cs="Arial" w:eastAsia="Arial" w:hAnsi="Arial"/>
          <w:sz w:val="16"/>
          <w:szCs w:val="16"/>
          <w:color w:val="auto"/>
        </w:rPr>
        <w:t>Central Pension Fund of the IUOE &amp; Participating Employers utilized the special 30-year amortization rules provided by Public Law 111-92, Section 211 to amortize its losses from 2008.</w:t>
      </w:r>
    </w:p>
    <w:p>
      <w:pPr>
        <w:spacing w:after="0" w:line="159" w:lineRule="exact"/>
        <w:rPr>
          <w:rFonts w:ascii="Arial" w:cs="Arial" w:eastAsia="Arial" w:hAnsi="Arial"/>
          <w:sz w:val="23"/>
          <w:szCs w:val="23"/>
          <w:color w:val="auto"/>
          <w:vertAlign w:val="superscript"/>
        </w:rPr>
      </w:pPr>
    </w:p>
    <w:p>
      <w:pPr>
        <w:ind w:left="340" w:hanging="8"/>
        <w:spacing w:after="0" w:line="218" w:lineRule="auto"/>
        <w:tabs>
          <w:tab w:leader="none" w:pos="521" w:val="left"/>
        </w:tabs>
        <w:numPr>
          <w:ilvl w:val="0"/>
          <w:numId w:val="14"/>
        </w:numPr>
        <w:rPr>
          <w:rFonts w:ascii="Arial" w:cs="Arial" w:eastAsia="Arial" w:hAnsi="Arial"/>
          <w:sz w:val="23"/>
          <w:szCs w:val="23"/>
          <w:color w:val="auto"/>
          <w:vertAlign w:val="superscript"/>
        </w:rPr>
      </w:pPr>
      <w:r>
        <w:rPr>
          <w:rFonts w:ascii="Arial" w:cs="Arial" w:eastAsia="Arial" w:hAnsi="Arial"/>
          <w:sz w:val="16"/>
          <w:szCs w:val="16"/>
          <w:color w:val="auto"/>
        </w:rPr>
        <w:t>If the Company were to withdraw from the plan, there could be a withdrawal liability. The Company does not have any plans at the present time to withdraw from the plan.</w:t>
      </w:r>
    </w:p>
    <w:p>
      <w:pPr>
        <w:spacing w:after="0" w:line="101" w:lineRule="exact"/>
        <w:rPr>
          <w:rFonts w:ascii="Arial" w:cs="Arial" w:eastAsia="Arial" w:hAnsi="Arial"/>
          <w:sz w:val="23"/>
          <w:szCs w:val="23"/>
          <w:color w:val="auto"/>
          <w:vertAlign w:val="superscript"/>
        </w:rPr>
      </w:pPr>
    </w:p>
    <w:p>
      <w:pPr>
        <w:ind w:left="520" w:hanging="183"/>
        <w:spacing w:after="0" w:line="265" w:lineRule="exact"/>
        <w:tabs>
          <w:tab w:leader="none" w:pos="520" w:val="left"/>
        </w:tabs>
        <w:numPr>
          <w:ilvl w:val="0"/>
          <w:numId w:val="14"/>
        </w:numPr>
        <w:rPr>
          <w:rFonts w:ascii="Arial" w:cs="Arial" w:eastAsia="Arial" w:hAnsi="Arial"/>
          <w:sz w:val="23"/>
          <w:szCs w:val="23"/>
          <w:color w:val="auto"/>
          <w:vertAlign w:val="superscript"/>
        </w:rPr>
      </w:pPr>
      <w:r>
        <w:rPr>
          <w:rFonts w:ascii="Arial" w:cs="Arial" w:eastAsia="Arial" w:hAnsi="Arial"/>
          <w:sz w:val="16"/>
          <w:szCs w:val="16"/>
          <w:color w:val="auto"/>
        </w:rPr>
        <w:t>Local 68 Engineers Union Pension Plan was amended effectively July 1, 2011 to reduce bene</w:t>
      </w:r>
      <w:r>
        <w:rPr>
          <w:rFonts w:ascii="Arial Unicode MS" w:cs="Arial Unicode MS" w:eastAsia="Arial Unicode MS" w:hAnsi="Arial Unicode MS"/>
          <w:sz w:val="16"/>
          <w:szCs w:val="16"/>
          <w:color w:val="auto"/>
        </w:rPr>
        <w:t></w:t>
      </w:r>
      <w:r>
        <w:rPr>
          <w:rFonts w:ascii="Arial" w:cs="Arial" w:eastAsia="Arial" w:hAnsi="Arial"/>
          <w:sz w:val="16"/>
          <w:szCs w:val="16"/>
          <w:color w:val="auto"/>
        </w:rPr>
        <w:t>ts in order to improve the Plan's funding status.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1"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Crown Building Maintenance Co. and Crown Energy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dba Able Services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Combined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2020 and 2019</w:t>
      </w:r>
    </w:p>
    <w:p>
      <w:pPr>
        <w:spacing w:after="0" w:line="157"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MULTI-EMPLOYER PLANS (continued)</w:t>
      </w:r>
    </w:p>
    <w:p>
      <w:pPr>
        <w:spacing w:after="0" w:line="25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7"/>
          <w:szCs w:val="17"/>
          <w:color w:val="auto"/>
        </w:rPr>
        <w:t>The Company was listed in its plans Form 5500 as providing more than 5% of the total contributions for the following plans' and plan years:</w:t>
      </w:r>
    </w:p>
    <w:p>
      <w:pPr>
        <w:spacing w:after="0" w:line="22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87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Pension Fund</w:t>
            </w:r>
          </w:p>
        </w:tc>
        <w:tc>
          <w:tcPr>
            <w:tcW w:w="2180" w:type="dxa"/>
            <w:vAlign w:val="bottom"/>
          </w:tcPr>
          <w:p>
            <w:pPr>
              <w:ind w:left="920"/>
              <w:spacing w:after="0"/>
              <w:rPr>
                <w:sz w:val="20"/>
                <w:szCs w:val="20"/>
                <w:color w:val="auto"/>
              </w:rPr>
            </w:pPr>
            <w:r>
              <w:rPr>
                <w:rFonts w:ascii="Arial" w:cs="Arial" w:eastAsia="Arial" w:hAnsi="Arial"/>
                <w:sz w:val="18"/>
                <w:szCs w:val="18"/>
                <w:color w:val="auto"/>
              </w:rPr>
              <w:t>Year</w:t>
            </w:r>
          </w:p>
        </w:tc>
      </w:tr>
      <w:tr>
        <w:trPr>
          <w:trHeight w:val="223"/>
        </w:trPr>
        <w:tc>
          <w:tcPr>
            <w:tcW w:w="8620" w:type="dxa"/>
            <w:vAlign w:val="bottom"/>
            <w:tcBorders>
              <w:top w:val="single" w:sz="8" w:color="auto"/>
            </w:tcBorders>
            <w:shd w:val="clear" w:color="auto" w:fill="DCE2EF"/>
          </w:tcPr>
          <w:p>
            <w:pPr>
              <w:jc w:val="center"/>
              <w:spacing w:after="0"/>
              <w:rPr>
                <w:sz w:val="20"/>
                <w:szCs w:val="20"/>
                <w:color w:val="auto"/>
              </w:rPr>
            </w:pPr>
            <w:r>
              <w:rPr>
                <w:rFonts w:ascii="Arial" w:cs="Arial" w:eastAsia="Arial" w:hAnsi="Arial"/>
                <w:sz w:val="18"/>
                <w:szCs w:val="18"/>
                <w:color w:val="auto"/>
                <w:w w:val="91"/>
              </w:rPr>
              <w:t>SEIU National Industry Pension Fund</w:t>
            </w:r>
          </w:p>
        </w:tc>
        <w:tc>
          <w:tcPr>
            <w:tcW w:w="100" w:type="dxa"/>
            <w:vAlign w:val="bottom"/>
            <w:tcBorders>
              <w:top w:val="single" w:sz="8" w:color="DCE2EF"/>
            </w:tcBorders>
            <w:shd w:val="clear" w:color="auto" w:fill="DCE2EF"/>
          </w:tcPr>
          <w:p>
            <w:pPr>
              <w:spacing w:after="0"/>
              <w:rPr>
                <w:sz w:val="19"/>
                <w:szCs w:val="19"/>
                <w:color w:val="auto"/>
              </w:rPr>
            </w:pPr>
          </w:p>
        </w:tc>
        <w:tc>
          <w:tcPr>
            <w:tcW w:w="2180" w:type="dxa"/>
            <w:vAlign w:val="bottom"/>
            <w:tcBorders>
              <w:top w:val="single" w:sz="8" w:color="auto"/>
            </w:tcBorders>
            <w:shd w:val="clear" w:color="auto" w:fill="DCE2EF"/>
          </w:tcPr>
          <w:p>
            <w:pPr>
              <w:ind w:left="920"/>
              <w:spacing w:after="0"/>
              <w:rPr>
                <w:sz w:val="20"/>
                <w:szCs w:val="20"/>
                <w:color w:val="auto"/>
              </w:rPr>
            </w:pPr>
            <w:r>
              <w:rPr>
                <w:rFonts w:ascii="Arial" w:cs="Arial" w:eastAsia="Arial" w:hAnsi="Arial"/>
                <w:sz w:val="18"/>
                <w:szCs w:val="18"/>
                <w:color w:val="auto"/>
              </w:rPr>
              <w:t>2019</w:t>
            </w:r>
          </w:p>
        </w:tc>
      </w:tr>
      <w:tr>
        <w:trPr>
          <w:trHeight w:val="230"/>
        </w:trPr>
        <w:tc>
          <w:tcPr>
            <w:tcW w:w="87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IUOE Stationary Engineers Local 39 Pension Plan</w:t>
            </w:r>
          </w:p>
        </w:tc>
        <w:tc>
          <w:tcPr>
            <w:tcW w:w="2180" w:type="dxa"/>
            <w:vAlign w:val="bottom"/>
          </w:tcPr>
          <w:p>
            <w:pPr>
              <w:ind w:left="920"/>
              <w:spacing w:after="0"/>
              <w:rPr>
                <w:sz w:val="20"/>
                <w:szCs w:val="20"/>
                <w:color w:val="auto"/>
              </w:rPr>
            </w:pPr>
            <w:r>
              <w:rPr>
                <w:rFonts w:ascii="Arial" w:cs="Arial" w:eastAsia="Arial" w:hAnsi="Arial"/>
                <w:sz w:val="18"/>
                <w:szCs w:val="18"/>
                <w:color w:val="auto"/>
              </w:rPr>
              <w:t>2019</w:t>
            </w:r>
          </w:p>
        </w:tc>
      </w:tr>
    </w:tbl>
    <w:p>
      <w:pPr>
        <w:spacing w:after="0" w:line="322" w:lineRule="exact"/>
        <w:rPr>
          <w:sz w:val="20"/>
          <w:szCs w:val="20"/>
          <w:color w:val="auto"/>
        </w:rPr>
      </w:pPr>
    </w:p>
    <w:p>
      <w:pPr>
        <w:ind w:left="340" w:right="280"/>
        <w:spacing w:after="0" w:line="277" w:lineRule="auto"/>
        <w:rPr>
          <w:sz w:val="20"/>
          <w:szCs w:val="20"/>
          <w:color w:val="auto"/>
        </w:rPr>
      </w:pPr>
      <w:r>
        <w:rPr>
          <w:rFonts w:ascii="Arial" w:cs="Arial" w:eastAsia="Arial" w:hAnsi="Arial"/>
          <w:sz w:val="18"/>
          <w:szCs w:val="18"/>
          <w:color w:val="auto"/>
        </w:rPr>
        <w:t>At the date the combined financial statements were issued, Forms 5500 were not available for IUOE Stationary Engineers Local 39 Pension Plan or SEIU National Industry Pension Fund, plan year ended in 2020.</w:t>
      </w:r>
    </w:p>
    <w:p>
      <w:pPr>
        <w:spacing w:after="0" w:line="197"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 AND UNCERTAINTIES</w:t>
      </w:r>
    </w:p>
    <w:p>
      <w:pPr>
        <w:spacing w:after="0" w:line="252" w:lineRule="exact"/>
        <w:rPr>
          <w:rFonts w:ascii="Arial" w:cs="Arial" w:eastAsia="Arial" w:hAnsi="Arial"/>
          <w:sz w:val="18"/>
          <w:szCs w:val="18"/>
          <w:color w:val="auto"/>
        </w:rPr>
      </w:pPr>
    </w:p>
    <w:p>
      <w:pPr>
        <w:jc w:val="both"/>
        <w:ind w:left="340"/>
        <w:spacing w:after="0" w:line="272" w:lineRule="auto"/>
        <w:rPr>
          <w:rFonts w:ascii="Arial" w:cs="Arial" w:eastAsia="Arial" w:hAnsi="Arial"/>
          <w:sz w:val="18"/>
          <w:szCs w:val="18"/>
          <w:color w:val="auto"/>
        </w:rPr>
      </w:pPr>
      <w:r>
        <w:rPr>
          <w:rFonts w:ascii="Arial" w:cs="Arial" w:eastAsia="Arial" w:hAnsi="Arial"/>
          <w:sz w:val="17"/>
          <w:szCs w:val="17"/>
          <w:color w:val="auto"/>
        </w:rPr>
        <w:t>On March 11, 2020, the World Health Organization declared the novel strain of coronavirus (COVID-19) a global pandemic and recommended containment and mitigation measures worldwide. The COVID-19 outbreak in the United States has caused business disruption through mandated and voluntary closings of businesses and shelter in place orders. In response, the US. Government enacted the Coronavirus Aid, Relief, and Economic Security (CARES) Act, which includes significant provisions to provide relief and assistance to affected organizations. While the disruption is currently expected to be temporary, there is considerable uncertainty around the duration of the closings and shelter in place orders and the ultimate impact of the CARES Act and other governmental initiatives. It is at least reasonably possible that this matter will negatively impact the Company. However, the financial impact and duration cannot be reasonably estimated at this time.</w:t>
      </w:r>
    </w:p>
    <w:p>
      <w:pPr>
        <w:spacing w:after="0" w:line="204"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SUBSEQUENT EVENTS</w:t>
      </w:r>
    </w:p>
    <w:p>
      <w:pPr>
        <w:spacing w:after="0" w:line="252"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The Company has evaluated events through March 31, 2021, the date the combined financial statements were available to be issued. No other subsequent events have been identified, except as disclosed below.</w:t>
      </w:r>
    </w:p>
    <w:p>
      <w:pPr>
        <w:spacing w:after="0" w:line="197"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 IN ACCOUNTING PRINCIPLE</w:t>
      </w:r>
    </w:p>
    <w:p>
      <w:pPr>
        <w:spacing w:after="0" w:line="252" w:lineRule="exact"/>
        <w:rPr>
          <w:rFonts w:ascii="Arial" w:cs="Arial" w:eastAsia="Arial" w:hAnsi="Arial"/>
          <w:sz w:val="18"/>
          <w:szCs w:val="18"/>
          <w:color w:val="auto"/>
        </w:rPr>
      </w:pPr>
    </w:p>
    <w:p>
      <w:pPr>
        <w:jc w:val="both"/>
        <w:ind w:left="340"/>
        <w:spacing w:after="0" w:line="263" w:lineRule="auto"/>
        <w:rPr>
          <w:rFonts w:ascii="Arial" w:cs="Arial" w:eastAsia="Arial" w:hAnsi="Arial"/>
          <w:sz w:val="18"/>
          <w:szCs w:val="18"/>
          <w:color w:val="auto"/>
        </w:rPr>
      </w:pPr>
      <w:r>
        <w:rPr>
          <w:rFonts w:ascii="Arial" w:cs="Arial" w:eastAsia="Arial" w:hAnsi="Arial"/>
          <w:sz w:val="18"/>
          <w:szCs w:val="18"/>
          <w:color w:val="auto"/>
        </w:rPr>
        <w:t>The Company has restated its beginning retained earnings to account for a change in accounting over goodwill. The Company had previously adopted Accounting Standards Update (ASU) No. 2014-02, Intangibles - Goodwill and Other (Topic 350): Accounting for Goodwill, which allowed for the amortization of goodwill for private companies, which it has now reversed.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1"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Crown Building Maintenance Co. and Crown Energy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dba Able Services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Combined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2020 and 2019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16.  CHANGE IN ACCOUNTING PRINCIPLE (continued)</w:t>
            </w:r>
          </w:p>
        </w:tc>
        <w:tc>
          <w:tcPr>
            <w:tcW w:w="3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4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Restatement consists of the following:</w:t>
            </w:r>
          </w:p>
        </w:tc>
        <w:tc>
          <w:tcPr>
            <w:tcW w:w="3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940" w:type="dxa"/>
            <w:vAlign w:val="bottom"/>
            <w:shd w:val="clear" w:color="auto" w:fill="DCE2EF"/>
          </w:tcPr>
          <w:p>
            <w:pPr>
              <w:ind w:left="20"/>
              <w:spacing w:after="0"/>
              <w:rPr>
                <w:sz w:val="20"/>
                <w:szCs w:val="20"/>
                <w:color w:val="auto"/>
              </w:rPr>
            </w:pPr>
            <w:r>
              <w:rPr>
                <w:rFonts w:ascii="Arial" w:cs="Arial" w:eastAsia="Arial" w:hAnsi="Arial"/>
                <w:sz w:val="18"/>
                <w:szCs w:val="18"/>
                <w:color w:val="auto"/>
                <w:w w:val="95"/>
              </w:rPr>
              <w:t>Retained earnings as of December 31, 2018, as originally stated</w:t>
            </w:r>
          </w:p>
        </w:tc>
        <w:tc>
          <w:tcPr>
            <w:tcW w:w="4480" w:type="dxa"/>
            <w:vAlign w:val="bottom"/>
            <w:gridSpan w:val="2"/>
            <w:shd w:val="clear" w:color="auto" w:fill="DCE2EF"/>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21,875,321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940" w:type="dxa"/>
            <w:vAlign w:val="bottom"/>
            <w:tcBorders>
              <w:bottom w:val="single" w:sz="8" w:color="DCE2EF"/>
            </w:tcBorders>
          </w:tcPr>
          <w:p>
            <w:pPr>
              <w:ind w:left="20"/>
              <w:spacing w:after="0"/>
              <w:rPr>
                <w:sz w:val="20"/>
                <w:szCs w:val="20"/>
                <w:color w:val="auto"/>
              </w:rPr>
            </w:pPr>
            <w:r>
              <w:rPr>
                <w:rFonts w:ascii="Arial" w:cs="Arial" w:eastAsia="Arial" w:hAnsi="Arial"/>
                <w:sz w:val="18"/>
                <w:szCs w:val="18"/>
                <w:color w:val="auto"/>
                <w:w w:val="95"/>
              </w:rPr>
              <w:t>To remove accumulated amortization for goodwill as of 12/31/18</w:t>
            </w:r>
          </w:p>
        </w:tc>
        <w:tc>
          <w:tcPr>
            <w:tcW w:w="3780" w:type="dxa"/>
            <w:vAlign w:val="bottom"/>
            <w:tcBorders>
              <w:bottom w:val="single" w:sz="8" w:color="DCE2E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4,960,227</w:t>
            </w: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4940" w:type="dxa"/>
            <w:vAlign w:val="bottom"/>
            <w:tcBorders>
              <w:bottom w:val="single" w:sz="8" w:color="DCE2EF"/>
            </w:tcBorders>
            <w:shd w:val="clear" w:color="auto" w:fill="DCE2EF"/>
          </w:tcPr>
          <w:p>
            <w:pPr>
              <w:ind w:left="20"/>
              <w:spacing w:after="0"/>
              <w:rPr>
                <w:sz w:val="20"/>
                <w:szCs w:val="20"/>
                <w:color w:val="auto"/>
              </w:rPr>
            </w:pPr>
            <w:r>
              <w:rPr>
                <w:rFonts w:ascii="Arial" w:cs="Arial" w:eastAsia="Arial" w:hAnsi="Arial"/>
                <w:sz w:val="18"/>
                <w:szCs w:val="18"/>
                <w:color w:val="auto"/>
              </w:rPr>
              <w:t>Retained earnings, December 31, 2018, as restated</w:t>
            </w:r>
          </w:p>
        </w:tc>
        <w:tc>
          <w:tcPr>
            <w:tcW w:w="3780" w:type="dxa"/>
            <w:vAlign w:val="bottom"/>
            <w:tcBorders>
              <w:bottom w:val="single" w:sz="8" w:color="DCE2EF"/>
            </w:tcBorders>
            <w:shd w:val="clear" w:color="auto" w:fill="DCE2EF"/>
          </w:tcPr>
          <w:p>
            <w:pPr>
              <w:spacing w:after="0"/>
              <w:rPr>
                <w:sz w:val="21"/>
                <w:szCs w:val="21"/>
                <w:color w:val="auto"/>
              </w:rPr>
            </w:pPr>
          </w:p>
        </w:tc>
        <w:tc>
          <w:tcPr>
            <w:tcW w:w="700" w:type="dxa"/>
            <w:vAlign w:val="bottom"/>
            <w:tcBorders>
              <w:bottom w:val="single" w:sz="8" w:color="auto"/>
            </w:tcBorders>
            <w:shd w:val="clear" w:color="auto" w:fill="DCE2EF"/>
          </w:tcPr>
          <w:p>
            <w:pPr>
              <w:jc w:val="right"/>
              <w:ind w:right="4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26,835,548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940" w:type="dxa"/>
            <w:vAlign w:val="bottom"/>
            <w:tcBorders>
              <w:top w:val="single" w:sz="8" w:color="DCE2EF"/>
            </w:tcBorders>
          </w:tcPr>
          <w:p>
            <w:pPr>
              <w:spacing w:after="0" w:line="20" w:lineRule="exact"/>
              <w:rPr>
                <w:sz w:val="1"/>
                <w:szCs w:val="1"/>
                <w:color w:val="auto"/>
              </w:rPr>
            </w:pPr>
          </w:p>
        </w:tc>
        <w:tc>
          <w:tcPr>
            <w:tcW w:w="3780" w:type="dxa"/>
            <w:vAlign w:val="bottom"/>
            <w:tcBorders>
              <w:top w:val="single" w:sz="8" w:color="DCE2EF"/>
              <w:bottom w:val="single" w:sz="8" w:color="DCE2EF"/>
            </w:tcBorders>
            <w:vMerge w:val="restart"/>
          </w:tcPr>
          <w:p>
            <w:pPr>
              <w:jc w:val="right"/>
              <w:ind w:right="3250"/>
              <w:spacing w:after="0"/>
              <w:rPr>
                <w:sz w:val="20"/>
                <w:szCs w:val="20"/>
                <w:color w:val="auto"/>
              </w:rPr>
            </w:pPr>
            <w:r>
              <w:rPr>
                <w:rFonts w:ascii="Arial" w:cs="Arial" w:eastAsia="Arial" w:hAnsi="Arial"/>
                <w:sz w:val="18"/>
                <w:szCs w:val="18"/>
                <w:color w:val="auto"/>
              </w:rPr>
              <w:t>18</w:t>
            </w:r>
          </w:p>
        </w:tc>
        <w:tc>
          <w:tcPr>
            <w:tcW w:w="700" w:type="dxa"/>
            <w:vAlign w:val="bottom"/>
            <w:tcBorders>
              <w:top w:val="single" w:sz="8" w:color="DCE2EF"/>
              <w:bottom w:val="single" w:sz="8" w:color="auto"/>
            </w:tcBorders>
          </w:tcPr>
          <w:p>
            <w:pPr>
              <w:spacing w:after="0" w:line="20" w:lineRule="exact"/>
              <w:rPr>
                <w:sz w:val="1"/>
                <w:szCs w:val="1"/>
                <w:color w:val="auto"/>
              </w:rPr>
            </w:pPr>
          </w:p>
        </w:tc>
        <w:tc>
          <w:tcPr>
            <w:tcW w:w="148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Crown Building Maintenance Co. and Crown Energy Services, Inc.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dba Able Services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auto"/>
        </w:rPr>
        <w:t>Combined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As of June 30, 2021 and for the Period from January 1, 2021 and June 30, 2021</w:t>
      </w:r>
    </w:p>
    <w:p>
      <w:pPr>
        <w:sectPr>
          <w:pgSz w:w="11900" w:h="16838" w:orient="portrait"/>
          <w:cols w:equalWidth="0" w:num="1">
            <w:col w:w="11240"/>
          </w:cols>
          <w:pgMar w:left="320" w:top="12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340" w:type="dxa"/>
            <w:vAlign w:val="bottom"/>
            <w:gridSpan w:val="2"/>
          </w:tcPr>
          <w:p>
            <w:pPr>
              <w:ind w:left="420"/>
              <w:spacing w:after="0"/>
              <w:rPr>
                <w:sz w:val="20"/>
                <w:szCs w:val="20"/>
                <w:color w:val="auto"/>
              </w:rPr>
            </w:pPr>
            <w:r>
              <w:rPr>
                <w:rFonts w:ascii="Arial" w:cs="Arial" w:eastAsia="Arial" w:hAnsi="Arial"/>
                <w:sz w:val="18"/>
                <w:szCs w:val="18"/>
                <w:b w:val="1"/>
                <w:bCs w:val="1"/>
                <w:color w:val="auto"/>
                <w:w w:val="89"/>
              </w:rPr>
              <w:t>Exhibit 99.2</w:t>
            </w:r>
          </w:p>
        </w:tc>
      </w:tr>
      <w:tr>
        <w:trPr>
          <w:trHeight w:val="770"/>
        </w:trPr>
        <w:tc>
          <w:tcPr>
            <w:tcW w:w="4340" w:type="dxa"/>
            <w:vAlign w:val="bottom"/>
          </w:tcPr>
          <w:p>
            <w:pPr>
              <w:spacing w:after="0"/>
              <w:rPr>
                <w:sz w:val="24"/>
                <w:szCs w:val="24"/>
                <w:color w:val="auto"/>
              </w:rPr>
            </w:pPr>
          </w:p>
        </w:tc>
        <w:tc>
          <w:tcPr>
            <w:tcW w:w="6880" w:type="dxa"/>
            <w:vAlign w:val="bottom"/>
            <w:gridSpan w:val="3"/>
          </w:tcPr>
          <w:p>
            <w:pPr>
              <w:ind w:left="360"/>
              <w:spacing w:after="0"/>
              <w:rPr>
                <w:sz w:val="20"/>
                <w:szCs w:val="20"/>
                <w:color w:val="auto"/>
              </w:rPr>
            </w:pPr>
            <w:r>
              <w:rPr>
                <w:rFonts w:ascii="Arial" w:cs="Arial" w:eastAsia="Arial" w:hAnsi="Arial"/>
                <w:sz w:val="18"/>
                <w:szCs w:val="18"/>
                <w:color w:val="auto"/>
              </w:rPr>
              <w:t>TABLE OF CONTENTS</w:t>
            </w:r>
          </w:p>
        </w:tc>
      </w:tr>
      <w:tr>
        <w:trPr>
          <w:trHeight w:val="378"/>
        </w:trPr>
        <w:tc>
          <w:tcPr>
            <w:tcW w:w="4340" w:type="dxa"/>
            <w:vAlign w:val="bottom"/>
          </w:tcPr>
          <w:p>
            <w:pPr>
              <w:spacing w:after="0"/>
              <w:rPr>
                <w:sz w:val="24"/>
                <w:szCs w:val="24"/>
                <w:color w:val="auto"/>
              </w:rPr>
            </w:pPr>
          </w:p>
        </w:tc>
        <w:tc>
          <w:tcPr>
            <w:tcW w:w="6880" w:type="dxa"/>
            <w:vAlign w:val="bottom"/>
            <w:gridSpan w:val="3"/>
          </w:tcPr>
          <w:p>
            <w:pPr>
              <w:ind w:left="5540"/>
              <w:spacing w:after="0"/>
              <w:rPr>
                <w:sz w:val="20"/>
                <w:szCs w:val="20"/>
                <w:color w:val="auto"/>
              </w:rPr>
            </w:pPr>
            <w:r>
              <w:rPr>
                <w:rFonts w:ascii="Arial" w:cs="Arial" w:eastAsia="Arial" w:hAnsi="Arial"/>
                <w:sz w:val="18"/>
                <w:szCs w:val="18"/>
                <w:color w:val="auto"/>
              </w:rPr>
              <w:t>Page No.</w:t>
            </w:r>
          </w:p>
        </w:tc>
      </w:tr>
      <w:tr>
        <w:trPr>
          <w:trHeight w:val="250"/>
        </w:trPr>
        <w:tc>
          <w:tcPr>
            <w:tcW w:w="4340" w:type="dxa"/>
            <w:vAlign w:val="bottom"/>
          </w:tcPr>
          <w:p>
            <w:pPr>
              <w:spacing w:after="0"/>
              <w:rPr>
                <w:sz w:val="20"/>
                <w:szCs w:val="20"/>
                <w:color w:val="auto"/>
              </w:rPr>
            </w:pPr>
            <w:r>
              <w:rPr>
                <w:rFonts w:ascii="Arial" w:cs="Arial" w:eastAsia="Arial" w:hAnsi="Arial"/>
                <w:sz w:val="18"/>
                <w:szCs w:val="18"/>
                <w:color w:val="auto"/>
              </w:rPr>
              <w:t>Independent Accountant’s Review Report</w:t>
            </w:r>
          </w:p>
        </w:tc>
        <w:tc>
          <w:tcPr>
            <w:tcW w:w="5540" w:type="dxa"/>
            <w:vAlign w:val="bottom"/>
          </w:tcPr>
          <w:p>
            <w:pPr>
              <w:spacing w:after="0"/>
              <w:rPr>
                <w:sz w:val="21"/>
                <w:szCs w:val="21"/>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680" w:type="dxa"/>
            <w:vAlign w:val="bottom"/>
          </w:tcPr>
          <w:p>
            <w:pPr>
              <w:spacing w:after="0"/>
              <w:rPr>
                <w:sz w:val="21"/>
                <w:szCs w:val="21"/>
                <w:color w:val="auto"/>
              </w:rPr>
            </w:pPr>
          </w:p>
        </w:tc>
      </w:tr>
      <w:tr>
        <w:trPr>
          <w:trHeight w:val="500"/>
        </w:trPr>
        <w:tc>
          <w:tcPr>
            <w:tcW w:w="4340" w:type="dxa"/>
            <w:vAlign w:val="bottom"/>
          </w:tcPr>
          <w:p>
            <w:pPr>
              <w:spacing w:after="0"/>
              <w:rPr>
                <w:sz w:val="20"/>
                <w:szCs w:val="20"/>
                <w:color w:val="auto"/>
              </w:rPr>
            </w:pPr>
            <w:r>
              <w:rPr>
                <w:rFonts w:ascii="Arial" w:cs="Arial" w:eastAsia="Arial" w:hAnsi="Arial"/>
                <w:sz w:val="18"/>
                <w:szCs w:val="18"/>
                <w:color w:val="auto"/>
              </w:rPr>
              <w:t>Combined Balance Sheet</w:t>
            </w:r>
          </w:p>
        </w:tc>
        <w:tc>
          <w:tcPr>
            <w:tcW w:w="6200" w:type="dxa"/>
            <w:vAlign w:val="bottom"/>
            <w:gridSpan w:val="2"/>
          </w:tcPr>
          <w:p>
            <w:pPr>
              <w:jc w:val="center"/>
              <w:ind w:left="5430"/>
              <w:spacing w:after="0"/>
              <w:rPr>
                <w:sz w:val="20"/>
                <w:szCs w:val="20"/>
                <w:color w:val="auto"/>
              </w:rPr>
            </w:pPr>
            <w:r>
              <w:rPr>
                <w:rFonts w:ascii="Arial" w:cs="Arial" w:eastAsia="Arial" w:hAnsi="Arial"/>
                <w:sz w:val="18"/>
                <w:szCs w:val="18"/>
                <w:color w:val="auto"/>
                <w:w w:val="79"/>
              </w:rPr>
              <w:t>2</w:t>
            </w:r>
          </w:p>
        </w:tc>
        <w:tc>
          <w:tcPr>
            <w:tcW w:w="680" w:type="dxa"/>
            <w:vAlign w:val="bottom"/>
          </w:tcPr>
          <w:p>
            <w:pPr>
              <w:spacing w:after="0"/>
              <w:rPr>
                <w:sz w:val="24"/>
                <w:szCs w:val="24"/>
                <w:color w:val="auto"/>
              </w:rPr>
            </w:pPr>
          </w:p>
        </w:tc>
      </w:tr>
      <w:tr>
        <w:trPr>
          <w:trHeight w:val="499"/>
        </w:trPr>
        <w:tc>
          <w:tcPr>
            <w:tcW w:w="4340" w:type="dxa"/>
            <w:vAlign w:val="bottom"/>
          </w:tcPr>
          <w:p>
            <w:pPr>
              <w:spacing w:after="0"/>
              <w:rPr>
                <w:sz w:val="20"/>
                <w:szCs w:val="20"/>
                <w:color w:val="auto"/>
              </w:rPr>
            </w:pPr>
            <w:r>
              <w:rPr>
                <w:rFonts w:ascii="Arial" w:cs="Arial" w:eastAsia="Arial" w:hAnsi="Arial"/>
                <w:sz w:val="18"/>
                <w:szCs w:val="18"/>
                <w:color w:val="auto"/>
                <w:w w:val="97"/>
              </w:rPr>
              <w:t>Combined Statement of Income and Retained Earnings</w:t>
            </w:r>
          </w:p>
        </w:tc>
        <w:tc>
          <w:tcPr>
            <w:tcW w:w="6200" w:type="dxa"/>
            <w:vAlign w:val="bottom"/>
            <w:gridSpan w:val="2"/>
          </w:tcPr>
          <w:p>
            <w:pPr>
              <w:jc w:val="center"/>
              <w:ind w:left="5430"/>
              <w:spacing w:after="0"/>
              <w:rPr>
                <w:sz w:val="20"/>
                <w:szCs w:val="20"/>
                <w:color w:val="auto"/>
              </w:rPr>
            </w:pPr>
            <w:r>
              <w:rPr>
                <w:rFonts w:ascii="Arial" w:cs="Arial" w:eastAsia="Arial" w:hAnsi="Arial"/>
                <w:sz w:val="18"/>
                <w:szCs w:val="18"/>
                <w:color w:val="auto"/>
                <w:w w:val="79"/>
              </w:rPr>
              <w:t>3</w:t>
            </w:r>
          </w:p>
        </w:tc>
        <w:tc>
          <w:tcPr>
            <w:tcW w:w="680" w:type="dxa"/>
            <w:vAlign w:val="bottom"/>
          </w:tcPr>
          <w:p>
            <w:pPr>
              <w:spacing w:after="0"/>
              <w:rPr>
                <w:sz w:val="24"/>
                <w:szCs w:val="24"/>
                <w:color w:val="auto"/>
              </w:rPr>
            </w:pPr>
          </w:p>
        </w:tc>
      </w:tr>
      <w:tr>
        <w:trPr>
          <w:trHeight w:val="499"/>
        </w:trPr>
        <w:tc>
          <w:tcPr>
            <w:tcW w:w="4340" w:type="dxa"/>
            <w:vAlign w:val="bottom"/>
          </w:tcPr>
          <w:p>
            <w:pPr>
              <w:spacing w:after="0"/>
              <w:rPr>
                <w:sz w:val="20"/>
                <w:szCs w:val="20"/>
                <w:color w:val="auto"/>
              </w:rPr>
            </w:pPr>
            <w:r>
              <w:rPr>
                <w:rFonts w:ascii="Arial" w:cs="Arial" w:eastAsia="Arial" w:hAnsi="Arial"/>
                <w:sz w:val="18"/>
                <w:szCs w:val="18"/>
                <w:color w:val="auto"/>
              </w:rPr>
              <w:t>Combined Statement of Cash Flows</w:t>
            </w:r>
          </w:p>
        </w:tc>
        <w:tc>
          <w:tcPr>
            <w:tcW w:w="6200" w:type="dxa"/>
            <w:vAlign w:val="bottom"/>
            <w:gridSpan w:val="2"/>
          </w:tcPr>
          <w:p>
            <w:pPr>
              <w:jc w:val="center"/>
              <w:ind w:left="5430"/>
              <w:spacing w:after="0"/>
              <w:rPr>
                <w:sz w:val="20"/>
                <w:szCs w:val="20"/>
                <w:color w:val="auto"/>
              </w:rPr>
            </w:pPr>
            <w:r>
              <w:rPr>
                <w:rFonts w:ascii="Arial" w:cs="Arial" w:eastAsia="Arial" w:hAnsi="Arial"/>
                <w:sz w:val="18"/>
                <w:szCs w:val="18"/>
                <w:color w:val="auto"/>
                <w:w w:val="79"/>
              </w:rPr>
              <w:t>4</w:t>
            </w:r>
          </w:p>
        </w:tc>
        <w:tc>
          <w:tcPr>
            <w:tcW w:w="680" w:type="dxa"/>
            <w:vAlign w:val="bottom"/>
          </w:tcPr>
          <w:p>
            <w:pPr>
              <w:spacing w:after="0"/>
              <w:rPr>
                <w:sz w:val="24"/>
                <w:szCs w:val="24"/>
                <w:color w:val="auto"/>
              </w:rPr>
            </w:pPr>
          </w:p>
        </w:tc>
      </w:tr>
      <w:tr>
        <w:trPr>
          <w:trHeight w:val="500"/>
        </w:trPr>
        <w:tc>
          <w:tcPr>
            <w:tcW w:w="4340" w:type="dxa"/>
            <w:vAlign w:val="bottom"/>
          </w:tcPr>
          <w:p>
            <w:pPr>
              <w:spacing w:after="0"/>
              <w:rPr>
                <w:sz w:val="20"/>
                <w:szCs w:val="20"/>
                <w:color w:val="auto"/>
              </w:rPr>
            </w:pPr>
            <w:r>
              <w:rPr>
                <w:rFonts w:ascii="Arial" w:cs="Arial" w:eastAsia="Arial" w:hAnsi="Arial"/>
                <w:sz w:val="18"/>
                <w:szCs w:val="18"/>
                <w:color w:val="auto"/>
              </w:rPr>
              <w:t>Notes to Combined Financial Statements</w:t>
            </w:r>
          </w:p>
        </w:tc>
        <w:tc>
          <w:tcPr>
            <w:tcW w:w="6200" w:type="dxa"/>
            <w:vAlign w:val="bottom"/>
            <w:gridSpan w:val="2"/>
          </w:tcPr>
          <w:p>
            <w:pPr>
              <w:jc w:val="center"/>
              <w:ind w:left="5430"/>
              <w:spacing w:after="0"/>
              <w:rPr>
                <w:sz w:val="20"/>
                <w:szCs w:val="20"/>
                <w:color w:val="auto"/>
              </w:rPr>
            </w:pPr>
            <w:r>
              <w:rPr>
                <w:rFonts w:ascii="Arial" w:cs="Arial" w:eastAsia="Arial" w:hAnsi="Arial"/>
                <w:sz w:val="18"/>
                <w:szCs w:val="18"/>
                <w:color w:val="auto"/>
                <w:w w:val="88"/>
              </w:rPr>
              <w:t>5-13</w:t>
            </w:r>
          </w:p>
        </w:tc>
        <w:tc>
          <w:tcPr>
            <w:tcW w:w="680" w:type="dxa"/>
            <w:vAlign w:val="bottom"/>
          </w:tcPr>
          <w:p>
            <w:pPr>
              <w:spacing w:after="0"/>
              <w:rPr>
                <w:sz w:val="24"/>
                <w:szCs w:val="24"/>
                <w:color w:val="auto"/>
              </w:rPr>
            </w:pPr>
          </w:p>
        </w:tc>
      </w:tr>
    </w:tbl>
    <w:p>
      <w:pPr>
        <w:sectPr>
          <w:pgSz w:w="11900" w:h="16838" w:orient="portrait"/>
          <w:cols w:equalWidth="0" w:num="1">
            <w:col w:w="11220"/>
          </w:cols>
          <w:pgMar w:left="340" w:top="12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368935</wp:posOffset>
            </wp:positionV>
            <wp:extent cx="1388745" cy="428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8874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ACCOUNTANT'S REVIEW REPORT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Crown Building Maintenance Co. and Crown Energy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 Able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reviewed the accompanying combined financial statements of Crown Building Maintenance Co. and Crown Energy Services, Inc. dba Able Services (collectively, the "Company"), which comprise the combined balance sheet as of June 30, 2021, and the related combined statements of income and retained earnings, and cash flows for the period from January 1, 2021 to June 30, 2021, and the related notes to the combined financial statements. A review includes primarily applying analytical procedures to management's financial data and making inquiries of management. A review is substantially less in scope than an audit, the objective of which is the expression of an opinion regarding the combined financial statements as a whole. Accordingly, we do not express such an opinion.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 is responsible for the preparation and fair presentation of these combined financial statements in accordance with accounting principles generally accepted in the United States of America; this includes the design, implementation, and maintenance of internal control relevant to the preparation and fair presentation of the combined financial statements that are free from material misstatement whether due to fraud or error.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Accountant's Responsibility</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responsibility is to conduct the review engagement in accordance with Statements on Standards for Accounting and Review Services promulgated by the Accounting and Review Services Committee of the AICPA. Those standards require us to perform procedures to obtain limited assurance as a basis for reporting whether we are aware of any material modifications that should be made to the combined financial statements for them to be in accordance with accounting principles generally accepted in the United States of America. We believe that the results of our procedures provide a reasonable basis for our conclusion.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Accountant's Conclusion</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accompanying combined financial statements in order for them to be in accordance with accounting principles generally accepted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134620</wp:posOffset>
            </wp:positionV>
            <wp:extent cx="1714500" cy="342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Armanino</w:t>
      </w:r>
      <w:r>
        <w:rPr>
          <w:rFonts w:ascii="Arial" w:cs="Arial" w:eastAsia="Arial" w:hAnsi="Arial"/>
          <w:sz w:val="23"/>
          <w:szCs w:val="23"/>
          <w:color w:val="auto"/>
          <w:vertAlign w:val="superscript"/>
        </w:rPr>
        <w:t>LLP</w:t>
      </w:r>
    </w:p>
    <w:p>
      <w:pPr>
        <w:ind w:left="3900"/>
        <w:spacing w:after="0"/>
        <w:rPr>
          <w:sz w:val="20"/>
          <w:szCs w:val="20"/>
          <w:color w:val="auto"/>
        </w:rPr>
      </w:pPr>
      <w:r>
        <w:rPr>
          <w:rFonts w:ascii="Arial" w:cs="Arial" w:eastAsia="Arial" w:hAnsi="Arial"/>
          <w:sz w:val="18"/>
          <w:szCs w:val="18"/>
          <w:color w:val="auto"/>
        </w:rPr>
        <w:t>San Francisco, California</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November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631825</wp:posOffset>
            </wp:positionV>
            <wp:extent cx="985520" cy="6254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8552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9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Exhibit 99.2</w:t>
            </w:r>
          </w:p>
        </w:tc>
      </w:tr>
      <w:tr>
        <w:trPr>
          <w:trHeight w:val="728"/>
        </w:trPr>
        <w:tc>
          <w:tcPr>
            <w:tcW w:w="9200" w:type="dxa"/>
            <w:vAlign w:val="bottom"/>
          </w:tcPr>
          <w:p>
            <w:pPr>
              <w:jc w:val="center"/>
              <w:ind w:left="1970"/>
              <w:spacing w:after="0"/>
              <w:rPr>
                <w:sz w:val="20"/>
                <w:szCs w:val="20"/>
                <w:color w:val="auto"/>
              </w:rPr>
            </w:pPr>
            <w:r>
              <w:rPr>
                <w:rFonts w:ascii="Arial" w:cs="Arial" w:eastAsia="Arial" w:hAnsi="Arial"/>
                <w:sz w:val="18"/>
                <w:szCs w:val="18"/>
                <w:color w:val="101010"/>
                <w:w w:val="91"/>
              </w:rPr>
              <w:t>Crown Building Maintenance Co. and Crown Energy Services, Inc.</w:t>
            </w:r>
          </w:p>
        </w:tc>
        <w:tc>
          <w:tcPr>
            <w:tcW w:w="6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9200" w:type="dxa"/>
            <w:vAlign w:val="bottom"/>
          </w:tcPr>
          <w:p>
            <w:pPr>
              <w:jc w:val="center"/>
              <w:ind w:left="1950"/>
              <w:spacing w:after="0"/>
              <w:rPr>
                <w:sz w:val="20"/>
                <w:szCs w:val="20"/>
                <w:color w:val="auto"/>
              </w:rPr>
            </w:pPr>
            <w:r>
              <w:rPr>
                <w:rFonts w:ascii="Arial" w:cs="Arial" w:eastAsia="Arial" w:hAnsi="Arial"/>
                <w:sz w:val="18"/>
                <w:szCs w:val="18"/>
                <w:color w:val="101010"/>
                <w:w w:val="90"/>
              </w:rPr>
              <w:t>dba Able Services</w:t>
            </w:r>
          </w:p>
        </w:tc>
        <w:tc>
          <w:tcPr>
            <w:tcW w:w="6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9200" w:type="dxa"/>
            <w:vAlign w:val="bottom"/>
          </w:tcPr>
          <w:p>
            <w:pPr>
              <w:jc w:val="center"/>
              <w:ind w:left="1970"/>
              <w:spacing w:after="0"/>
              <w:rPr>
                <w:sz w:val="20"/>
                <w:szCs w:val="20"/>
                <w:color w:val="auto"/>
              </w:rPr>
            </w:pPr>
            <w:r>
              <w:rPr>
                <w:rFonts w:ascii="Arial" w:cs="Arial" w:eastAsia="Arial" w:hAnsi="Arial"/>
                <w:sz w:val="18"/>
                <w:szCs w:val="18"/>
                <w:color w:val="101010"/>
                <w:w w:val="89"/>
              </w:rPr>
              <w:t>Combined Balance Sheet</w:t>
            </w:r>
          </w:p>
        </w:tc>
        <w:tc>
          <w:tcPr>
            <w:tcW w:w="6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9200" w:type="dxa"/>
            <w:vAlign w:val="bottom"/>
          </w:tcPr>
          <w:p>
            <w:pPr>
              <w:jc w:val="center"/>
              <w:ind w:left="1950"/>
              <w:spacing w:after="0"/>
              <w:rPr>
                <w:sz w:val="20"/>
                <w:szCs w:val="20"/>
                <w:color w:val="auto"/>
              </w:rPr>
            </w:pPr>
            <w:r>
              <w:rPr>
                <w:rFonts w:ascii="Arial" w:cs="Arial" w:eastAsia="Arial" w:hAnsi="Arial"/>
                <w:sz w:val="18"/>
                <w:szCs w:val="18"/>
                <w:color w:val="101010"/>
                <w:w w:val="87"/>
              </w:rPr>
              <w:t>June 30, 2021</w:t>
            </w:r>
          </w:p>
        </w:tc>
        <w:tc>
          <w:tcPr>
            <w:tcW w:w="6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9200" w:type="dxa"/>
            <w:vAlign w:val="bottom"/>
          </w:tcPr>
          <w:p>
            <w:pPr>
              <w:jc w:val="center"/>
              <w:ind w:left="1950"/>
              <w:spacing w:after="0"/>
              <w:rPr>
                <w:sz w:val="20"/>
                <w:szCs w:val="20"/>
                <w:color w:val="auto"/>
              </w:rPr>
            </w:pPr>
            <w:r>
              <w:rPr>
                <w:rFonts w:ascii="Arial" w:cs="Arial" w:eastAsia="Arial" w:hAnsi="Arial"/>
                <w:sz w:val="18"/>
                <w:szCs w:val="18"/>
                <w:color w:val="101010"/>
                <w:w w:val="90"/>
              </w:rPr>
              <w:t>(In thousands)</w:t>
            </w:r>
          </w:p>
        </w:tc>
        <w:tc>
          <w:tcPr>
            <w:tcW w:w="6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18"/>
        </w:trPr>
        <w:tc>
          <w:tcPr>
            <w:tcW w:w="9200" w:type="dxa"/>
            <w:vAlign w:val="bottom"/>
          </w:tcPr>
          <w:p>
            <w:pPr>
              <w:jc w:val="center"/>
              <w:ind w:left="1950"/>
              <w:spacing w:after="0"/>
              <w:rPr>
                <w:sz w:val="20"/>
                <w:szCs w:val="20"/>
                <w:color w:val="auto"/>
              </w:rPr>
            </w:pPr>
            <w:r>
              <w:rPr>
                <w:rFonts w:ascii="Arial" w:cs="Arial" w:eastAsia="Arial" w:hAnsi="Arial"/>
                <w:sz w:val="18"/>
                <w:szCs w:val="18"/>
                <w:color w:val="auto"/>
                <w:w w:val="90"/>
              </w:rPr>
              <w:t>ASSETS</w:t>
            </w:r>
          </w:p>
        </w:tc>
        <w:tc>
          <w:tcPr>
            <w:tcW w:w="6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9"/>
        </w:trPr>
        <w:tc>
          <w:tcPr>
            <w:tcW w:w="9200" w:type="dxa"/>
            <w:vAlign w:val="bottom"/>
            <w:shd w:val="clear" w:color="auto" w:fill="DCE2EF"/>
          </w:tcPr>
          <w:p>
            <w:pPr>
              <w:ind w:left="20"/>
              <w:spacing w:after="0"/>
              <w:rPr>
                <w:sz w:val="20"/>
                <w:szCs w:val="20"/>
                <w:color w:val="auto"/>
              </w:rPr>
            </w:pPr>
            <w:r>
              <w:rPr>
                <w:rFonts w:ascii="Arial" w:cs="Arial" w:eastAsia="Arial" w:hAnsi="Arial"/>
                <w:sz w:val="18"/>
                <w:szCs w:val="18"/>
                <w:color w:val="auto"/>
              </w:rPr>
              <w:t>Current assets</w:t>
            </w:r>
          </w:p>
        </w:tc>
        <w:tc>
          <w:tcPr>
            <w:tcW w:w="600" w:type="dxa"/>
            <w:vAlign w:val="bottom"/>
            <w:shd w:val="clear" w:color="auto" w:fill="DCE2EF"/>
          </w:tcPr>
          <w:p>
            <w:pPr>
              <w:spacing w:after="0"/>
              <w:rPr>
                <w:sz w:val="19"/>
                <w:szCs w:val="19"/>
                <w:color w:val="auto"/>
              </w:rPr>
            </w:pPr>
          </w:p>
        </w:tc>
        <w:tc>
          <w:tcPr>
            <w:tcW w:w="1440" w:type="dxa"/>
            <w:vAlign w:val="bottom"/>
            <w:shd w:val="clear" w:color="auto" w:fill="DCE2EF"/>
          </w:tcPr>
          <w:p>
            <w:pPr>
              <w:spacing w:after="0"/>
              <w:rPr>
                <w:sz w:val="19"/>
                <w:szCs w:val="19"/>
                <w:color w:val="auto"/>
              </w:rPr>
            </w:pPr>
          </w:p>
        </w:tc>
      </w:tr>
      <w:tr>
        <w:trPr>
          <w:trHeight w:val="230"/>
        </w:trPr>
        <w:tc>
          <w:tcPr>
            <w:tcW w:w="9200" w:type="dxa"/>
            <w:vAlign w:val="bottom"/>
          </w:tcPr>
          <w:p>
            <w:pPr>
              <w:ind w:left="140"/>
              <w:spacing w:after="0"/>
              <w:rPr>
                <w:sz w:val="20"/>
                <w:szCs w:val="20"/>
                <w:color w:val="auto"/>
              </w:rPr>
            </w:pPr>
            <w:r>
              <w:rPr>
                <w:rFonts w:ascii="Arial" w:cs="Arial" w:eastAsia="Arial" w:hAnsi="Arial"/>
                <w:sz w:val="18"/>
                <w:szCs w:val="18"/>
                <w:color w:val="auto"/>
              </w:rPr>
              <w:t>Cash</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104,531</w:t>
            </w:r>
          </w:p>
        </w:tc>
      </w:tr>
      <w:tr>
        <w:trPr>
          <w:trHeight w:val="229"/>
        </w:trPr>
        <w:tc>
          <w:tcPr>
            <w:tcW w:w="9200" w:type="dxa"/>
            <w:vAlign w:val="bottom"/>
            <w:shd w:val="clear" w:color="auto" w:fill="DCE2EF"/>
          </w:tcPr>
          <w:p>
            <w:pPr>
              <w:ind w:left="140"/>
              <w:spacing w:after="0"/>
              <w:rPr>
                <w:sz w:val="20"/>
                <w:szCs w:val="20"/>
                <w:color w:val="auto"/>
              </w:rPr>
            </w:pPr>
            <w:r>
              <w:rPr>
                <w:rFonts w:ascii="Arial" w:cs="Arial" w:eastAsia="Arial" w:hAnsi="Arial"/>
                <w:sz w:val="18"/>
                <w:szCs w:val="18"/>
                <w:color w:val="auto"/>
              </w:rPr>
              <w:t>Restricted cash</w:t>
            </w:r>
          </w:p>
        </w:tc>
        <w:tc>
          <w:tcPr>
            <w:tcW w:w="600" w:type="dxa"/>
            <w:vAlign w:val="bottom"/>
            <w:shd w:val="clear" w:color="auto" w:fill="DCE2EF"/>
          </w:tcPr>
          <w:p>
            <w:pPr>
              <w:spacing w:after="0"/>
              <w:rPr>
                <w:sz w:val="19"/>
                <w:szCs w:val="19"/>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5,586</w:t>
            </w:r>
          </w:p>
        </w:tc>
      </w:tr>
      <w:tr>
        <w:trPr>
          <w:trHeight w:val="229"/>
        </w:trPr>
        <w:tc>
          <w:tcPr>
            <w:tcW w:w="9200" w:type="dxa"/>
            <w:vAlign w:val="bottom"/>
          </w:tcPr>
          <w:p>
            <w:pPr>
              <w:ind w:left="140"/>
              <w:spacing w:after="0"/>
              <w:rPr>
                <w:sz w:val="20"/>
                <w:szCs w:val="20"/>
                <w:color w:val="auto"/>
              </w:rPr>
            </w:pPr>
            <w:r>
              <w:rPr>
                <w:rFonts w:ascii="Arial" w:cs="Arial" w:eastAsia="Arial" w:hAnsi="Arial"/>
                <w:sz w:val="18"/>
                <w:szCs w:val="18"/>
                <w:color w:val="auto"/>
              </w:rPr>
              <w:t>Accounts receivable, net</w:t>
            </w:r>
          </w:p>
        </w:tc>
        <w:tc>
          <w:tcPr>
            <w:tcW w:w="6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146,004</w:t>
            </w:r>
          </w:p>
        </w:tc>
      </w:tr>
      <w:tr>
        <w:trPr>
          <w:trHeight w:val="230"/>
        </w:trPr>
        <w:tc>
          <w:tcPr>
            <w:tcW w:w="9200" w:type="dxa"/>
            <w:vAlign w:val="bottom"/>
            <w:shd w:val="clear" w:color="auto" w:fill="DCE2EF"/>
          </w:tcPr>
          <w:p>
            <w:pPr>
              <w:ind w:left="140"/>
              <w:spacing w:after="0"/>
              <w:rPr>
                <w:sz w:val="20"/>
                <w:szCs w:val="20"/>
                <w:color w:val="auto"/>
              </w:rPr>
            </w:pPr>
            <w:r>
              <w:rPr>
                <w:rFonts w:ascii="Arial" w:cs="Arial" w:eastAsia="Arial" w:hAnsi="Arial"/>
                <w:sz w:val="18"/>
                <w:szCs w:val="18"/>
                <w:color w:val="auto"/>
              </w:rPr>
              <w:t>Miscellaneous deposits and other assets</w:t>
            </w:r>
          </w:p>
        </w:tc>
        <w:tc>
          <w:tcPr>
            <w:tcW w:w="600" w:type="dxa"/>
            <w:vAlign w:val="bottom"/>
            <w:tcBorders>
              <w:bottom w:val="single" w:sz="8" w:color="auto"/>
            </w:tcBorders>
            <w:shd w:val="clear" w:color="auto" w:fill="DCE2EF"/>
          </w:tcPr>
          <w:p>
            <w:pPr>
              <w:spacing w:after="0"/>
              <w:rPr>
                <w:sz w:val="19"/>
                <w:szCs w:val="19"/>
                <w:color w:val="auto"/>
              </w:rPr>
            </w:pPr>
          </w:p>
        </w:tc>
        <w:tc>
          <w:tcPr>
            <w:tcW w:w="14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5,946</w:t>
            </w:r>
          </w:p>
        </w:tc>
      </w:tr>
      <w:tr>
        <w:trPr>
          <w:trHeight w:val="223"/>
        </w:trPr>
        <w:tc>
          <w:tcPr>
            <w:tcW w:w="920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6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262,067</w:t>
            </w:r>
          </w:p>
        </w:tc>
      </w:tr>
      <w:tr>
        <w:trPr>
          <w:trHeight w:val="270"/>
        </w:trPr>
        <w:tc>
          <w:tcPr>
            <w:tcW w:w="9200" w:type="dxa"/>
            <w:vAlign w:val="bottom"/>
            <w:shd w:val="clear" w:color="auto" w:fill="DCE2EF"/>
          </w:tcPr>
          <w:p>
            <w:pPr>
              <w:spacing w:after="0"/>
              <w:rPr>
                <w:sz w:val="23"/>
                <w:szCs w:val="23"/>
                <w:color w:val="auto"/>
              </w:rPr>
            </w:pPr>
          </w:p>
        </w:tc>
        <w:tc>
          <w:tcPr>
            <w:tcW w:w="600" w:type="dxa"/>
            <w:vAlign w:val="bottom"/>
            <w:shd w:val="clear" w:color="auto" w:fill="DCE2EF"/>
          </w:tcPr>
          <w:p>
            <w:pPr>
              <w:spacing w:after="0"/>
              <w:rPr>
                <w:sz w:val="23"/>
                <w:szCs w:val="23"/>
                <w:color w:val="auto"/>
              </w:rPr>
            </w:pPr>
          </w:p>
        </w:tc>
        <w:tc>
          <w:tcPr>
            <w:tcW w:w="1440" w:type="dxa"/>
            <w:vAlign w:val="bottom"/>
            <w:shd w:val="clear" w:color="auto" w:fill="DCE2EF"/>
          </w:tcPr>
          <w:p>
            <w:pPr>
              <w:spacing w:after="0"/>
              <w:rPr>
                <w:sz w:val="23"/>
                <w:szCs w:val="23"/>
                <w:color w:val="auto"/>
              </w:rPr>
            </w:pPr>
          </w:p>
        </w:tc>
      </w:tr>
      <w:tr>
        <w:trPr>
          <w:trHeight w:val="230"/>
        </w:trPr>
        <w:tc>
          <w:tcPr>
            <w:tcW w:w="92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6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4,940</w:t>
            </w:r>
          </w:p>
        </w:tc>
      </w:tr>
      <w:tr>
        <w:trPr>
          <w:trHeight w:val="229"/>
        </w:trPr>
        <w:tc>
          <w:tcPr>
            <w:tcW w:w="9200" w:type="dxa"/>
            <w:vAlign w:val="bottom"/>
            <w:shd w:val="clear" w:color="auto" w:fill="DCE2EF"/>
          </w:tcPr>
          <w:p>
            <w:pPr>
              <w:ind w:left="20"/>
              <w:spacing w:after="0"/>
              <w:rPr>
                <w:sz w:val="20"/>
                <w:szCs w:val="20"/>
                <w:color w:val="auto"/>
              </w:rPr>
            </w:pPr>
            <w:r>
              <w:rPr>
                <w:rFonts w:ascii="Arial" w:cs="Arial" w:eastAsia="Arial" w:hAnsi="Arial"/>
                <w:sz w:val="18"/>
                <w:szCs w:val="18"/>
                <w:color w:val="auto"/>
              </w:rPr>
              <w:t>Intangible assets, net</w:t>
            </w:r>
          </w:p>
        </w:tc>
        <w:tc>
          <w:tcPr>
            <w:tcW w:w="600" w:type="dxa"/>
            <w:vAlign w:val="bottom"/>
            <w:tcBorders>
              <w:bottom w:val="single" w:sz="8" w:color="auto"/>
            </w:tcBorders>
            <w:shd w:val="clear" w:color="auto" w:fill="DCE2EF"/>
          </w:tcPr>
          <w:p>
            <w:pPr>
              <w:spacing w:after="0"/>
              <w:rPr>
                <w:sz w:val="19"/>
                <w:szCs w:val="19"/>
                <w:color w:val="auto"/>
              </w:rPr>
            </w:pPr>
          </w:p>
        </w:tc>
        <w:tc>
          <w:tcPr>
            <w:tcW w:w="14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8,897</w:t>
            </w:r>
          </w:p>
        </w:tc>
      </w:tr>
      <w:tr>
        <w:trPr>
          <w:trHeight w:val="250"/>
        </w:trPr>
        <w:tc>
          <w:tcPr>
            <w:tcW w:w="9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55"/>
        </w:trPr>
        <w:tc>
          <w:tcPr>
            <w:tcW w:w="9200" w:type="dxa"/>
            <w:vAlign w:val="bottom"/>
            <w:tcBorders>
              <w:bottom w:val="single" w:sz="8" w:color="DCE2EF"/>
            </w:tcBorders>
            <w:shd w:val="clear" w:color="auto" w:fill="DCE2EF"/>
          </w:tcPr>
          <w:p>
            <w:pPr>
              <w:ind w:left="240"/>
              <w:spacing w:after="0"/>
              <w:rPr>
                <w:sz w:val="20"/>
                <w:szCs w:val="20"/>
                <w:color w:val="auto"/>
              </w:rPr>
            </w:pPr>
            <w:r>
              <w:rPr>
                <w:rFonts w:ascii="Arial" w:cs="Arial" w:eastAsia="Arial" w:hAnsi="Arial"/>
                <w:sz w:val="18"/>
                <w:szCs w:val="18"/>
                <w:color w:val="auto"/>
              </w:rPr>
              <w:t>Total assets</w:t>
            </w:r>
          </w:p>
        </w:tc>
        <w:tc>
          <w:tcPr>
            <w:tcW w:w="600" w:type="dxa"/>
            <w:vAlign w:val="bottom"/>
            <w:tcBorders>
              <w:bottom w:val="single" w:sz="8" w:color="auto"/>
            </w:tcBorders>
            <w:shd w:val="clear" w:color="auto" w:fill="DCE2EF"/>
          </w:tcPr>
          <w:p>
            <w:pPr>
              <w:jc w:val="right"/>
              <w:ind w:right="4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275,904</w:t>
            </w:r>
          </w:p>
        </w:tc>
      </w:tr>
      <w:tr>
        <w:trPr>
          <w:trHeight w:val="20"/>
        </w:trPr>
        <w:tc>
          <w:tcPr>
            <w:tcW w:w="9200" w:type="dxa"/>
            <w:vAlign w:val="bottom"/>
            <w:tcBorders>
              <w:top w:val="single" w:sz="8" w:color="DCE2EF"/>
            </w:tcBorders>
          </w:tcPr>
          <w:p>
            <w:pPr>
              <w:spacing w:after="0" w:line="20" w:lineRule="exact"/>
              <w:rPr>
                <w:sz w:val="1"/>
                <w:szCs w:val="1"/>
                <w:color w:val="auto"/>
              </w:rPr>
            </w:pPr>
          </w:p>
        </w:tc>
        <w:tc>
          <w:tcPr>
            <w:tcW w:w="600" w:type="dxa"/>
            <w:vAlign w:val="bottom"/>
            <w:tcBorders>
              <w:top w:val="single" w:sz="8" w:color="DCE2EF"/>
              <w:bottom w:val="single" w:sz="8" w:color="auto"/>
            </w:tcBorders>
          </w:tcPr>
          <w:p>
            <w:pPr>
              <w:spacing w:after="0" w:line="20" w:lineRule="exact"/>
              <w:rPr>
                <w:sz w:val="1"/>
                <w:szCs w:val="1"/>
                <w:color w:val="auto"/>
              </w:rPr>
            </w:pPr>
          </w:p>
        </w:tc>
        <w:tc>
          <w:tcPr>
            <w:tcW w:w="1440" w:type="dxa"/>
            <w:vAlign w:val="bottom"/>
            <w:tcBorders>
              <w:top w:val="single" w:sz="8" w:color="DCE2EF"/>
              <w:bottom w:val="single" w:sz="8" w:color="auto"/>
            </w:tcBorders>
          </w:tcPr>
          <w:p>
            <w:pPr>
              <w:spacing w:after="0" w:line="20" w:lineRule="exact"/>
              <w:rPr>
                <w:sz w:val="1"/>
                <w:szCs w:val="1"/>
                <w:color w:val="auto"/>
              </w:rPr>
            </w:pPr>
          </w:p>
        </w:tc>
      </w:tr>
      <w:tr>
        <w:trPr>
          <w:trHeight w:val="217"/>
        </w:trPr>
        <w:tc>
          <w:tcPr>
            <w:tcW w:w="9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9"/>
        </w:trPr>
        <w:tc>
          <w:tcPr>
            <w:tcW w:w="9200" w:type="dxa"/>
            <w:vAlign w:val="bottom"/>
            <w:shd w:val="clear" w:color="auto" w:fill="DCE2EF"/>
          </w:tcPr>
          <w:p>
            <w:pPr>
              <w:jc w:val="center"/>
              <w:ind w:left="1970"/>
              <w:spacing w:after="0"/>
              <w:rPr>
                <w:sz w:val="20"/>
                <w:szCs w:val="20"/>
                <w:color w:val="auto"/>
              </w:rPr>
            </w:pPr>
            <w:r>
              <w:rPr>
                <w:rFonts w:ascii="Arial" w:cs="Arial" w:eastAsia="Arial" w:hAnsi="Arial"/>
                <w:sz w:val="18"/>
                <w:szCs w:val="18"/>
                <w:color w:val="auto"/>
                <w:w w:val="99"/>
              </w:rPr>
              <w:t>LIABILITIES AND SHAREHOLDERS’ EQUITY</w:t>
            </w:r>
          </w:p>
        </w:tc>
        <w:tc>
          <w:tcPr>
            <w:tcW w:w="600" w:type="dxa"/>
            <w:vAlign w:val="bottom"/>
            <w:shd w:val="clear" w:color="auto" w:fill="DCE2EF"/>
          </w:tcPr>
          <w:p>
            <w:pPr>
              <w:spacing w:after="0"/>
              <w:rPr>
                <w:sz w:val="19"/>
                <w:szCs w:val="19"/>
                <w:color w:val="auto"/>
              </w:rPr>
            </w:pPr>
          </w:p>
        </w:tc>
        <w:tc>
          <w:tcPr>
            <w:tcW w:w="1440" w:type="dxa"/>
            <w:vAlign w:val="bottom"/>
            <w:shd w:val="clear" w:color="auto" w:fill="DCE2EF"/>
          </w:tcPr>
          <w:p>
            <w:pPr>
              <w:spacing w:after="0"/>
              <w:rPr>
                <w:sz w:val="19"/>
                <w:szCs w:val="19"/>
                <w:color w:val="auto"/>
              </w:rPr>
            </w:pPr>
          </w:p>
        </w:tc>
      </w:tr>
      <w:tr>
        <w:trPr>
          <w:trHeight w:val="230"/>
        </w:trPr>
        <w:tc>
          <w:tcPr>
            <w:tcW w:w="92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6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9200" w:type="dxa"/>
            <w:vAlign w:val="bottom"/>
            <w:shd w:val="clear" w:color="auto" w:fill="DCE2EF"/>
          </w:tcPr>
          <w:p>
            <w:pPr>
              <w:ind w:left="140"/>
              <w:spacing w:after="0"/>
              <w:rPr>
                <w:sz w:val="20"/>
                <w:szCs w:val="20"/>
                <w:color w:val="auto"/>
              </w:rPr>
            </w:pPr>
            <w:r>
              <w:rPr>
                <w:rFonts w:ascii="Arial" w:cs="Arial" w:eastAsia="Arial" w:hAnsi="Arial"/>
                <w:sz w:val="18"/>
                <w:szCs w:val="18"/>
                <w:color w:val="auto"/>
              </w:rPr>
              <w:t>Accounts payable</w:t>
            </w:r>
          </w:p>
        </w:tc>
        <w:tc>
          <w:tcPr>
            <w:tcW w:w="600" w:type="dxa"/>
            <w:vAlign w:val="bottom"/>
            <w:shd w:val="clear" w:color="auto" w:fill="DCE2EF"/>
          </w:tcPr>
          <w:p>
            <w:pPr>
              <w:jc w:val="right"/>
              <w:ind w:right="4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25,477</w:t>
            </w:r>
          </w:p>
        </w:tc>
      </w:tr>
      <w:tr>
        <w:trPr>
          <w:trHeight w:val="229"/>
        </w:trPr>
        <w:tc>
          <w:tcPr>
            <w:tcW w:w="9200" w:type="dxa"/>
            <w:vAlign w:val="bottom"/>
            <w:tcBorders>
              <w:bottom w:val="single" w:sz="8" w:color="DCE2EF"/>
            </w:tcBorders>
          </w:tcPr>
          <w:p>
            <w:pPr>
              <w:ind w:left="140"/>
              <w:spacing w:after="0"/>
              <w:rPr>
                <w:sz w:val="20"/>
                <w:szCs w:val="20"/>
                <w:color w:val="auto"/>
              </w:rPr>
            </w:pPr>
            <w:r>
              <w:rPr>
                <w:rFonts w:ascii="Arial" w:cs="Arial" w:eastAsia="Arial" w:hAnsi="Arial"/>
                <w:sz w:val="18"/>
                <w:szCs w:val="18"/>
                <w:color w:val="auto"/>
              </w:rPr>
              <w:t>Accrued liabilities</w:t>
            </w:r>
          </w:p>
        </w:tc>
        <w:tc>
          <w:tcPr>
            <w:tcW w:w="6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80,460</w:t>
            </w:r>
          </w:p>
        </w:tc>
      </w:tr>
      <w:tr>
        <w:trPr>
          <w:trHeight w:val="223"/>
        </w:trPr>
        <w:tc>
          <w:tcPr>
            <w:tcW w:w="9200" w:type="dxa"/>
            <w:vAlign w:val="bottom"/>
            <w:shd w:val="clear" w:color="auto" w:fill="DCE2EF"/>
          </w:tcPr>
          <w:p>
            <w:pPr>
              <w:ind w:left="240"/>
              <w:spacing w:after="0"/>
              <w:rPr>
                <w:sz w:val="20"/>
                <w:szCs w:val="20"/>
                <w:color w:val="auto"/>
              </w:rPr>
            </w:pPr>
            <w:r>
              <w:rPr>
                <w:rFonts w:ascii="Arial" w:cs="Arial" w:eastAsia="Arial" w:hAnsi="Arial"/>
                <w:sz w:val="18"/>
                <w:szCs w:val="18"/>
                <w:color w:val="auto"/>
              </w:rPr>
              <w:t>Total current liabilities</w:t>
            </w:r>
          </w:p>
        </w:tc>
        <w:tc>
          <w:tcPr>
            <w:tcW w:w="600" w:type="dxa"/>
            <w:vAlign w:val="bottom"/>
            <w:shd w:val="clear" w:color="auto" w:fill="DCE2EF"/>
          </w:tcPr>
          <w:p>
            <w:pPr>
              <w:spacing w:after="0"/>
              <w:rPr>
                <w:sz w:val="19"/>
                <w:szCs w:val="19"/>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105,937</w:t>
            </w:r>
          </w:p>
        </w:tc>
      </w:tr>
      <w:tr>
        <w:trPr>
          <w:trHeight w:val="270"/>
        </w:trPr>
        <w:tc>
          <w:tcPr>
            <w:tcW w:w="9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0"/>
        </w:trPr>
        <w:tc>
          <w:tcPr>
            <w:tcW w:w="9200" w:type="dxa"/>
            <w:vAlign w:val="bottom"/>
            <w:shd w:val="clear" w:color="auto" w:fill="DCE2EF"/>
          </w:tcPr>
          <w:p>
            <w:pPr>
              <w:ind w:left="20"/>
              <w:spacing w:after="0"/>
              <w:rPr>
                <w:sz w:val="20"/>
                <w:szCs w:val="20"/>
                <w:color w:val="auto"/>
              </w:rPr>
            </w:pPr>
            <w:r>
              <w:rPr>
                <w:rFonts w:ascii="Arial" w:cs="Arial" w:eastAsia="Arial" w:hAnsi="Arial"/>
                <w:sz w:val="18"/>
                <w:szCs w:val="18"/>
                <w:color w:val="auto"/>
              </w:rPr>
              <w:t>Payroll taxes, net of current portion</w:t>
            </w:r>
          </w:p>
        </w:tc>
        <w:tc>
          <w:tcPr>
            <w:tcW w:w="600" w:type="dxa"/>
            <w:vAlign w:val="bottom"/>
            <w:shd w:val="clear" w:color="auto" w:fill="DCE2EF"/>
          </w:tcPr>
          <w:p>
            <w:pPr>
              <w:spacing w:after="0"/>
              <w:rPr>
                <w:sz w:val="19"/>
                <w:szCs w:val="19"/>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12,505</w:t>
            </w:r>
          </w:p>
        </w:tc>
      </w:tr>
      <w:tr>
        <w:trPr>
          <w:trHeight w:val="229"/>
        </w:trPr>
        <w:tc>
          <w:tcPr>
            <w:tcW w:w="9200" w:type="dxa"/>
            <w:vAlign w:val="bottom"/>
          </w:tcPr>
          <w:p>
            <w:pPr>
              <w:ind w:left="20"/>
              <w:spacing w:after="0"/>
              <w:rPr>
                <w:sz w:val="20"/>
                <w:szCs w:val="20"/>
                <w:color w:val="auto"/>
              </w:rPr>
            </w:pPr>
            <w:r>
              <w:rPr>
                <w:rFonts w:ascii="Arial" w:cs="Arial" w:eastAsia="Arial" w:hAnsi="Arial"/>
                <w:sz w:val="18"/>
                <w:szCs w:val="18"/>
                <w:color w:val="auto"/>
              </w:rPr>
              <w:t>Workers‘ compensation and general liability loss reserve</w:t>
            </w:r>
          </w:p>
        </w:tc>
        <w:tc>
          <w:tcPr>
            <w:tcW w:w="6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76,894</w:t>
            </w:r>
          </w:p>
        </w:tc>
      </w:tr>
      <w:tr>
        <w:trPr>
          <w:trHeight w:val="230"/>
        </w:trPr>
        <w:tc>
          <w:tcPr>
            <w:tcW w:w="9200" w:type="dxa"/>
            <w:vAlign w:val="bottom"/>
            <w:shd w:val="clear" w:color="auto" w:fill="DCE2EF"/>
          </w:tcPr>
          <w:p>
            <w:pPr>
              <w:ind w:left="20"/>
              <w:spacing w:after="0"/>
              <w:rPr>
                <w:sz w:val="20"/>
                <w:szCs w:val="20"/>
                <w:color w:val="auto"/>
              </w:rPr>
            </w:pPr>
            <w:r>
              <w:rPr>
                <w:rFonts w:ascii="Arial" w:cs="Arial" w:eastAsia="Arial" w:hAnsi="Arial"/>
                <w:sz w:val="18"/>
                <w:szCs w:val="18"/>
                <w:color w:val="auto"/>
              </w:rPr>
              <w:t>Deferred compensation plan liability</w:t>
            </w:r>
          </w:p>
        </w:tc>
        <w:tc>
          <w:tcPr>
            <w:tcW w:w="600" w:type="dxa"/>
            <w:vAlign w:val="bottom"/>
            <w:tcBorders>
              <w:bottom w:val="single" w:sz="8" w:color="auto"/>
            </w:tcBorders>
            <w:shd w:val="clear" w:color="auto" w:fill="DCE2EF"/>
          </w:tcPr>
          <w:p>
            <w:pPr>
              <w:spacing w:after="0"/>
              <w:rPr>
                <w:sz w:val="19"/>
                <w:szCs w:val="19"/>
                <w:color w:val="auto"/>
              </w:rPr>
            </w:pPr>
          </w:p>
        </w:tc>
        <w:tc>
          <w:tcPr>
            <w:tcW w:w="14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29,558</w:t>
            </w:r>
          </w:p>
        </w:tc>
      </w:tr>
      <w:tr>
        <w:trPr>
          <w:trHeight w:val="223"/>
        </w:trPr>
        <w:tc>
          <w:tcPr>
            <w:tcW w:w="9200" w:type="dxa"/>
            <w:vAlign w:val="bottom"/>
            <w:tcBorders>
              <w:bottom w:val="single" w:sz="8" w:color="DCE2EF"/>
            </w:tcBorders>
          </w:tcPr>
          <w:p>
            <w:pPr>
              <w:ind w:left="240"/>
              <w:spacing w:after="0"/>
              <w:rPr>
                <w:sz w:val="20"/>
                <w:szCs w:val="20"/>
                <w:color w:val="auto"/>
              </w:rPr>
            </w:pPr>
            <w:r>
              <w:rPr>
                <w:rFonts w:ascii="Arial" w:cs="Arial" w:eastAsia="Arial" w:hAnsi="Arial"/>
                <w:sz w:val="18"/>
                <w:szCs w:val="18"/>
                <w:color w:val="auto"/>
              </w:rPr>
              <w:t>Total liabilities</w:t>
            </w:r>
          </w:p>
        </w:tc>
        <w:tc>
          <w:tcPr>
            <w:tcW w:w="6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224,894</w:t>
            </w:r>
          </w:p>
        </w:tc>
      </w:tr>
      <w:tr>
        <w:trPr>
          <w:trHeight w:val="250"/>
        </w:trPr>
        <w:tc>
          <w:tcPr>
            <w:tcW w:w="9200" w:type="dxa"/>
            <w:vAlign w:val="bottom"/>
            <w:shd w:val="clear" w:color="auto" w:fill="DCE2EF"/>
          </w:tcPr>
          <w:p>
            <w:pPr>
              <w:spacing w:after="0"/>
              <w:rPr>
                <w:sz w:val="21"/>
                <w:szCs w:val="21"/>
                <w:color w:val="auto"/>
              </w:rPr>
            </w:pPr>
          </w:p>
        </w:tc>
        <w:tc>
          <w:tcPr>
            <w:tcW w:w="600" w:type="dxa"/>
            <w:vAlign w:val="bottom"/>
            <w:shd w:val="clear" w:color="auto" w:fill="DCE2EF"/>
          </w:tcPr>
          <w:p>
            <w:pPr>
              <w:spacing w:after="0"/>
              <w:rPr>
                <w:sz w:val="21"/>
                <w:szCs w:val="21"/>
                <w:color w:val="auto"/>
              </w:rPr>
            </w:pPr>
          </w:p>
        </w:tc>
        <w:tc>
          <w:tcPr>
            <w:tcW w:w="1440" w:type="dxa"/>
            <w:vAlign w:val="bottom"/>
            <w:shd w:val="clear" w:color="auto" w:fill="DCE2EF"/>
          </w:tcPr>
          <w:p>
            <w:pPr>
              <w:spacing w:after="0"/>
              <w:rPr>
                <w:sz w:val="21"/>
                <w:szCs w:val="21"/>
                <w:color w:val="auto"/>
              </w:rPr>
            </w:pPr>
          </w:p>
        </w:tc>
      </w:tr>
      <w:tr>
        <w:trPr>
          <w:trHeight w:val="230"/>
        </w:trPr>
        <w:tc>
          <w:tcPr>
            <w:tcW w:w="920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6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9200" w:type="dxa"/>
            <w:vAlign w:val="bottom"/>
            <w:shd w:val="clear" w:color="auto" w:fill="DCE2EF"/>
          </w:tcPr>
          <w:p>
            <w:pPr>
              <w:ind w:left="140"/>
              <w:spacing w:after="0"/>
              <w:rPr>
                <w:sz w:val="20"/>
                <w:szCs w:val="20"/>
                <w:color w:val="auto"/>
              </w:rPr>
            </w:pPr>
            <w:r>
              <w:rPr>
                <w:rFonts w:ascii="Arial" w:cs="Arial" w:eastAsia="Arial" w:hAnsi="Arial"/>
                <w:sz w:val="18"/>
                <w:szCs w:val="18"/>
                <w:color w:val="auto"/>
              </w:rPr>
              <w:t>Common stock</w:t>
            </w:r>
          </w:p>
        </w:tc>
        <w:tc>
          <w:tcPr>
            <w:tcW w:w="600" w:type="dxa"/>
            <w:vAlign w:val="bottom"/>
            <w:shd w:val="clear" w:color="auto" w:fill="DCE2EF"/>
          </w:tcPr>
          <w:p>
            <w:pPr>
              <w:spacing w:after="0"/>
              <w:rPr>
                <w:sz w:val="19"/>
                <w:szCs w:val="19"/>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9200" w:type="dxa"/>
            <w:vAlign w:val="bottom"/>
            <w:tcBorders>
              <w:bottom w:val="single" w:sz="8" w:color="DCE2EF"/>
            </w:tcBorders>
          </w:tcPr>
          <w:p>
            <w:pPr>
              <w:ind w:left="140"/>
              <w:spacing w:after="0"/>
              <w:rPr>
                <w:sz w:val="20"/>
                <w:szCs w:val="20"/>
                <w:color w:val="auto"/>
              </w:rPr>
            </w:pPr>
            <w:r>
              <w:rPr>
                <w:rFonts w:ascii="Arial" w:cs="Arial" w:eastAsia="Arial" w:hAnsi="Arial"/>
                <w:sz w:val="18"/>
                <w:szCs w:val="18"/>
                <w:color w:val="auto"/>
              </w:rPr>
              <w:t>Retained earnings</w:t>
            </w:r>
          </w:p>
        </w:tc>
        <w:tc>
          <w:tcPr>
            <w:tcW w:w="6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50,926</w:t>
            </w:r>
          </w:p>
        </w:tc>
      </w:tr>
      <w:tr>
        <w:trPr>
          <w:trHeight w:val="223"/>
        </w:trPr>
        <w:tc>
          <w:tcPr>
            <w:tcW w:w="9200" w:type="dxa"/>
            <w:vAlign w:val="bottom"/>
            <w:shd w:val="clear" w:color="auto" w:fill="DCE2EF"/>
          </w:tcPr>
          <w:p>
            <w:pPr>
              <w:ind w:left="240"/>
              <w:spacing w:after="0"/>
              <w:rPr>
                <w:sz w:val="20"/>
                <w:szCs w:val="20"/>
                <w:color w:val="auto"/>
              </w:rPr>
            </w:pPr>
            <w:r>
              <w:rPr>
                <w:rFonts w:ascii="Arial" w:cs="Arial" w:eastAsia="Arial" w:hAnsi="Arial"/>
                <w:sz w:val="18"/>
                <w:szCs w:val="18"/>
                <w:color w:val="auto"/>
              </w:rPr>
              <w:t>Total shareholders‘ equity</w:t>
            </w:r>
          </w:p>
        </w:tc>
        <w:tc>
          <w:tcPr>
            <w:tcW w:w="600" w:type="dxa"/>
            <w:vAlign w:val="bottom"/>
            <w:tcBorders>
              <w:bottom w:val="single" w:sz="8" w:color="auto"/>
            </w:tcBorders>
            <w:shd w:val="clear" w:color="auto" w:fill="DCE2EF"/>
          </w:tcPr>
          <w:p>
            <w:pPr>
              <w:spacing w:after="0"/>
              <w:rPr>
                <w:sz w:val="19"/>
                <w:szCs w:val="19"/>
                <w:color w:val="auto"/>
              </w:rPr>
            </w:pPr>
          </w:p>
        </w:tc>
        <w:tc>
          <w:tcPr>
            <w:tcW w:w="14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51,010</w:t>
            </w:r>
          </w:p>
        </w:tc>
      </w:tr>
      <w:tr>
        <w:trPr>
          <w:trHeight w:val="250"/>
        </w:trPr>
        <w:tc>
          <w:tcPr>
            <w:tcW w:w="9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54"/>
        </w:trPr>
        <w:tc>
          <w:tcPr>
            <w:tcW w:w="9200" w:type="dxa"/>
            <w:vAlign w:val="bottom"/>
            <w:tcBorders>
              <w:bottom w:val="single" w:sz="8" w:color="DCE2EF"/>
            </w:tcBorders>
            <w:shd w:val="clear" w:color="auto" w:fill="DCE2EF"/>
          </w:tcPr>
          <w:p>
            <w:pPr>
              <w:ind w:left="240"/>
              <w:spacing w:after="0"/>
              <w:rPr>
                <w:sz w:val="20"/>
                <w:szCs w:val="20"/>
                <w:color w:val="auto"/>
              </w:rPr>
            </w:pPr>
            <w:r>
              <w:rPr>
                <w:rFonts w:ascii="Arial" w:cs="Arial" w:eastAsia="Arial" w:hAnsi="Arial"/>
                <w:sz w:val="18"/>
                <w:szCs w:val="18"/>
                <w:color w:val="auto"/>
              </w:rPr>
              <w:t>Total liabilities and shareholders' equity</w:t>
            </w:r>
          </w:p>
        </w:tc>
        <w:tc>
          <w:tcPr>
            <w:tcW w:w="600" w:type="dxa"/>
            <w:vAlign w:val="bottom"/>
            <w:tcBorders>
              <w:bottom w:val="single" w:sz="8" w:color="auto"/>
            </w:tcBorders>
            <w:shd w:val="clear" w:color="auto" w:fill="DCE2EF"/>
          </w:tcPr>
          <w:p>
            <w:pPr>
              <w:jc w:val="right"/>
              <w:ind w:right="4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275,904</w:t>
            </w:r>
          </w:p>
        </w:tc>
      </w:tr>
      <w:tr>
        <w:trPr>
          <w:trHeight w:val="20"/>
        </w:trPr>
        <w:tc>
          <w:tcPr>
            <w:tcW w:w="9200" w:type="dxa"/>
            <w:vAlign w:val="bottom"/>
            <w:tcBorders>
              <w:top w:val="single" w:sz="8" w:color="DCE2EF"/>
            </w:tcBorders>
          </w:tcPr>
          <w:p>
            <w:pPr>
              <w:spacing w:after="0" w:line="20" w:lineRule="exact"/>
              <w:rPr>
                <w:sz w:val="1"/>
                <w:szCs w:val="1"/>
                <w:color w:val="auto"/>
              </w:rPr>
            </w:pPr>
          </w:p>
        </w:tc>
        <w:tc>
          <w:tcPr>
            <w:tcW w:w="600" w:type="dxa"/>
            <w:vAlign w:val="bottom"/>
            <w:tcBorders>
              <w:top w:val="single" w:sz="8" w:color="DCE2EF"/>
              <w:bottom w:val="single" w:sz="8" w:color="auto"/>
            </w:tcBorders>
          </w:tcPr>
          <w:p>
            <w:pPr>
              <w:spacing w:after="0" w:line="20" w:lineRule="exact"/>
              <w:rPr>
                <w:sz w:val="1"/>
                <w:szCs w:val="1"/>
                <w:color w:val="auto"/>
              </w:rPr>
            </w:pPr>
          </w:p>
        </w:tc>
        <w:tc>
          <w:tcPr>
            <w:tcW w:w="1440" w:type="dxa"/>
            <w:vAlign w:val="bottom"/>
            <w:tcBorders>
              <w:top w:val="single" w:sz="8" w:color="DCE2E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101010"/>
        </w:rPr>
        <w:t>See accompanying notes and independent accountant's review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6820" w:type="dxa"/>
            <w:vAlign w:val="bottom"/>
            <w:gridSpan w:val="2"/>
          </w:tcPr>
          <w:p>
            <w:pPr>
              <w:jc w:val="center"/>
              <w:ind w:right="1800"/>
              <w:spacing w:after="0"/>
              <w:rPr>
                <w:sz w:val="20"/>
                <w:szCs w:val="20"/>
                <w:color w:val="auto"/>
              </w:rPr>
            </w:pPr>
            <w:r>
              <w:rPr>
                <w:rFonts w:ascii="Arial" w:cs="Arial" w:eastAsia="Arial" w:hAnsi="Arial"/>
                <w:sz w:val="18"/>
                <w:szCs w:val="18"/>
                <w:color w:val="101010"/>
                <w:w w:val="91"/>
              </w:rPr>
              <w:t>Crown Building Maintenance Co. and Crown Energy Services, Inc.</w:t>
            </w:r>
          </w:p>
        </w:tc>
        <w:tc>
          <w:tcPr>
            <w:tcW w:w="130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6820" w:type="dxa"/>
            <w:vAlign w:val="bottom"/>
            <w:gridSpan w:val="2"/>
          </w:tcPr>
          <w:p>
            <w:pPr>
              <w:jc w:val="center"/>
              <w:ind w:right="1820"/>
              <w:spacing w:after="0" w:line="202" w:lineRule="exact"/>
              <w:rPr>
                <w:sz w:val="20"/>
                <w:szCs w:val="20"/>
                <w:color w:val="auto"/>
              </w:rPr>
            </w:pPr>
            <w:r>
              <w:rPr>
                <w:rFonts w:ascii="Arial" w:cs="Arial" w:eastAsia="Arial" w:hAnsi="Arial"/>
                <w:sz w:val="18"/>
                <w:szCs w:val="18"/>
                <w:color w:val="101010"/>
                <w:w w:val="90"/>
              </w:rPr>
              <w:t>dba Able Services</w:t>
            </w:r>
          </w:p>
        </w:tc>
        <w:tc>
          <w:tcPr>
            <w:tcW w:w="1300" w:type="dxa"/>
            <w:vAlign w:val="bottom"/>
          </w:tcPr>
          <w:p>
            <w:pPr>
              <w:spacing w:after="0"/>
              <w:rPr>
                <w:sz w:val="17"/>
                <w:szCs w:val="17"/>
                <w:color w:val="auto"/>
              </w:rPr>
            </w:pPr>
          </w:p>
        </w:tc>
      </w:tr>
      <w:tr>
        <w:trPr>
          <w:trHeight w:val="216"/>
        </w:trPr>
        <w:tc>
          <w:tcPr>
            <w:tcW w:w="3120" w:type="dxa"/>
            <w:vAlign w:val="bottom"/>
          </w:tcPr>
          <w:p>
            <w:pPr>
              <w:spacing w:after="0"/>
              <w:rPr>
                <w:sz w:val="18"/>
                <w:szCs w:val="18"/>
                <w:color w:val="auto"/>
              </w:rPr>
            </w:pPr>
          </w:p>
        </w:tc>
        <w:tc>
          <w:tcPr>
            <w:tcW w:w="6820" w:type="dxa"/>
            <w:vAlign w:val="bottom"/>
            <w:gridSpan w:val="2"/>
          </w:tcPr>
          <w:p>
            <w:pPr>
              <w:jc w:val="center"/>
              <w:ind w:right="1820"/>
              <w:spacing w:after="0"/>
              <w:rPr>
                <w:sz w:val="20"/>
                <w:szCs w:val="20"/>
                <w:color w:val="auto"/>
              </w:rPr>
            </w:pPr>
            <w:r>
              <w:rPr>
                <w:rFonts w:ascii="Arial" w:cs="Arial" w:eastAsia="Arial" w:hAnsi="Arial"/>
                <w:sz w:val="18"/>
                <w:szCs w:val="18"/>
                <w:color w:val="101010"/>
                <w:w w:val="89"/>
              </w:rPr>
              <w:t>Combined Statement of Income and Retained Earnings</w:t>
            </w:r>
          </w:p>
        </w:tc>
        <w:tc>
          <w:tcPr>
            <w:tcW w:w="130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6820" w:type="dxa"/>
            <w:vAlign w:val="bottom"/>
            <w:gridSpan w:val="2"/>
          </w:tcPr>
          <w:p>
            <w:pPr>
              <w:jc w:val="center"/>
              <w:ind w:right="1820"/>
              <w:spacing w:after="0"/>
              <w:rPr>
                <w:sz w:val="20"/>
                <w:szCs w:val="20"/>
                <w:color w:val="auto"/>
              </w:rPr>
            </w:pPr>
            <w:r>
              <w:rPr>
                <w:rFonts w:ascii="Arial" w:cs="Arial" w:eastAsia="Arial" w:hAnsi="Arial"/>
                <w:sz w:val="18"/>
                <w:szCs w:val="18"/>
                <w:color w:val="101010"/>
                <w:w w:val="89"/>
              </w:rPr>
              <w:t>For the Period from January 1, 2021 to June 30, 2021</w:t>
            </w:r>
          </w:p>
        </w:tc>
        <w:tc>
          <w:tcPr>
            <w:tcW w:w="1300" w:type="dxa"/>
            <w:vAlign w:val="bottom"/>
          </w:tcPr>
          <w:p>
            <w:pPr>
              <w:spacing w:after="0"/>
              <w:rPr>
                <w:sz w:val="18"/>
                <w:szCs w:val="18"/>
                <w:color w:val="auto"/>
              </w:rPr>
            </w:pPr>
          </w:p>
        </w:tc>
      </w:tr>
      <w:tr>
        <w:trPr>
          <w:trHeight w:val="230"/>
        </w:trPr>
        <w:tc>
          <w:tcPr>
            <w:tcW w:w="3120" w:type="dxa"/>
            <w:vAlign w:val="bottom"/>
          </w:tcPr>
          <w:p>
            <w:pPr>
              <w:spacing w:after="0"/>
              <w:rPr>
                <w:sz w:val="20"/>
                <w:szCs w:val="20"/>
                <w:color w:val="auto"/>
              </w:rPr>
            </w:pPr>
          </w:p>
        </w:tc>
        <w:tc>
          <w:tcPr>
            <w:tcW w:w="6820" w:type="dxa"/>
            <w:vAlign w:val="bottom"/>
            <w:gridSpan w:val="2"/>
          </w:tcPr>
          <w:p>
            <w:pPr>
              <w:jc w:val="center"/>
              <w:ind w:right="1820"/>
              <w:spacing w:after="0"/>
              <w:rPr>
                <w:sz w:val="20"/>
                <w:szCs w:val="20"/>
                <w:color w:val="auto"/>
              </w:rPr>
            </w:pPr>
            <w:r>
              <w:rPr>
                <w:rFonts w:ascii="Arial" w:cs="Arial" w:eastAsia="Arial" w:hAnsi="Arial"/>
                <w:sz w:val="18"/>
                <w:szCs w:val="18"/>
                <w:color w:val="101010"/>
                <w:w w:val="90"/>
              </w:rPr>
              <w:t>(In thousands)</w:t>
            </w:r>
          </w:p>
        </w:tc>
        <w:tc>
          <w:tcPr>
            <w:tcW w:w="1300" w:type="dxa"/>
            <w:vAlign w:val="bottom"/>
          </w:tcPr>
          <w:p>
            <w:pPr>
              <w:spacing w:after="0"/>
              <w:rPr>
                <w:sz w:val="20"/>
                <w:szCs w:val="20"/>
                <w:color w:val="auto"/>
              </w:rPr>
            </w:pPr>
          </w:p>
        </w:tc>
      </w:tr>
      <w:tr>
        <w:trPr>
          <w:trHeight w:val="446"/>
        </w:trPr>
        <w:tc>
          <w:tcPr>
            <w:tcW w:w="31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9"/>
        </w:trPr>
        <w:tc>
          <w:tcPr>
            <w:tcW w:w="3120" w:type="dxa"/>
            <w:vAlign w:val="bottom"/>
            <w:shd w:val="clear" w:color="auto" w:fill="DCE2EF"/>
          </w:tcPr>
          <w:p>
            <w:pPr>
              <w:ind w:left="20"/>
              <w:spacing w:after="0"/>
              <w:rPr>
                <w:sz w:val="20"/>
                <w:szCs w:val="20"/>
                <w:color w:val="auto"/>
              </w:rPr>
            </w:pPr>
            <w:r>
              <w:rPr>
                <w:rFonts w:ascii="Arial" w:cs="Arial" w:eastAsia="Arial" w:hAnsi="Arial"/>
                <w:sz w:val="18"/>
                <w:szCs w:val="18"/>
                <w:color w:val="auto"/>
              </w:rPr>
              <w:t>Sales and services</w:t>
            </w:r>
          </w:p>
        </w:tc>
        <w:tc>
          <w:tcPr>
            <w:tcW w:w="6820" w:type="dxa"/>
            <w:vAlign w:val="bottom"/>
            <w:gridSpan w:val="2"/>
            <w:shd w:val="clear" w:color="auto" w:fill="DCE2EF"/>
          </w:tcPr>
          <w:p>
            <w:pPr>
              <w:jc w:val="right"/>
              <w:ind w:right="6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529,630</w:t>
            </w:r>
          </w:p>
        </w:tc>
      </w:tr>
      <w:tr>
        <w:trPr>
          <w:trHeight w:val="257"/>
        </w:trPr>
        <w:tc>
          <w:tcPr>
            <w:tcW w:w="312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29"/>
        </w:trPr>
        <w:tc>
          <w:tcPr>
            <w:tcW w:w="3120" w:type="dxa"/>
            <w:vAlign w:val="bottom"/>
            <w:shd w:val="clear" w:color="auto" w:fill="DCE2EF"/>
          </w:tcPr>
          <w:p>
            <w:pPr>
              <w:ind w:left="20"/>
              <w:spacing w:after="0"/>
              <w:rPr>
                <w:sz w:val="20"/>
                <w:szCs w:val="20"/>
                <w:color w:val="auto"/>
              </w:rPr>
            </w:pPr>
            <w:r>
              <w:rPr>
                <w:rFonts w:ascii="Arial" w:cs="Arial" w:eastAsia="Arial" w:hAnsi="Arial"/>
                <w:sz w:val="18"/>
                <w:szCs w:val="18"/>
                <w:color w:val="auto"/>
              </w:rPr>
              <w:t>Cost of sales and services</w:t>
            </w:r>
          </w:p>
        </w:tc>
        <w:tc>
          <w:tcPr>
            <w:tcW w:w="6080" w:type="dxa"/>
            <w:vAlign w:val="bottom"/>
            <w:shd w:val="clear" w:color="auto" w:fill="DCE2EF"/>
          </w:tcPr>
          <w:p>
            <w:pPr>
              <w:spacing w:after="0"/>
              <w:rPr>
                <w:sz w:val="19"/>
                <w:szCs w:val="19"/>
                <w:color w:val="auto"/>
              </w:rPr>
            </w:pPr>
          </w:p>
        </w:tc>
        <w:tc>
          <w:tcPr>
            <w:tcW w:w="740" w:type="dxa"/>
            <w:vAlign w:val="bottom"/>
            <w:tcBorders>
              <w:bottom w:val="single" w:sz="8" w:color="auto"/>
            </w:tcBorders>
            <w:shd w:val="clear" w:color="auto" w:fill="DCE2EF"/>
          </w:tcPr>
          <w:p>
            <w:pPr>
              <w:spacing w:after="0"/>
              <w:rPr>
                <w:sz w:val="19"/>
                <w:szCs w:val="19"/>
                <w:color w:val="auto"/>
              </w:rPr>
            </w:pPr>
          </w:p>
        </w:tc>
        <w:tc>
          <w:tcPr>
            <w:tcW w:w="13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455,049</w:t>
            </w:r>
          </w:p>
        </w:tc>
      </w:tr>
      <w:tr>
        <w:trPr>
          <w:trHeight w:val="237"/>
        </w:trPr>
        <w:tc>
          <w:tcPr>
            <w:tcW w:w="31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29"/>
        </w:trPr>
        <w:tc>
          <w:tcPr>
            <w:tcW w:w="3120" w:type="dxa"/>
            <w:vAlign w:val="bottom"/>
            <w:shd w:val="clear" w:color="auto" w:fill="DCE2EF"/>
          </w:tcPr>
          <w:p>
            <w:pPr>
              <w:ind w:left="20"/>
              <w:spacing w:after="0" w:line="230" w:lineRule="exact"/>
              <w:rPr>
                <w:sz w:val="20"/>
                <w:szCs w:val="20"/>
                <w:color w:val="auto"/>
              </w:rPr>
            </w:pPr>
            <w:r>
              <w:rPr>
                <w:rFonts w:ascii="Arial" w:cs="Arial" w:eastAsia="Arial" w:hAnsi="Arial"/>
                <w:sz w:val="18"/>
                <w:szCs w:val="18"/>
                <w:color w:val="auto"/>
              </w:rPr>
              <w:t>Gross pro</w:t>
            </w:r>
            <w:r>
              <w:rPr>
                <w:rFonts w:ascii="Arial Unicode MS" w:cs="Arial Unicode MS" w:eastAsia="Arial Unicode MS" w:hAnsi="Arial Unicode MS"/>
                <w:sz w:val="18"/>
                <w:szCs w:val="18"/>
                <w:color w:val="auto"/>
              </w:rPr>
              <w:t></w:t>
            </w:r>
            <w:r>
              <w:rPr>
                <w:rFonts w:ascii="Arial" w:cs="Arial" w:eastAsia="Arial" w:hAnsi="Arial"/>
                <w:sz w:val="18"/>
                <w:szCs w:val="18"/>
                <w:color w:val="auto"/>
              </w:rPr>
              <w:t>t</w:t>
            </w:r>
          </w:p>
        </w:tc>
        <w:tc>
          <w:tcPr>
            <w:tcW w:w="6080" w:type="dxa"/>
            <w:vAlign w:val="bottom"/>
            <w:shd w:val="clear" w:color="auto" w:fill="DCE2EF"/>
          </w:tcPr>
          <w:p>
            <w:pPr>
              <w:spacing w:after="0"/>
              <w:rPr>
                <w:sz w:val="19"/>
                <w:szCs w:val="19"/>
                <w:color w:val="auto"/>
              </w:rPr>
            </w:pPr>
          </w:p>
        </w:tc>
        <w:tc>
          <w:tcPr>
            <w:tcW w:w="740" w:type="dxa"/>
            <w:vAlign w:val="bottom"/>
            <w:shd w:val="clear" w:color="auto" w:fill="DCE2EF"/>
          </w:tcPr>
          <w:p>
            <w:pPr>
              <w:spacing w:after="0"/>
              <w:rPr>
                <w:sz w:val="19"/>
                <w:szCs w:val="19"/>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74,581</w:t>
            </w:r>
          </w:p>
        </w:tc>
      </w:tr>
      <w:tr>
        <w:trPr>
          <w:trHeight w:val="257"/>
        </w:trPr>
        <w:tc>
          <w:tcPr>
            <w:tcW w:w="312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29"/>
        </w:trPr>
        <w:tc>
          <w:tcPr>
            <w:tcW w:w="3120" w:type="dxa"/>
            <w:vAlign w:val="bottom"/>
            <w:shd w:val="clear" w:color="auto" w:fill="DCE2EF"/>
          </w:tcPr>
          <w:p>
            <w:pPr>
              <w:ind w:left="20"/>
              <w:spacing w:after="0"/>
              <w:rPr>
                <w:sz w:val="20"/>
                <w:szCs w:val="20"/>
                <w:color w:val="auto"/>
              </w:rPr>
            </w:pPr>
            <w:r>
              <w:rPr>
                <w:rFonts w:ascii="Arial" w:cs="Arial" w:eastAsia="Arial" w:hAnsi="Arial"/>
                <w:sz w:val="18"/>
                <w:szCs w:val="18"/>
                <w:color w:val="auto"/>
              </w:rPr>
              <w:t>Operating expenses</w:t>
            </w:r>
          </w:p>
        </w:tc>
        <w:tc>
          <w:tcPr>
            <w:tcW w:w="6080" w:type="dxa"/>
            <w:vAlign w:val="bottom"/>
            <w:shd w:val="clear" w:color="auto" w:fill="DCE2EF"/>
          </w:tcPr>
          <w:p>
            <w:pPr>
              <w:spacing w:after="0"/>
              <w:rPr>
                <w:sz w:val="19"/>
                <w:szCs w:val="19"/>
                <w:color w:val="auto"/>
              </w:rPr>
            </w:pPr>
          </w:p>
        </w:tc>
        <w:tc>
          <w:tcPr>
            <w:tcW w:w="740" w:type="dxa"/>
            <w:vAlign w:val="bottom"/>
            <w:tcBorders>
              <w:bottom w:val="single" w:sz="8" w:color="auto"/>
            </w:tcBorders>
            <w:shd w:val="clear" w:color="auto" w:fill="DCE2EF"/>
          </w:tcPr>
          <w:p>
            <w:pPr>
              <w:spacing w:after="0"/>
              <w:rPr>
                <w:sz w:val="19"/>
                <w:szCs w:val="19"/>
                <w:color w:val="auto"/>
              </w:rPr>
            </w:pPr>
          </w:p>
        </w:tc>
        <w:tc>
          <w:tcPr>
            <w:tcW w:w="13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45,418</w:t>
            </w:r>
          </w:p>
        </w:tc>
      </w:tr>
      <w:tr>
        <w:trPr>
          <w:trHeight w:val="250"/>
        </w:trPr>
        <w:tc>
          <w:tcPr>
            <w:tcW w:w="312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30"/>
        </w:trPr>
        <w:tc>
          <w:tcPr>
            <w:tcW w:w="3120" w:type="dxa"/>
            <w:vAlign w:val="bottom"/>
            <w:shd w:val="clear" w:color="auto" w:fill="DCE2EF"/>
          </w:tcPr>
          <w:p>
            <w:pPr>
              <w:ind w:left="20"/>
              <w:spacing w:after="0"/>
              <w:rPr>
                <w:sz w:val="20"/>
                <w:szCs w:val="20"/>
                <w:color w:val="auto"/>
              </w:rPr>
            </w:pPr>
            <w:r>
              <w:rPr>
                <w:rFonts w:ascii="Arial" w:cs="Arial" w:eastAsia="Arial" w:hAnsi="Arial"/>
                <w:sz w:val="18"/>
                <w:szCs w:val="18"/>
                <w:color w:val="auto"/>
              </w:rPr>
              <w:t>Income from operations</w:t>
            </w:r>
          </w:p>
        </w:tc>
        <w:tc>
          <w:tcPr>
            <w:tcW w:w="6080" w:type="dxa"/>
            <w:vAlign w:val="bottom"/>
            <w:shd w:val="clear" w:color="auto" w:fill="DCE2EF"/>
          </w:tcPr>
          <w:p>
            <w:pPr>
              <w:spacing w:after="0"/>
              <w:rPr>
                <w:sz w:val="19"/>
                <w:szCs w:val="19"/>
                <w:color w:val="auto"/>
              </w:rPr>
            </w:pPr>
          </w:p>
        </w:tc>
        <w:tc>
          <w:tcPr>
            <w:tcW w:w="740" w:type="dxa"/>
            <w:vAlign w:val="bottom"/>
            <w:tcBorders>
              <w:bottom w:val="single" w:sz="8" w:color="auto"/>
            </w:tcBorders>
            <w:shd w:val="clear" w:color="auto" w:fill="DCE2EF"/>
          </w:tcPr>
          <w:p>
            <w:pPr>
              <w:spacing w:after="0"/>
              <w:rPr>
                <w:sz w:val="19"/>
                <w:szCs w:val="19"/>
                <w:color w:val="auto"/>
              </w:rPr>
            </w:pPr>
          </w:p>
        </w:tc>
        <w:tc>
          <w:tcPr>
            <w:tcW w:w="13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29,163</w:t>
            </w:r>
          </w:p>
        </w:tc>
      </w:tr>
      <w:tr>
        <w:trPr>
          <w:trHeight w:val="250"/>
        </w:trPr>
        <w:tc>
          <w:tcPr>
            <w:tcW w:w="312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29"/>
        </w:trPr>
        <w:tc>
          <w:tcPr>
            <w:tcW w:w="3120" w:type="dxa"/>
            <w:vAlign w:val="bottom"/>
            <w:shd w:val="clear" w:color="auto" w:fill="DCE2EF"/>
          </w:tcPr>
          <w:p>
            <w:pPr>
              <w:ind w:left="20"/>
              <w:spacing w:after="0"/>
              <w:rPr>
                <w:sz w:val="20"/>
                <w:szCs w:val="20"/>
                <w:color w:val="auto"/>
              </w:rPr>
            </w:pPr>
            <w:r>
              <w:rPr>
                <w:rFonts w:ascii="Arial" w:cs="Arial" w:eastAsia="Arial" w:hAnsi="Arial"/>
                <w:sz w:val="18"/>
                <w:szCs w:val="18"/>
                <w:color w:val="auto"/>
              </w:rPr>
              <w:t>Other income (expense)</w:t>
            </w:r>
          </w:p>
        </w:tc>
        <w:tc>
          <w:tcPr>
            <w:tcW w:w="6080" w:type="dxa"/>
            <w:vAlign w:val="bottom"/>
            <w:shd w:val="clear" w:color="auto" w:fill="DCE2EF"/>
          </w:tcPr>
          <w:p>
            <w:pPr>
              <w:spacing w:after="0"/>
              <w:rPr>
                <w:sz w:val="19"/>
                <w:szCs w:val="19"/>
                <w:color w:val="auto"/>
              </w:rPr>
            </w:pPr>
          </w:p>
        </w:tc>
        <w:tc>
          <w:tcPr>
            <w:tcW w:w="740" w:type="dxa"/>
            <w:vAlign w:val="bottom"/>
            <w:shd w:val="clear" w:color="auto" w:fill="DCE2EF"/>
          </w:tcPr>
          <w:p>
            <w:pPr>
              <w:spacing w:after="0"/>
              <w:rPr>
                <w:sz w:val="19"/>
                <w:szCs w:val="19"/>
                <w:color w:val="auto"/>
              </w:rPr>
            </w:pPr>
          </w:p>
        </w:tc>
        <w:tc>
          <w:tcPr>
            <w:tcW w:w="1300" w:type="dxa"/>
            <w:vAlign w:val="bottom"/>
            <w:shd w:val="clear" w:color="auto" w:fill="DCE2EF"/>
          </w:tcPr>
          <w:p>
            <w:pPr>
              <w:spacing w:after="0"/>
              <w:rPr>
                <w:sz w:val="19"/>
                <w:szCs w:val="19"/>
                <w:color w:val="auto"/>
              </w:rPr>
            </w:pPr>
          </w:p>
        </w:tc>
      </w:tr>
      <w:tr>
        <w:trPr>
          <w:trHeight w:val="230"/>
        </w:trPr>
        <w:tc>
          <w:tcPr>
            <w:tcW w:w="3120" w:type="dxa"/>
            <w:vAlign w:val="bottom"/>
          </w:tcPr>
          <w:p>
            <w:pPr>
              <w:ind w:left="140"/>
              <w:spacing w:after="0"/>
              <w:rPr>
                <w:sz w:val="20"/>
                <w:szCs w:val="20"/>
                <w:color w:val="auto"/>
              </w:rPr>
            </w:pPr>
            <w:r>
              <w:rPr>
                <w:rFonts w:ascii="Arial" w:cs="Arial" w:eastAsia="Arial" w:hAnsi="Arial"/>
                <w:sz w:val="18"/>
                <w:szCs w:val="18"/>
                <w:color w:val="auto"/>
              </w:rPr>
              <w:t>Other expenses</w:t>
            </w:r>
          </w:p>
        </w:tc>
        <w:tc>
          <w:tcPr>
            <w:tcW w:w="60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(1,787)</w:t>
            </w:r>
          </w:p>
        </w:tc>
      </w:tr>
      <w:tr>
        <w:trPr>
          <w:trHeight w:val="229"/>
        </w:trPr>
        <w:tc>
          <w:tcPr>
            <w:tcW w:w="3120" w:type="dxa"/>
            <w:vAlign w:val="bottom"/>
            <w:shd w:val="clear" w:color="auto" w:fill="DCE2EF"/>
          </w:tcPr>
          <w:p>
            <w:pPr>
              <w:ind w:left="140"/>
              <w:spacing w:after="0"/>
              <w:rPr>
                <w:sz w:val="20"/>
                <w:szCs w:val="20"/>
                <w:color w:val="auto"/>
              </w:rPr>
            </w:pPr>
            <w:r>
              <w:rPr>
                <w:rFonts w:ascii="Arial" w:cs="Arial" w:eastAsia="Arial" w:hAnsi="Arial"/>
                <w:sz w:val="18"/>
                <w:szCs w:val="18"/>
                <w:color w:val="auto"/>
              </w:rPr>
              <w:t>Interest Expense</w:t>
            </w:r>
          </w:p>
        </w:tc>
        <w:tc>
          <w:tcPr>
            <w:tcW w:w="6080" w:type="dxa"/>
            <w:vAlign w:val="bottom"/>
            <w:shd w:val="clear" w:color="auto" w:fill="DCE2EF"/>
          </w:tcPr>
          <w:p>
            <w:pPr>
              <w:spacing w:after="0"/>
              <w:rPr>
                <w:sz w:val="19"/>
                <w:szCs w:val="19"/>
                <w:color w:val="auto"/>
              </w:rPr>
            </w:pPr>
          </w:p>
        </w:tc>
        <w:tc>
          <w:tcPr>
            <w:tcW w:w="740" w:type="dxa"/>
            <w:vAlign w:val="bottom"/>
            <w:tcBorders>
              <w:bottom w:val="single" w:sz="8" w:color="auto"/>
            </w:tcBorders>
            <w:shd w:val="clear" w:color="auto" w:fill="DCE2EF"/>
          </w:tcPr>
          <w:p>
            <w:pPr>
              <w:spacing w:after="0"/>
              <w:rPr>
                <w:sz w:val="19"/>
                <w:szCs w:val="19"/>
                <w:color w:val="auto"/>
              </w:rPr>
            </w:pPr>
          </w:p>
        </w:tc>
        <w:tc>
          <w:tcPr>
            <w:tcW w:w="13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(533)</w:t>
            </w:r>
          </w:p>
        </w:tc>
      </w:tr>
      <w:tr>
        <w:trPr>
          <w:trHeight w:val="223"/>
        </w:trPr>
        <w:tc>
          <w:tcPr>
            <w:tcW w:w="3120" w:type="dxa"/>
            <w:vAlign w:val="bottom"/>
            <w:tcBorders>
              <w:bottom w:val="single" w:sz="8" w:color="DCE2EF"/>
            </w:tcBorders>
          </w:tcPr>
          <w:p>
            <w:pPr>
              <w:ind w:left="360"/>
              <w:spacing w:after="0"/>
              <w:rPr>
                <w:sz w:val="20"/>
                <w:szCs w:val="20"/>
                <w:color w:val="auto"/>
              </w:rPr>
            </w:pPr>
            <w:r>
              <w:rPr>
                <w:rFonts w:ascii="Arial" w:cs="Arial" w:eastAsia="Arial" w:hAnsi="Arial"/>
                <w:sz w:val="18"/>
                <w:szCs w:val="18"/>
                <w:color w:val="auto"/>
              </w:rPr>
              <w:t>Total other income (expense), net</w:t>
            </w:r>
          </w:p>
        </w:tc>
        <w:tc>
          <w:tcPr>
            <w:tcW w:w="6080" w:type="dxa"/>
            <w:vAlign w:val="bottom"/>
            <w:tcBorders>
              <w:bottom w:val="single" w:sz="8" w:color="DCE2E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w:t>
            </w:r>
          </w:p>
        </w:tc>
      </w:tr>
      <w:tr>
        <w:trPr>
          <w:trHeight w:val="250"/>
        </w:trPr>
        <w:tc>
          <w:tcPr>
            <w:tcW w:w="3120" w:type="dxa"/>
            <w:vAlign w:val="bottom"/>
            <w:shd w:val="clear" w:color="auto" w:fill="DCE2EF"/>
          </w:tcPr>
          <w:p>
            <w:pPr>
              <w:spacing w:after="0"/>
              <w:rPr>
                <w:sz w:val="21"/>
                <w:szCs w:val="21"/>
                <w:color w:val="auto"/>
              </w:rPr>
            </w:pPr>
          </w:p>
        </w:tc>
        <w:tc>
          <w:tcPr>
            <w:tcW w:w="6080" w:type="dxa"/>
            <w:vAlign w:val="bottom"/>
            <w:shd w:val="clear" w:color="auto" w:fill="DCE2EF"/>
          </w:tcPr>
          <w:p>
            <w:pPr>
              <w:spacing w:after="0"/>
              <w:rPr>
                <w:sz w:val="21"/>
                <w:szCs w:val="21"/>
                <w:color w:val="auto"/>
              </w:rPr>
            </w:pPr>
          </w:p>
        </w:tc>
        <w:tc>
          <w:tcPr>
            <w:tcW w:w="740" w:type="dxa"/>
            <w:vAlign w:val="bottom"/>
            <w:shd w:val="clear" w:color="auto" w:fill="DCE2EF"/>
          </w:tcPr>
          <w:p>
            <w:pPr>
              <w:spacing w:after="0"/>
              <w:rPr>
                <w:sz w:val="21"/>
                <w:szCs w:val="21"/>
                <w:color w:val="auto"/>
              </w:rPr>
            </w:pPr>
          </w:p>
        </w:tc>
        <w:tc>
          <w:tcPr>
            <w:tcW w:w="1300" w:type="dxa"/>
            <w:vAlign w:val="bottom"/>
            <w:shd w:val="clear" w:color="auto" w:fill="DCE2EF"/>
          </w:tcPr>
          <w:p>
            <w:pPr>
              <w:spacing w:after="0"/>
              <w:rPr>
                <w:sz w:val="21"/>
                <w:szCs w:val="2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w w:val="93"/>
              </w:rPr>
              <w:t>Income before provision for income taxes</w:t>
            </w:r>
          </w:p>
        </w:tc>
        <w:tc>
          <w:tcPr>
            <w:tcW w:w="60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26,843</w:t>
            </w:r>
          </w:p>
        </w:tc>
      </w:tr>
      <w:tr>
        <w:trPr>
          <w:trHeight w:val="270"/>
        </w:trPr>
        <w:tc>
          <w:tcPr>
            <w:tcW w:w="3120" w:type="dxa"/>
            <w:vAlign w:val="bottom"/>
            <w:shd w:val="clear" w:color="auto" w:fill="DCE2EF"/>
          </w:tcPr>
          <w:p>
            <w:pPr>
              <w:spacing w:after="0"/>
              <w:rPr>
                <w:sz w:val="23"/>
                <w:szCs w:val="23"/>
                <w:color w:val="auto"/>
              </w:rPr>
            </w:pPr>
          </w:p>
        </w:tc>
        <w:tc>
          <w:tcPr>
            <w:tcW w:w="6080" w:type="dxa"/>
            <w:vAlign w:val="bottom"/>
            <w:shd w:val="clear" w:color="auto" w:fill="DCE2EF"/>
          </w:tcPr>
          <w:p>
            <w:pPr>
              <w:spacing w:after="0"/>
              <w:rPr>
                <w:sz w:val="23"/>
                <w:szCs w:val="23"/>
                <w:color w:val="auto"/>
              </w:rPr>
            </w:pPr>
          </w:p>
        </w:tc>
        <w:tc>
          <w:tcPr>
            <w:tcW w:w="740" w:type="dxa"/>
            <w:vAlign w:val="bottom"/>
            <w:shd w:val="clear" w:color="auto" w:fill="DCE2EF"/>
          </w:tcPr>
          <w:p>
            <w:pPr>
              <w:spacing w:after="0"/>
              <w:rPr>
                <w:sz w:val="23"/>
                <w:szCs w:val="23"/>
                <w:color w:val="auto"/>
              </w:rPr>
            </w:pPr>
          </w:p>
        </w:tc>
        <w:tc>
          <w:tcPr>
            <w:tcW w:w="1300" w:type="dxa"/>
            <w:vAlign w:val="bottom"/>
            <w:shd w:val="clear" w:color="auto" w:fill="DCE2EF"/>
          </w:tcPr>
          <w:p>
            <w:pPr>
              <w:spacing w:after="0"/>
              <w:rPr>
                <w:sz w:val="23"/>
                <w:szCs w:val="23"/>
                <w:color w:val="auto"/>
              </w:rPr>
            </w:pPr>
          </w:p>
        </w:tc>
      </w:tr>
      <w:tr>
        <w:trPr>
          <w:trHeight w:val="229"/>
        </w:trPr>
        <w:tc>
          <w:tcPr>
            <w:tcW w:w="3120" w:type="dxa"/>
            <w:vAlign w:val="bottom"/>
            <w:tcBorders>
              <w:bottom w:val="single" w:sz="8" w:color="DCE2EF"/>
            </w:tcBorders>
          </w:tcPr>
          <w:p>
            <w:pPr>
              <w:ind w:left="20"/>
              <w:spacing w:after="0"/>
              <w:rPr>
                <w:sz w:val="20"/>
                <w:szCs w:val="20"/>
                <w:color w:val="auto"/>
              </w:rPr>
            </w:pPr>
            <w:r>
              <w:rPr>
                <w:rFonts w:ascii="Arial" w:cs="Arial" w:eastAsia="Arial" w:hAnsi="Arial"/>
                <w:sz w:val="18"/>
                <w:szCs w:val="18"/>
                <w:color w:val="auto"/>
              </w:rPr>
              <w:t>Provision for income taxes</w:t>
            </w:r>
          </w:p>
        </w:tc>
        <w:tc>
          <w:tcPr>
            <w:tcW w:w="6080" w:type="dxa"/>
            <w:vAlign w:val="bottom"/>
            <w:tcBorders>
              <w:bottom w:val="single" w:sz="8" w:color="DCE2E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r>
      <w:tr>
        <w:trPr>
          <w:trHeight w:val="250"/>
        </w:trPr>
        <w:tc>
          <w:tcPr>
            <w:tcW w:w="3120" w:type="dxa"/>
            <w:vAlign w:val="bottom"/>
            <w:shd w:val="clear" w:color="auto" w:fill="DCE2EF"/>
          </w:tcPr>
          <w:p>
            <w:pPr>
              <w:spacing w:after="0"/>
              <w:rPr>
                <w:sz w:val="21"/>
                <w:szCs w:val="21"/>
                <w:color w:val="auto"/>
              </w:rPr>
            </w:pPr>
          </w:p>
        </w:tc>
        <w:tc>
          <w:tcPr>
            <w:tcW w:w="6080" w:type="dxa"/>
            <w:vAlign w:val="bottom"/>
            <w:shd w:val="clear" w:color="auto" w:fill="DCE2EF"/>
          </w:tcPr>
          <w:p>
            <w:pPr>
              <w:spacing w:after="0"/>
              <w:rPr>
                <w:sz w:val="21"/>
                <w:szCs w:val="21"/>
                <w:color w:val="auto"/>
              </w:rPr>
            </w:pPr>
          </w:p>
        </w:tc>
        <w:tc>
          <w:tcPr>
            <w:tcW w:w="740" w:type="dxa"/>
            <w:vAlign w:val="bottom"/>
            <w:shd w:val="clear" w:color="auto" w:fill="DCE2EF"/>
          </w:tcPr>
          <w:p>
            <w:pPr>
              <w:spacing w:after="0"/>
              <w:rPr>
                <w:sz w:val="21"/>
                <w:szCs w:val="21"/>
                <w:color w:val="auto"/>
              </w:rPr>
            </w:pPr>
          </w:p>
        </w:tc>
        <w:tc>
          <w:tcPr>
            <w:tcW w:w="1300" w:type="dxa"/>
            <w:vAlign w:val="bottom"/>
            <w:shd w:val="clear" w:color="auto" w:fill="DCE2EF"/>
          </w:tcPr>
          <w:p>
            <w:pPr>
              <w:spacing w:after="0"/>
              <w:rPr>
                <w:sz w:val="21"/>
                <w:szCs w:val="2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60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26,067</w:t>
            </w:r>
          </w:p>
        </w:tc>
      </w:tr>
      <w:tr>
        <w:trPr>
          <w:trHeight w:val="270"/>
        </w:trPr>
        <w:tc>
          <w:tcPr>
            <w:tcW w:w="3120" w:type="dxa"/>
            <w:vAlign w:val="bottom"/>
            <w:shd w:val="clear" w:color="auto" w:fill="DCE2EF"/>
          </w:tcPr>
          <w:p>
            <w:pPr>
              <w:spacing w:after="0"/>
              <w:rPr>
                <w:sz w:val="23"/>
                <w:szCs w:val="23"/>
                <w:color w:val="auto"/>
              </w:rPr>
            </w:pPr>
          </w:p>
        </w:tc>
        <w:tc>
          <w:tcPr>
            <w:tcW w:w="6080" w:type="dxa"/>
            <w:vAlign w:val="bottom"/>
            <w:shd w:val="clear" w:color="auto" w:fill="DCE2EF"/>
          </w:tcPr>
          <w:p>
            <w:pPr>
              <w:spacing w:after="0"/>
              <w:rPr>
                <w:sz w:val="23"/>
                <w:szCs w:val="23"/>
                <w:color w:val="auto"/>
              </w:rPr>
            </w:pPr>
          </w:p>
        </w:tc>
        <w:tc>
          <w:tcPr>
            <w:tcW w:w="740" w:type="dxa"/>
            <w:vAlign w:val="bottom"/>
            <w:shd w:val="clear" w:color="auto" w:fill="DCE2EF"/>
          </w:tcPr>
          <w:p>
            <w:pPr>
              <w:spacing w:after="0"/>
              <w:rPr>
                <w:sz w:val="23"/>
                <w:szCs w:val="23"/>
                <w:color w:val="auto"/>
              </w:rPr>
            </w:pPr>
          </w:p>
        </w:tc>
        <w:tc>
          <w:tcPr>
            <w:tcW w:w="1300" w:type="dxa"/>
            <w:vAlign w:val="bottom"/>
            <w:shd w:val="clear" w:color="auto" w:fill="DCE2EF"/>
          </w:tcPr>
          <w:p>
            <w:pPr>
              <w:spacing w:after="0"/>
              <w:rPr>
                <w:sz w:val="23"/>
                <w:szCs w:val="23"/>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w w:val="99"/>
              </w:rPr>
              <w:t>Retained earnings, beginning of period</w:t>
            </w:r>
          </w:p>
        </w:tc>
        <w:tc>
          <w:tcPr>
            <w:tcW w:w="60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59,860</w:t>
            </w:r>
          </w:p>
        </w:tc>
      </w:tr>
      <w:tr>
        <w:trPr>
          <w:trHeight w:val="270"/>
        </w:trPr>
        <w:tc>
          <w:tcPr>
            <w:tcW w:w="3120" w:type="dxa"/>
            <w:vAlign w:val="bottom"/>
            <w:shd w:val="clear" w:color="auto" w:fill="DCE2EF"/>
          </w:tcPr>
          <w:p>
            <w:pPr>
              <w:spacing w:after="0"/>
              <w:rPr>
                <w:sz w:val="23"/>
                <w:szCs w:val="23"/>
                <w:color w:val="auto"/>
              </w:rPr>
            </w:pPr>
          </w:p>
        </w:tc>
        <w:tc>
          <w:tcPr>
            <w:tcW w:w="6080" w:type="dxa"/>
            <w:vAlign w:val="bottom"/>
            <w:shd w:val="clear" w:color="auto" w:fill="DCE2EF"/>
          </w:tcPr>
          <w:p>
            <w:pPr>
              <w:spacing w:after="0"/>
              <w:rPr>
                <w:sz w:val="23"/>
                <w:szCs w:val="23"/>
                <w:color w:val="auto"/>
              </w:rPr>
            </w:pPr>
          </w:p>
        </w:tc>
        <w:tc>
          <w:tcPr>
            <w:tcW w:w="740" w:type="dxa"/>
            <w:vAlign w:val="bottom"/>
            <w:shd w:val="clear" w:color="auto" w:fill="DCE2EF"/>
          </w:tcPr>
          <w:p>
            <w:pPr>
              <w:spacing w:after="0"/>
              <w:rPr>
                <w:sz w:val="23"/>
                <w:szCs w:val="23"/>
                <w:color w:val="auto"/>
              </w:rPr>
            </w:pPr>
          </w:p>
        </w:tc>
        <w:tc>
          <w:tcPr>
            <w:tcW w:w="1300" w:type="dxa"/>
            <w:vAlign w:val="bottom"/>
            <w:shd w:val="clear" w:color="auto" w:fill="DCE2EF"/>
          </w:tcPr>
          <w:p>
            <w:pPr>
              <w:spacing w:after="0"/>
              <w:rPr>
                <w:sz w:val="23"/>
                <w:szCs w:val="23"/>
                <w:color w:val="auto"/>
              </w:rPr>
            </w:pPr>
          </w:p>
        </w:tc>
      </w:tr>
      <w:tr>
        <w:trPr>
          <w:trHeight w:val="229"/>
        </w:trPr>
        <w:tc>
          <w:tcPr>
            <w:tcW w:w="3120" w:type="dxa"/>
            <w:vAlign w:val="bottom"/>
            <w:tcBorders>
              <w:bottom w:val="single" w:sz="8" w:color="DCE2EF"/>
            </w:tcBorders>
          </w:tcPr>
          <w:p>
            <w:pPr>
              <w:ind w:left="20"/>
              <w:spacing w:after="0"/>
              <w:rPr>
                <w:sz w:val="20"/>
                <w:szCs w:val="20"/>
                <w:color w:val="auto"/>
              </w:rPr>
            </w:pPr>
            <w:r>
              <w:rPr>
                <w:rFonts w:ascii="Arial" w:cs="Arial" w:eastAsia="Arial" w:hAnsi="Arial"/>
                <w:sz w:val="18"/>
                <w:szCs w:val="18"/>
                <w:color w:val="auto"/>
              </w:rPr>
              <w:t>Distributions paid</w:t>
            </w:r>
          </w:p>
        </w:tc>
        <w:tc>
          <w:tcPr>
            <w:tcW w:w="6080" w:type="dxa"/>
            <w:vAlign w:val="bottom"/>
            <w:tcBorders>
              <w:bottom w:val="single" w:sz="8" w:color="DCE2E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(35,001)</w:t>
            </w:r>
          </w:p>
        </w:tc>
      </w:tr>
      <w:tr>
        <w:trPr>
          <w:trHeight w:val="250"/>
        </w:trPr>
        <w:tc>
          <w:tcPr>
            <w:tcW w:w="3120" w:type="dxa"/>
            <w:vAlign w:val="bottom"/>
            <w:shd w:val="clear" w:color="auto" w:fill="DCE2EF"/>
          </w:tcPr>
          <w:p>
            <w:pPr>
              <w:spacing w:after="0"/>
              <w:rPr>
                <w:sz w:val="21"/>
                <w:szCs w:val="21"/>
                <w:color w:val="auto"/>
              </w:rPr>
            </w:pPr>
          </w:p>
        </w:tc>
        <w:tc>
          <w:tcPr>
            <w:tcW w:w="6080" w:type="dxa"/>
            <w:vAlign w:val="bottom"/>
            <w:shd w:val="clear" w:color="auto" w:fill="DCE2EF"/>
          </w:tcPr>
          <w:p>
            <w:pPr>
              <w:spacing w:after="0"/>
              <w:rPr>
                <w:sz w:val="21"/>
                <w:szCs w:val="21"/>
                <w:color w:val="auto"/>
              </w:rPr>
            </w:pPr>
          </w:p>
        </w:tc>
        <w:tc>
          <w:tcPr>
            <w:tcW w:w="740" w:type="dxa"/>
            <w:vAlign w:val="bottom"/>
            <w:shd w:val="clear" w:color="auto" w:fill="DCE2EF"/>
          </w:tcPr>
          <w:p>
            <w:pPr>
              <w:spacing w:after="0"/>
              <w:rPr>
                <w:sz w:val="21"/>
                <w:szCs w:val="21"/>
                <w:color w:val="auto"/>
              </w:rPr>
            </w:pPr>
          </w:p>
        </w:tc>
        <w:tc>
          <w:tcPr>
            <w:tcW w:w="1300" w:type="dxa"/>
            <w:vAlign w:val="bottom"/>
            <w:shd w:val="clear" w:color="auto" w:fill="DCE2EF"/>
          </w:tcPr>
          <w:p>
            <w:pPr>
              <w:spacing w:after="0"/>
              <w:rPr>
                <w:sz w:val="21"/>
                <w:szCs w:val="2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Retained earnings, end of period</w:t>
            </w:r>
          </w:p>
        </w:tc>
        <w:tc>
          <w:tcPr>
            <w:tcW w:w="68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50,926</w:t>
            </w:r>
          </w:p>
        </w:tc>
      </w:tr>
      <w:tr>
        <w:trPr>
          <w:trHeight w:val="20"/>
        </w:trPr>
        <w:tc>
          <w:tcPr>
            <w:tcW w:w="31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101010"/>
        </w:rPr>
        <w:t>See accompanying notes and independent accountant's review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0" w:type="dxa"/>
            <w:vAlign w:val="bottom"/>
          </w:tcPr>
          <w:p>
            <w:pPr>
              <w:jc w:val="center"/>
              <w:ind w:left="1978"/>
              <w:spacing w:after="0"/>
              <w:rPr>
                <w:sz w:val="20"/>
                <w:szCs w:val="20"/>
                <w:color w:val="auto"/>
              </w:rPr>
            </w:pPr>
            <w:r>
              <w:rPr>
                <w:rFonts w:ascii="Arial" w:cs="Arial" w:eastAsia="Arial" w:hAnsi="Arial"/>
                <w:sz w:val="18"/>
                <w:szCs w:val="18"/>
                <w:color w:val="101010"/>
                <w:w w:val="91"/>
              </w:rPr>
              <w:t>Crown Building Maintenance Co. and Crown Energy Services, Inc.</w:t>
            </w: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0" w:type="dxa"/>
            <w:vAlign w:val="bottom"/>
          </w:tcPr>
          <w:p>
            <w:pPr>
              <w:jc w:val="center"/>
              <w:ind w:left="1958"/>
              <w:spacing w:after="0"/>
              <w:rPr>
                <w:sz w:val="20"/>
                <w:szCs w:val="20"/>
                <w:color w:val="auto"/>
              </w:rPr>
            </w:pPr>
            <w:r>
              <w:rPr>
                <w:rFonts w:ascii="Arial" w:cs="Arial" w:eastAsia="Arial" w:hAnsi="Arial"/>
                <w:sz w:val="18"/>
                <w:szCs w:val="18"/>
                <w:color w:val="101010"/>
                <w:w w:val="90"/>
              </w:rPr>
              <w:t>dba Able Services</w:t>
            </w: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jc w:val="center"/>
              <w:ind w:left="1958"/>
              <w:spacing w:after="0"/>
              <w:rPr>
                <w:sz w:val="20"/>
                <w:szCs w:val="20"/>
                <w:color w:val="auto"/>
              </w:rPr>
            </w:pPr>
            <w:r>
              <w:rPr>
                <w:rFonts w:ascii="Arial" w:cs="Arial" w:eastAsia="Arial" w:hAnsi="Arial"/>
                <w:sz w:val="18"/>
                <w:szCs w:val="18"/>
                <w:color w:val="101010"/>
                <w:w w:val="90"/>
              </w:rPr>
              <w:t>Combined Statement of Cash Flows</w:t>
            </w: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jc w:val="center"/>
              <w:ind w:left="1958"/>
              <w:spacing w:after="0"/>
              <w:rPr>
                <w:sz w:val="20"/>
                <w:szCs w:val="20"/>
                <w:color w:val="auto"/>
              </w:rPr>
            </w:pPr>
            <w:r>
              <w:rPr>
                <w:rFonts w:ascii="Arial" w:cs="Arial" w:eastAsia="Arial" w:hAnsi="Arial"/>
                <w:sz w:val="18"/>
                <w:szCs w:val="18"/>
                <w:color w:val="101010"/>
                <w:w w:val="89"/>
              </w:rPr>
              <w:t>For the Period from January 1, 2021 to June 30, 2021</w:t>
            </w: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0" w:type="dxa"/>
            <w:vAlign w:val="bottom"/>
          </w:tcPr>
          <w:p>
            <w:pPr>
              <w:jc w:val="center"/>
              <w:ind w:left="1958"/>
              <w:spacing w:after="0"/>
              <w:rPr>
                <w:sz w:val="20"/>
                <w:szCs w:val="20"/>
                <w:color w:val="auto"/>
              </w:rPr>
            </w:pPr>
            <w:r>
              <w:rPr>
                <w:rFonts w:ascii="Arial" w:cs="Arial" w:eastAsia="Arial" w:hAnsi="Arial"/>
                <w:sz w:val="18"/>
                <w:szCs w:val="18"/>
                <w:color w:val="101010"/>
                <w:w w:val="90"/>
              </w:rPr>
              <w:t>(In thousands)</w:t>
            </w:r>
          </w:p>
        </w:tc>
        <w:tc>
          <w:tcPr>
            <w:tcW w:w="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9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DCE2EF"/>
          </w:tcPr>
          <w:p>
            <w:pPr>
              <w:ind w:left="20"/>
              <w:spacing w:after="0"/>
              <w:rPr>
                <w:sz w:val="20"/>
                <w:szCs w:val="20"/>
                <w:color w:val="auto"/>
              </w:rPr>
            </w:pPr>
            <w:r>
              <w:rPr>
                <w:rFonts w:ascii="Arial" w:cs="Arial" w:eastAsia="Arial" w:hAnsi="Arial"/>
                <w:sz w:val="16"/>
                <w:szCs w:val="16"/>
                <w:color w:val="auto"/>
              </w:rPr>
              <w:t>Cash flows from operating activities</w:t>
            </w:r>
          </w:p>
        </w:tc>
        <w:tc>
          <w:tcPr>
            <w:tcW w:w="780" w:type="dxa"/>
            <w:vAlign w:val="bottom"/>
            <w:shd w:val="clear" w:color="auto" w:fill="DCE2EF"/>
          </w:tcPr>
          <w:p>
            <w:pPr>
              <w:spacing w:after="0"/>
              <w:rPr>
                <w:sz w:val="18"/>
                <w:szCs w:val="18"/>
                <w:color w:val="auto"/>
              </w:rPr>
            </w:pPr>
          </w:p>
        </w:tc>
        <w:tc>
          <w:tcPr>
            <w:tcW w:w="1260" w:type="dxa"/>
            <w:vAlign w:val="bottom"/>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26,067</w:t>
            </w:r>
          </w:p>
        </w:tc>
        <w:tc>
          <w:tcPr>
            <w:tcW w:w="0" w:type="dxa"/>
            <w:vAlign w:val="bottom"/>
          </w:tcPr>
          <w:p>
            <w:pPr>
              <w:spacing w:after="0"/>
              <w:rPr>
                <w:sz w:val="1"/>
                <w:szCs w:val="1"/>
                <w:color w:val="auto"/>
              </w:rPr>
            </w:pPr>
          </w:p>
        </w:tc>
      </w:tr>
      <w:tr>
        <w:trPr>
          <w:trHeight w:val="219"/>
        </w:trPr>
        <w:tc>
          <w:tcPr>
            <w:tcW w:w="9200" w:type="dxa"/>
            <w:vAlign w:val="bottom"/>
            <w:shd w:val="clear" w:color="auto" w:fill="DCE2EF"/>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780" w:type="dxa"/>
            <w:vAlign w:val="bottom"/>
            <w:shd w:val="clear" w:color="auto" w:fill="DCE2EF"/>
          </w:tcPr>
          <w:p>
            <w:pPr>
              <w:spacing w:after="0"/>
              <w:rPr>
                <w:sz w:val="19"/>
                <w:szCs w:val="19"/>
                <w:color w:val="auto"/>
              </w:rPr>
            </w:pPr>
          </w:p>
        </w:tc>
        <w:tc>
          <w:tcPr>
            <w:tcW w:w="126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9200" w:type="dxa"/>
            <w:vAlign w:val="bottom"/>
          </w:tcPr>
          <w:p>
            <w:pPr>
              <w:ind w:left="240"/>
              <w:spacing w:after="0"/>
              <w:rPr>
                <w:sz w:val="20"/>
                <w:szCs w:val="20"/>
                <w:color w:val="auto"/>
              </w:rPr>
            </w:pPr>
            <w:r>
              <w:rPr>
                <w:rFonts w:ascii="Arial" w:cs="Arial" w:eastAsia="Arial" w:hAnsi="Arial"/>
                <w:sz w:val="16"/>
                <w:szCs w:val="16"/>
                <w:color w:val="auto"/>
              </w:rPr>
              <w:t>Depreciation</w:t>
            </w: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19"/>
        </w:trPr>
        <w:tc>
          <w:tcPr>
            <w:tcW w:w="9200" w:type="dxa"/>
            <w:vAlign w:val="bottom"/>
            <w:shd w:val="clear" w:color="auto" w:fill="DCE2EF"/>
          </w:tcPr>
          <w:p>
            <w:pPr>
              <w:ind w:left="240"/>
              <w:spacing w:after="0"/>
              <w:rPr>
                <w:sz w:val="20"/>
                <w:szCs w:val="20"/>
                <w:color w:val="auto"/>
              </w:rPr>
            </w:pPr>
            <w:r>
              <w:rPr>
                <w:rFonts w:ascii="Arial" w:cs="Arial" w:eastAsia="Arial" w:hAnsi="Arial"/>
                <w:sz w:val="16"/>
                <w:szCs w:val="16"/>
                <w:color w:val="auto"/>
              </w:rPr>
              <w:t>Amortization</w:t>
            </w:r>
          </w:p>
        </w:tc>
        <w:tc>
          <w:tcPr>
            <w:tcW w:w="780" w:type="dxa"/>
            <w:vAlign w:val="bottom"/>
            <w:shd w:val="clear" w:color="auto" w:fill="DCE2EF"/>
          </w:tcPr>
          <w:p>
            <w:pPr>
              <w:spacing w:after="0"/>
              <w:rPr>
                <w:sz w:val="19"/>
                <w:szCs w:val="19"/>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1,428</w:t>
            </w:r>
          </w:p>
        </w:tc>
        <w:tc>
          <w:tcPr>
            <w:tcW w:w="0" w:type="dxa"/>
            <w:vAlign w:val="bottom"/>
          </w:tcPr>
          <w:p>
            <w:pPr>
              <w:spacing w:after="0"/>
              <w:rPr>
                <w:sz w:val="1"/>
                <w:szCs w:val="1"/>
                <w:color w:val="auto"/>
              </w:rPr>
            </w:pPr>
          </w:p>
        </w:tc>
      </w:tr>
      <w:tr>
        <w:trPr>
          <w:trHeight w:val="213"/>
        </w:trPr>
        <w:tc>
          <w:tcPr>
            <w:tcW w:w="9200" w:type="dxa"/>
            <w:vAlign w:val="bottom"/>
          </w:tcPr>
          <w:p>
            <w:pPr>
              <w:ind w:left="240"/>
              <w:spacing w:after="0"/>
              <w:rPr>
                <w:sz w:val="20"/>
                <w:szCs w:val="20"/>
                <w:color w:val="auto"/>
              </w:rPr>
            </w:pPr>
            <w:r>
              <w:rPr>
                <w:rFonts w:ascii="Arial" w:cs="Arial" w:eastAsia="Arial" w:hAnsi="Arial"/>
                <w:sz w:val="16"/>
                <w:szCs w:val="16"/>
                <w:color w:val="auto"/>
              </w:rPr>
              <w:t>Gain from disposal of asset</w:t>
            </w: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9200" w:type="dxa"/>
            <w:vAlign w:val="bottom"/>
            <w:shd w:val="clear" w:color="auto" w:fill="DCE2EF"/>
          </w:tcPr>
          <w:p>
            <w:pPr>
              <w:ind w:left="240"/>
              <w:spacing w:after="0"/>
              <w:rPr>
                <w:sz w:val="20"/>
                <w:szCs w:val="20"/>
                <w:color w:val="auto"/>
              </w:rPr>
            </w:pPr>
            <w:r>
              <w:rPr>
                <w:rFonts w:ascii="Arial" w:cs="Arial" w:eastAsia="Arial" w:hAnsi="Arial"/>
                <w:sz w:val="16"/>
                <w:szCs w:val="16"/>
                <w:color w:val="auto"/>
              </w:rPr>
              <w:t>Interest accrued on loans from shareholder</w:t>
            </w:r>
          </w:p>
        </w:tc>
        <w:tc>
          <w:tcPr>
            <w:tcW w:w="780" w:type="dxa"/>
            <w:vAlign w:val="bottom"/>
            <w:shd w:val="clear" w:color="auto" w:fill="DCE2EF"/>
          </w:tcPr>
          <w:p>
            <w:pPr>
              <w:spacing w:after="0"/>
              <w:rPr>
                <w:sz w:val="19"/>
                <w:szCs w:val="19"/>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213"/>
        </w:trPr>
        <w:tc>
          <w:tcPr>
            <w:tcW w:w="9200" w:type="dxa"/>
            <w:vAlign w:val="bottom"/>
          </w:tcPr>
          <w:p>
            <w:pPr>
              <w:ind w:left="240"/>
              <w:spacing w:after="0"/>
              <w:rPr>
                <w:sz w:val="20"/>
                <w:szCs w:val="20"/>
                <w:color w:val="auto"/>
              </w:rPr>
            </w:pPr>
            <w:r>
              <w:rPr>
                <w:rFonts w:ascii="Arial" w:cs="Arial" w:eastAsia="Arial" w:hAnsi="Arial"/>
                <w:sz w:val="16"/>
                <w:szCs w:val="16"/>
                <w:color w:val="auto"/>
              </w:rPr>
              <w:t>Change in allowance for doubtful accounts</w:t>
            </w: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(1,229)</w:t>
            </w:r>
          </w:p>
        </w:tc>
        <w:tc>
          <w:tcPr>
            <w:tcW w:w="0" w:type="dxa"/>
            <w:vAlign w:val="bottom"/>
          </w:tcPr>
          <w:p>
            <w:pPr>
              <w:spacing w:after="0"/>
              <w:rPr>
                <w:sz w:val="1"/>
                <w:szCs w:val="1"/>
                <w:color w:val="auto"/>
              </w:rPr>
            </w:pPr>
          </w:p>
        </w:tc>
      </w:tr>
      <w:tr>
        <w:trPr>
          <w:trHeight w:val="219"/>
        </w:trPr>
        <w:tc>
          <w:tcPr>
            <w:tcW w:w="9200" w:type="dxa"/>
            <w:vAlign w:val="bottom"/>
            <w:shd w:val="clear" w:color="auto" w:fill="DCE2EF"/>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780" w:type="dxa"/>
            <w:vAlign w:val="bottom"/>
            <w:shd w:val="clear" w:color="auto" w:fill="DCE2EF"/>
          </w:tcPr>
          <w:p>
            <w:pPr>
              <w:spacing w:after="0"/>
              <w:rPr>
                <w:sz w:val="19"/>
                <w:szCs w:val="19"/>
                <w:color w:val="auto"/>
              </w:rPr>
            </w:pPr>
          </w:p>
        </w:tc>
        <w:tc>
          <w:tcPr>
            <w:tcW w:w="126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9200" w:type="dxa"/>
            <w:vAlign w:val="bottom"/>
          </w:tcPr>
          <w:p>
            <w:pPr>
              <w:ind w:left="360"/>
              <w:spacing w:after="0"/>
              <w:rPr>
                <w:sz w:val="20"/>
                <w:szCs w:val="20"/>
                <w:color w:val="auto"/>
              </w:rPr>
            </w:pPr>
            <w:r>
              <w:rPr>
                <w:rFonts w:ascii="Arial" w:cs="Arial" w:eastAsia="Arial" w:hAnsi="Arial"/>
                <w:sz w:val="16"/>
                <w:szCs w:val="16"/>
                <w:color w:val="auto"/>
              </w:rPr>
              <w:t>Accounts receivable</w:t>
            </w: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3,922</w:t>
            </w:r>
          </w:p>
        </w:tc>
        <w:tc>
          <w:tcPr>
            <w:tcW w:w="0" w:type="dxa"/>
            <w:vAlign w:val="bottom"/>
          </w:tcPr>
          <w:p>
            <w:pPr>
              <w:spacing w:after="0"/>
              <w:rPr>
                <w:sz w:val="1"/>
                <w:szCs w:val="1"/>
                <w:color w:val="auto"/>
              </w:rPr>
            </w:pPr>
          </w:p>
        </w:tc>
      </w:tr>
      <w:tr>
        <w:trPr>
          <w:trHeight w:val="219"/>
        </w:trPr>
        <w:tc>
          <w:tcPr>
            <w:tcW w:w="9200" w:type="dxa"/>
            <w:vAlign w:val="bottom"/>
            <w:shd w:val="clear" w:color="auto" w:fill="DCE2EF"/>
          </w:tcPr>
          <w:p>
            <w:pPr>
              <w:ind w:left="360"/>
              <w:spacing w:after="0"/>
              <w:rPr>
                <w:sz w:val="20"/>
                <w:szCs w:val="20"/>
                <w:color w:val="auto"/>
              </w:rPr>
            </w:pPr>
            <w:r>
              <w:rPr>
                <w:rFonts w:ascii="Arial" w:cs="Arial" w:eastAsia="Arial" w:hAnsi="Arial"/>
                <w:sz w:val="16"/>
                <w:szCs w:val="16"/>
                <w:color w:val="auto"/>
              </w:rPr>
              <w:t>Miscellaneous deposits and other assets</w:t>
            </w:r>
          </w:p>
        </w:tc>
        <w:tc>
          <w:tcPr>
            <w:tcW w:w="780" w:type="dxa"/>
            <w:vAlign w:val="bottom"/>
            <w:shd w:val="clear" w:color="auto" w:fill="DCE2EF"/>
          </w:tcPr>
          <w:p>
            <w:pPr>
              <w:spacing w:after="0"/>
              <w:rPr>
                <w:sz w:val="19"/>
                <w:szCs w:val="19"/>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(1,523)</w:t>
            </w:r>
          </w:p>
        </w:tc>
        <w:tc>
          <w:tcPr>
            <w:tcW w:w="0" w:type="dxa"/>
            <w:vAlign w:val="bottom"/>
          </w:tcPr>
          <w:p>
            <w:pPr>
              <w:spacing w:after="0"/>
              <w:rPr>
                <w:sz w:val="1"/>
                <w:szCs w:val="1"/>
                <w:color w:val="auto"/>
              </w:rPr>
            </w:pPr>
          </w:p>
        </w:tc>
      </w:tr>
      <w:tr>
        <w:trPr>
          <w:trHeight w:val="213"/>
        </w:trPr>
        <w:tc>
          <w:tcPr>
            <w:tcW w:w="920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1,611</w:t>
            </w:r>
          </w:p>
        </w:tc>
        <w:tc>
          <w:tcPr>
            <w:tcW w:w="0" w:type="dxa"/>
            <w:vAlign w:val="bottom"/>
          </w:tcPr>
          <w:p>
            <w:pPr>
              <w:spacing w:after="0"/>
              <w:rPr>
                <w:sz w:val="1"/>
                <w:szCs w:val="1"/>
                <w:color w:val="auto"/>
              </w:rPr>
            </w:pPr>
          </w:p>
        </w:tc>
      </w:tr>
      <w:tr>
        <w:trPr>
          <w:trHeight w:val="219"/>
        </w:trPr>
        <w:tc>
          <w:tcPr>
            <w:tcW w:w="9200" w:type="dxa"/>
            <w:vAlign w:val="bottom"/>
            <w:shd w:val="clear" w:color="auto" w:fill="DCE2EF"/>
          </w:tcPr>
          <w:p>
            <w:pPr>
              <w:ind w:left="360"/>
              <w:spacing w:after="0"/>
              <w:rPr>
                <w:sz w:val="20"/>
                <w:szCs w:val="20"/>
                <w:color w:val="auto"/>
              </w:rPr>
            </w:pPr>
            <w:r>
              <w:rPr>
                <w:rFonts w:ascii="Arial" w:cs="Arial" w:eastAsia="Arial" w:hAnsi="Arial"/>
                <w:sz w:val="16"/>
                <w:szCs w:val="16"/>
                <w:color w:val="auto"/>
              </w:rPr>
              <w:t>Accrued liabilities</w:t>
            </w:r>
          </w:p>
        </w:tc>
        <w:tc>
          <w:tcPr>
            <w:tcW w:w="780" w:type="dxa"/>
            <w:vAlign w:val="bottom"/>
            <w:shd w:val="clear" w:color="auto" w:fill="DCE2EF"/>
          </w:tcPr>
          <w:p>
            <w:pPr>
              <w:spacing w:after="0"/>
              <w:rPr>
                <w:sz w:val="19"/>
                <w:szCs w:val="19"/>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3"/>
        </w:trPr>
        <w:tc>
          <w:tcPr>
            <w:tcW w:w="9200" w:type="dxa"/>
            <w:vAlign w:val="bottom"/>
          </w:tcPr>
          <w:p>
            <w:pPr>
              <w:ind w:left="360"/>
              <w:spacing w:after="0"/>
              <w:rPr>
                <w:sz w:val="20"/>
                <w:szCs w:val="20"/>
                <w:color w:val="auto"/>
              </w:rPr>
            </w:pPr>
            <w:r>
              <w:rPr>
                <w:rFonts w:ascii="Arial" w:cs="Arial" w:eastAsia="Arial" w:hAnsi="Arial"/>
                <w:sz w:val="16"/>
                <w:szCs w:val="16"/>
                <w:color w:val="auto"/>
              </w:rPr>
              <w:t>Workers' compensation and general liability loss reserve</w:t>
            </w: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1,680</w:t>
            </w:r>
          </w:p>
        </w:tc>
        <w:tc>
          <w:tcPr>
            <w:tcW w:w="0" w:type="dxa"/>
            <w:vAlign w:val="bottom"/>
          </w:tcPr>
          <w:p>
            <w:pPr>
              <w:spacing w:after="0"/>
              <w:rPr>
                <w:sz w:val="1"/>
                <w:szCs w:val="1"/>
                <w:color w:val="auto"/>
              </w:rPr>
            </w:pPr>
          </w:p>
        </w:tc>
      </w:tr>
      <w:tr>
        <w:trPr>
          <w:trHeight w:val="219"/>
        </w:trPr>
        <w:tc>
          <w:tcPr>
            <w:tcW w:w="9200" w:type="dxa"/>
            <w:vAlign w:val="bottom"/>
            <w:shd w:val="clear" w:color="auto" w:fill="DCE2EF"/>
          </w:tcPr>
          <w:p>
            <w:pPr>
              <w:ind w:left="360"/>
              <w:spacing w:after="0"/>
              <w:rPr>
                <w:sz w:val="20"/>
                <w:szCs w:val="20"/>
                <w:color w:val="auto"/>
              </w:rPr>
            </w:pPr>
            <w:r>
              <w:rPr>
                <w:rFonts w:ascii="Arial" w:cs="Arial" w:eastAsia="Arial" w:hAnsi="Arial"/>
                <w:sz w:val="16"/>
                <w:szCs w:val="16"/>
                <w:color w:val="auto"/>
              </w:rPr>
              <w:t>Deferred compensation plan liability</w:t>
            </w:r>
          </w:p>
        </w:tc>
        <w:tc>
          <w:tcPr>
            <w:tcW w:w="780" w:type="dxa"/>
            <w:vAlign w:val="bottom"/>
            <w:tcBorders>
              <w:bottom w:val="single" w:sz="8" w:color="auto"/>
            </w:tcBorders>
            <w:shd w:val="clear" w:color="auto" w:fill="DCE2EF"/>
          </w:tcPr>
          <w:p>
            <w:pPr>
              <w:spacing w:after="0"/>
              <w:rPr>
                <w:sz w:val="19"/>
                <w:szCs w:val="19"/>
                <w:color w:val="auto"/>
              </w:rPr>
            </w:pPr>
          </w:p>
        </w:tc>
        <w:tc>
          <w:tcPr>
            <w:tcW w:w="12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7"/>
        </w:trPr>
        <w:tc>
          <w:tcPr>
            <w:tcW w:w="9200" w:type="dxa"/>
            <w:vAlign w:val="bottom"/>
            <w:tcBorders>
              <w:bottom w:val="single" w:sz="8" w:color="DCE2EF"/>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7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22,774</w:t>
            </w:r>
          </w:p>
        </w:tc>
        <w:tc>
          <w:tcPr>
            <w:tcW w:w="0" w:type="dxa"/>
            <w:vAlign w:val="bottom"/>
          </w:tcPr>
          <w:p>
            <w:pPr>
              <w:spacing w:after="0"/>
              <w:rPr>
                <w:sz w:val="1"/>
                <w:szCs w:val="1"/>
                <w:color w:val="auto"/>
              </w:rPr>
            </w:pPr>
          </w:p>
        </w:tc>
      </w:tr>
      <w:tr>
        <w:trPr>
          <w:trHeight w:val="253"/>
        </w:trPr>
        <w:tc>
          <w:tcPr>
            <w:tcW w:w="9200" w:type="dxa"/>
            <w:vAlign w:val="bottom"/>
            <w:shd w:val="clear" w:color="auto" w:fill="DCE2EF"/>
          </w:tcPr>
          <w:p>
            <w:pPr>
              <w:spacing w:after="0"/>
              <w:rPr>
                <w:sz w:val="22"/>
                <w:szCs w:val="22"/>
                <w:color w:val="auto"/>
              </w:rPr>
            </w:pPr>
          </w:p>
        </w:tc>
        <w:tc>
          <w:tcPr>
            <w:tcW w:w="780" w:type="dxa"/>
            <w:vAlign w:val="bottom"/>
            <w:shd w:val="clear" w:color="auto" w:fill="DCE2EF"/>
          </w:tcPr>
          <w:p>
            <w:pPr>
              <w:spacing w:after="0"/>
              <w:rPr>
                <w:sz w:val="22"/>
                <w:szCs w:val="22"/>
                <w:color w:val="auto"/>
              </w:rPr>
            </w:pPr>
          </w:p>
        </w:tc>
        <w:tc>
          <w:tcPr>
            <w:tcW w:w="1260" w:type="dxa"/>
            <w:vAlign w:val="bottom"/>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920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200" w:type="dxa"/>
            <w:vAlign w:val="bottom"/>
            <w:shd w:val="clear" w:color="auto" w:fill="DCE2EF"/>
          </w:tcPr>
          <w:p>
            <w:pPr>
              <w:ind w:left="140"/>
              <w:spacing w:after="0"/>
              <w:rPr>
                <w:sz w:val="20"/>
                <w:szCs w:val="20"/>
                <w:color w:val="auto"/>
              </w:rPr>
            </w:pPr>
            <w:r>
              <w:rPr>
                <w:rFonts w:ascii="Arial" w:cs="Arial" w:eastAsia="Arial" w:hAnsi="Arial"/>
                <w:sz w:val="16"/>
                <w:szCs w:val="16"/>
                <w:color w:val="auto"/>
              </w:rPr>
              <w:t>Purchases of property and equipment</w:t>
            </w:r>
          </w:p>
        </w:tc>
        <w:tc>
          <w:tcPr>
            <w:tcW w:w="780" w:type="dxa"/>
            <w:vAlign w:val="bottom"/>
            <w:tcBorders>
              <w:bottom w:val="single" w:sz="8" w:color="auto"/>
            </w:tcBorders>
            <w:shd w:val="clear" w:color="auto" w:fill="DCE2EF"/>
          </w:tcPr>
          <w:p>
            <w:pPr>
              <w:spacing w:after="0"/>
              <w:rPr>
                <w:sz w:val="19"/>
                <w:szCs w:val="19"/>
                <w:color w:val="auto"/>
              </w:rPr>
            </w:pPr>
          </w:p>
        </w:tc>
        <w:tc>
          <w:tcPr>
            <w:tcW w:w="12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7"/>
        </w:trPr>
        <w:tc>
          <w:tcPr>
            <w:tcW w:w="9200" w:type="dxa"/>
            <w:vAlign w:val="bottom"/>
            <w:tcBorders>
              <w:bottom w:val="single" w:sz="8" w:color="DCE2E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7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53"/>
        </w:trPr>
        <w:tc>
          <w:tcPr>
            <w:tcW w:w="9200" w:type="dxa"/>
            <w:vAlign w:val="bottom"/>
            <w:shd w:val="clear" w:color="auto" w:fill="DCE2EF"/>
          </w:tcPr>
          <w:p>
            <w:pPr>
              <w:spacing w:after="0"/>
              <w:rPr>
                <w:sz w:val="22"/>
                <w:szCs w:val="22"/>
                <w:color w:val="auto"/>
              </w:rPr>
            </w:pPr>
          </w:p>
        </w:tc>
        <w:tc>
          <w:tcPr>
            <w:tcW w:w="780" w:type="dxa"/>
            <w:vAlign w:val="bottom"/>
            <w:shd w:val="clear" w:color="auto" w:fill="DCE2EF"/>
          </w:tcPr>
          <w:p>
            <w:pPr>
              <w:spacing w:after="0"/>
              <w:rPr>
                <w:sz w:val="22"/>
                <w:szCs w:val="22"/>
                <w:color w:val="auto"/>
              </w:rPr>
            </w:pPr>
          </w:p>
        </w:tc>
        <w:tc>
          <w:tcPr>
            <w:tcW w:w="1260" w:type="dxa"/>
            <w:vAlign w:val="bottom"/>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920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200" w:type="dxa"/>
            <w:vAlign w:val="bottom"/>
            <w:shd w:val="clear" w:color="auto" w:fill="DCE2EF"/>
          </w:tcPr>
          <w:p>
            <w:pPr>
              <w:ind w:left="140"/>
              <w:spacing w:after="0"/>
              <w:rPr>
                <w:sz w:val="20"/>
                <w:szCs w:val="20"/>
                <w:color w:val="auto"/>
              </w:rPr>
            </w:pPr>
            <w:r>
              <w:rPr>
                <w:rFonts w:ascii="Arial" w:cs="Arial" w:eastAsia="Arial" w:hAnsi="Arial"/>
                <w:sz w:val="16"/>
                <w:szCs w:val="16"/>
                <w:color w:val="auto"/>
              </w:rPr>
              <w:t>Distributions paid</w:t>
            </w:r>
          </w:p>
        </w:tc>
        <w:tc>
          <w:tcPr>
            <w:tcW w:w="780" w:type="dxa"/>
            <w:vAlign w:val="bottom"/>
            <w:shd w:val="clear" w:color="auto" w:fill="DCE2EF"/>
          </w:tcPr>
          <w:p>
            <w:pPr>
              <w:spacing w:after="0"/>
              <w:rPr>
                <w:sz w:val="19"/>
                <w:szCs w:val="19"/>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(35,008)</w:t>
            </w:r>
          </w:p>
        </w:tc>
        <w:tc>
          <w:tcPr>
            <w:tcW w:w="0" w:type="dxa"/>
            <w:vAlign w:val="bottom"/>
          </w:tcPr>
          <w:p>
            <w:pPr>
              <w:spacing w:after="0"/>
              <w:rPr>
                <w:sz w:val="1"/>
                <w:szCs w:val="1"/>
                <w:color w:val="auto"/>
              </w:rPr>
            </w:pPr>
          </w:p>
        </w:tc>
      </w:tr>
      <w:tr>
        <w:trPr>
          <w:trHeight w:val="213"/>
        </w:trPr>
        <w:tc>
          <w:tcPr>
            <w:tcW w:w="9200" w:type="dxa"/>
            <w:vAlign w:val="bottom"/>
            <w:tcBorders>
              <w:bottom w:val="single" w:sz="8" w:color="DCE2EF"/>
            </w:tcBorders>
          </w:tcPr>
          <w:p>
            <w:pPr>
              <w:ind w:left="140"/>
              <w:spacing w:after="0"/>
              <w:rPr>
                <w:sz w:val="20"/>
                <w:szCs w:val="20"/>
                <w:color w:val="auto"/>
              </w:rPr>
            </w:pPr>
            <w:r>
              <w:rPr>
                <w:rFonts w:ascii="Arial" w:cs="Arial" w:eastAsia="Arial" w:hAnsi="Arial"/>
                <w:sz w:val="16"/>
                <w:szCs w:val="16"/>
                <w:color w:val="auto"/>
              </w:rPr>
              <w:t>Repayment of loans from shareholder</w:t>
            </w:r>
          </w:p>
        </w:tc>
        <w:tc>
          <w:tcPr>
            <w:tcW w:w="7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(11,222)</w:t>
            </w:r>
          </w:p>
        </w:tc>
        <w:tc>
          <w:tcPr>
            <w:tcW w:w="0" w:type="dxa"/>
            <w:vAlign w:val="bottom"/>
          </w:tcPr>
          <w:p>
            <w:pPr>
              <w:spacing w:after="0"/>
              <w:rPr>
                <w:sz w:val="1"/>
                <w:szCs w:val="1"/>
                <w:color w:val="auto"/>
              </w:rPr>
            </w:pPr>
          </w:p>
        </w:tc>
      </w:tr>
      <w:tr>
        <w:trPr>
          <w:trHeight w:val="210"/>
        </w:trPr>
        <w:tc>
          <w:tcPr>
            <w:tcW w:w="9200" w:type="dxa"/>
            <w:vAlign w:val="bottom"/>
            <w:shd w:val="clear" w:color="auto" w:fill="DCE2EF"/>
          </w:tcPr>
          <w:p>
            <w:pPr>
              <w:ind w:left="20"/>
              <w:spacing w:after="0"/>
              <w:rPr>
                <w:sz w:val="20"/>
                <w:szCs w:val="20"/>
                <w:color w:val="auto"/>
              </w:rPr>
            </w:pPr>
            <w:r>
              <w:rPr>
                <w:rFonts w:ascii="Arial" w:cs="Arial" w:eastAsia="Arial" w:hAnsi="Arial"/>
                <w:sz w:val="16"/>
                <w:szCs w:val="16"/>
                <w:color w:val="auto"/>
              </w:rPr>
              <w:t>Net cash used in financing activities</w:t>
            </w:r>
          </w:p>
        </w:tc>
        <w:tc>
          <w:tcPr>
            <w:tcW w:w="780" w:type="dxa"/>
            <w:vAlign w:val="bottom"/>
            <w:tcBorders>
              <w:bottom w:val="single" w:sz="8" w:color="auto"/>
            </w:tcBorders>
            <w:shd w:val="clear" w:color="auto" w:fill="DCE2EF"/>
          </w:tcPr>
          <w:p>
            <w:pPr>
              <w:spacing w:after="0"/>
              <w:rPr>
                <w:sz w:val="18"/>
                <w:szCs w:val="18"/>
                <w:color w:val="auto"/>
              </w:rPr>
            </w:pPr>
          </w:p>
        </w:tc>
        <w:tc>
          <w:tcPr>
            <w:tcW w:w="12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(46,230)</w:t>
            </w:r>
          </w:p>
        </w:tc>
        <w:tc>
          <w:tcPr>
            <w:tcW w:w="0" w:type="dxa"/>
            <w:vAlign w:val="bottom"/>
          </w:tcPr>
          <w:p>
            <w:pPr>
              <w:spacing w:after="0"/>
              <w:rPr>
                <w:sz w:val="1"/>
                <w:szCs w:val="1"/>
                <w:color w:val="auto"/>
              </w:rPr>
            </w:pPr>
          </w:p>
        </w:tc>
      </w:tr>
      <w:tr>
        <w:trPr>
          <w:trHeight w:val="199"/>
        </w:trPr>
        <w:tc>
          <w:tcPr>
            <w:tcW w:w="9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DCE2EF"/>
          </w:tcPr>
          <w:p>
            <w:pPr>
              <w:ind w:left="20"/>
              <w:spacing w:after="0"/>
              <w:rPr>
                <w:sz w:val="20"/>
                <w:szCs w:val="20"/>
                <w:color w:val="auto"/>
              </w:rPr>
            </w:pPr>
            <w:r>
              <w:rPr>
                <w:rFonts w:ascii="Arial" w:cs="Arial" w:eastAsia="Arial" w:hAnsi="Arial"/>
                <w:sz w:val="16"/>
                <w:szCs w:val="16"/>
                <w:color w:val="auto"/>
              </w:rPr>
              <w:t>Net decrease in cash and restricted cash</w:t>
            </w:r>
          </w:p>
        </w:tc>
        <w:tc>
          <w:tcPr>
            <w:tcW w:w="780" w:type="dxa"/>
            <w:vAlign w:val="bottom"/>
            <w:shd w:val="clear" w:color="auto" w:fill="DCE2EF"/>
          </w:tcPr>
          <w:p>
            <w:pPr>
              <w:spacing w:after="0"/>
              <w:rPr>
                <w:sz w:val="18"/>
                <w:szCs w:val="18"/>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(23,551)</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0" w:type="dxa"/>
            <w:vAlign w:val="bottom"/>
            <w:shd w:val="clear" w:color="auto" w:fill="DCE2EF"/>
          </w:tcPr>
          <w:p>
            <w:pPr>
              <w:ind w:left="20"/>
              <w:spacing w:after="0"/>
              <w:rPr>
                <w:sz w:val="20"/>
                <w:szCs w:val="20"/>
                <w:color w:val="auto"/>
              </w:rPr>
            </w:pPr>
            <w:r>
              <w:rPr>
                <w:rFonts w:ascii="Arial" w:cs="Arial" w:eastAsia="Arial" w:hAnsi="Arial"/>
                <w:sz w:val="16"/>
                <w:szCs w:val="16"/>
                <w:color w:val="auto"/>
              </w:rPr>
              <w:t>Cash and restricted cash, beginning of period</w:t>
            </w:r>
          </w:p>
        </w:tc>
        <w:tc>
          <w:tcPr>
            <w:tcW w:w="780" w:type="dxa"/>
            <w:vAlign w:val="bottom"/>
            <w:tcBorders>
              <w:bottom w:val="single" w:sz="8" w:color="auto"/>
            </w:tcBorders>
            <w:shd w:val="clear" w:color="auto" w:fill="DCE2EF"/>
          </w:tcPr>
          <w:p>
            <w:pPr>
              <w:spacing w:after="0"/>
              <w:rPr>
                <w:sz w:val="18"/>
                <w:szCs w:val="18"/>
                <w:color w:val="auto"/>
              </w:rPr>
            </w:pPr>
          </w:p>
        </w:tc>
        <w:tc>
          <w:tcPr>
            <w:tcW w:w="12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133,668</w:t>
            </w:r>
          </w:p>
        </w:tc>
        <w:tc>
          <w:tcPr>
            <w:tcW w:w="0" w:type="dxa"/>
            <w:vAlign w:val="bottom"/>
          </w:tcPr>
          <w:p>
            <w:pPr>
              <w:spacing w:after="0"/>
              <w:rPr>
                <w:sz w:val="1"/>
                <w:szCs w:val="1"/>
                <w:color w:val="auto"/>
              </w:rPr>
            </w:pPr>
          </w:p>
        </w:tc>
      </w:tr>
      <w:tr>
        <w:trPr>
          <w:trHeight w:val="199"/>
        </w:trPr>
        <w:tc>
          <w:tcPr>
            <w:tcW w:w="9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9200" w:type="dxa"/>
            <w:vAlign w:val="bottom"/>
            <w:tcBorders>
              <w:bottom w:val="single" w:sz="8" w:color="DCE2EF"/>
            </w:tcBorders>
            <w:shd w:val="clear" w:color="auto" w:fill="DCE2EF"/>
          </w:tcPr>
          <w:p>
            <w:pPr>
              <w:ind w:left="20"/>
              <w:spacing w:after="0"/>
              <w:rPr>
                <w:sz w:val="20"/>
                <w:szCs w:val="20"/>
                <w:color w:val="auto"/>
              </w:rPr>
            </w:pPr>
            <w:r>
              <w:rPr>
                <w:rFonts w:ascii="Arial" w:cs="Arial" w:eastAsia="Arial" w:hAnsi="Arial"/>
                <w:sz w:val="16"/>
                <w:szCs w:val="16"/>
                <w:color w:val="auto"/>
              </w:rPr>
              <w:t>Cash and restricted cash, end of period</w:t>
            </w:r>
          </w:p>
        </w:tc>
        <w:tc>
          <w:tcPr>
            <w:tcW w:w="780" w:type="dxa"/>
            <w:vAlign w:val="bottom"/>
            <w:tcBorders>
              <w:bottom w:val="single" w:sz="8" w:color="auto"/>
            </w:tcBorders>
            <w:shd w:val="clear" w:color="auto" w:fill="DCE2EF"/>
          </w:tcPr>
          <w:p>
            <w:pPr>
              <w:jc w:val="right"/>
              <w:ind w:right="5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110,117</w:t>
            </w:r>
          </w:p>
        </w:tc>
        <w:tc>
          <w:tcPr>
            <w:tcW w:w="0" w:type="dxa"/>
            <w:vAlign w:val="bottom"/>
          </w:tcPr>
          <w:p>
            <w:pPr>
              <w:spacing w:after="0"/>
              <w:rPr>
                <w:sz w:val="1"/>
                <w:szCs w:val="1"/>
                <w:color w:val="auto"/>
              </w:rPr>
            </w:pPr>
          </w:p>
        </w:tc>
      </w:tr>
      <w:tr>
        <w:trPr>
          <w:trHeight w:val="20"/>
        </w:trPr>
        <w:tc>
          <w:tcPr>
            <w:tcW w:w="9200" w:type="dxa"/>
            <w:vAlign w:val="bottom"/>
            <w:tcBorders>
              <w:top w:val="single" w:sz="8" w:color="DCE2EF"/>
            </w:tcBorders>
          </w:tcPr>
          <w:p>
            <w:pPr>
              <w:spacing w:after="0" w:line="20" w:lineRule="exact"/>
              <w:rPr>
                <w:sz w:val="1"/>
                <w:szCs w:val="1"/>
                <w:color w:val="auto"/>
              </w:rPr>
            </w:pPr>
          </w:p>
        </w:tc>
        <w:tc>
          <w:tcPr>
            <w:tcW w:w="780" w:type="dxa"/>
            <w:vAlign w:val="bottom"/>
            <w:tcBorders>
              <w:top w:val="single" w:sz="8" w:color="DCE2EF"/>
              <w:bottom w:val="single" w:sz="8" w:color="auto"/>
            </w:tcBorders>
          </w:tcPr>
          <w:p>
            <w:pPr>
              <w:spacing w:after="0" w:line="20" w:lineRule="exact"/>
              <w:rPr>
                <w:sz w:val="1"/>
                <w:szCs w:val="1"/>
                <w:color w:val="auto"/>
              </w:rPr>
            </w:pPr>
          </w:p>
        </w:tc>
        <w:tc>
          <w:tcPr>
            <w:tcW w:w="126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DCE2EF"/>
          </w:tcPr>
          <w:p>
            <w:pPr>
              <w:ind w:left="20"/>
              <w:spacing w:after="0"/>
              <w:rPr>
                <w:sz w:val="20"/>
                <w:szCs w:val="20"/>
                <w:color w:val="auto"/>
              </w:rPr>
            </w:pPr>
            <w:r>
              <w:rPr>
                <w:rFonts w:ascii="Arial" w:cs="Arial" w:eastAsia="Arial" w:hAnsi="Arial"/>
                <w:sz w:val="16"/>
                <w:szCs w:val="16"/>
                <w:color w:val="auto"/>
              </w:rPr>
              <w:t>Cash and restricted cash consisted of the following:</w:t>
            </w:r>
          </w:p>
        </w:tc>
        <w:tc>
          <w:tcPr>
            <w:tcW w:w="780" w:type="dxa"/>
            <w:vAlign w:val="bottom"/>
            <w:shd w:val="clear" w:color="auto" w:fill="DCE2EF"/>
          </w:tcPr>
          <w:p>
            <w:pPr>
              <w:spacing w:after="0"/>
              <w:rPr>
                <w:sz w:val="18"/>
                <w:szCs w:val="18"/>
                <w:color w:val="auto"/>
              </w:rPr>
            </w:pPr>
          </w:p>
        </w:tc>
        <w:tc>
          <w:tcPr>
            <w:tcW w:w="1260" w:type="dxa"/>
            <w:vAlign w:val="bottom"/>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0" w:type="dxa"/>
            <w:vAlign w:val="bottom"/>
          </w:tcPr>
          <w:p>
            <w:pPr>
              <w:ind w:left="140"/>
              <w:spacing w:after="0"/>
              <w:rPr>
                <w:sz w:val="20"/>
                <w:szCs w:val="20"/>
                <w:color w:val="auto"/>
              </w:rPr>
            </w:pPr>
            <w:r>
              <w:rPr>
                <w:rFonts w:ascii="Arial" w:cs="Arial" w:eastAsia="Arial" w:hAnsi="Arial"/>
                <w:sz w:val="16"/>
                <w:szCs w:val="16"/>
                <w:color w:val="auto"/>
              </w:rPr>
              <w:t>Cash</w:t>
            </w: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104,531</w:t>
            </w:r>
          </w:p>
        </w:tc>
        <w:tc>
          <w:tcPr>
            <w:tcW w:w="0" w:type="dxa"/>
            <w:vAlign w:val="bottom"/>
          </w:tcPr>
          <w:p>
            <w:pPr>
              <w:spacing w:after="0"/>
              <w:rPr>
                <w:sz w:val="1"/>
                <w:szCs w:val="1"/>
                <w:color w:val="auto"/>
              </w:rPr>
            </w:pPr>
          </w:p>
        </w:tc>
      </w:tr>
      <w:tr>
        <w:trPr>
          <w:trHeight w:val="216"/>
        </w:trPr>
        <w:tc>
          <w:tcPr>
            <w:tcW w:w="9200" w:type="dxa"/>
            <w:vAlign w:val="bottom"/>
            <w:shd w:val="clear" w:color="auto" w:fill="DCE2EF"/>
          </w:tcPr>
          <w:p>
            <w:pPr>
              <w:ind w:left="140"/>
              <w:spacing w:after="0"/>
              <w:rPr>
                <w:sz w:val="20"/>
                <w:szCs w:val="20"/>
                <w:color w:val="auto"/>
              </w:rPr>
            </w:pPr>
            <w:r>
              <w:rPr>
                <w:rFonts w:ascii="Arial" w:cs="Arial" w:eastAsia="Arial" w:hAnsi="Arial"/>
                <w:sz w:val="16"/>
                <w:szCs w:val="16"/>
                <w:color w:val="auto"/>
              </w:rPr>
              <w:t>Restricted cash</w:t>
            </w:r>
          </w:p>
        </w:tc>
        <w:tc>
          <w:tcPr>
            <w:tcW w:w="780" w:type="dxa"/>
            <w:vAlign w:val="bottom"/>
            <w:tcBorders>
              <w:bottom w:val="single" w:sz="8" w:color="auto"/>
            </w:tcBorders>
            <w:shd w:val="clear" w:color="auto" w:fill="DCE2EF"/>
          </w:tcPr>
          <w:p>
            <w:pPr>
              <w:spacing w:after="0"/>
              <w:rPr>
                <w:sz w:val="18"/>
                <w:szCs w:val="18"/>
                <w:color w:val="auto"/>
              </w:rPr>
            </w:pPr>
          </w:p>
        </w:tc>
        <w:tc>
          <w:tcPr>
            <w:tcW w:w="12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5,586</w:t>
            </w:r>
          </w:p>
        </w:tc>
        <w:tc>
          <w:tcPr>
            <w:tcW w:w="0" w:type="dxa"/>
            <w:vAlign w:val="bottom"/>
          </w:tcPr>
          <w:p>
            <w:pPr>
              <w:spacing w:after="0"/>
              <w:rPr>
                <w:sz w:val="1"/>
                <w:szCs w:val="1"/>
                <w:color w:val="auto"/>
              </w:rPr>
            </w:pPr>
          </w:p>
        </w:tc>
      </w:tr>
      <w:tr>
        <w:trPr>
          <w:trHeight w:val="206"/>
        </w:trPr>
        <w:tc>
          <w:tcPr>
            <w:tcW w:w="9200" w:type="dxa"/>
            <w:vAlign w:val="bottom"/>
          </w:tcPr>
          <w:p>
            <w:pPr>
              <w:spacing w:after="0"/>
              <w:rPr>
                <w:sz w:val="17"/>
                <w:szCs w:val="17"/>
                <w:color w:val="auto"/>
              </w:rPr>
            </w:pP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110,117</w:t>
            </w:r>
          </w:p>
        </w:tc>
        <w:tc>
          <w:tcPr>
            <w:tcW w:w="0" w:type="dxa"/>
            <w:vAlign w:val="bottom"/>
          </w:tcPr>
          <w:p>
            <w:pPr>
              <w:spacing w:after="0"/>
              <w:rPr>
                <w:sz w:val="1"/>
                <w:szCs w:val="1"/>
                <w:color w:val="auto"/>
              </w:rPr>
            </w:pPr>
          </w:p>
        </w:tc>
      </w:tr>
      <w:tr>
        <w:trPr>
          <w:trHeight w:val="27"/>
        </w:trPr>
        <w:tc>
          <w:tcPr>
            <w:tcW w:w="9200" w:type="dxa"/>
            <w:vAlign w:val="bottom"/>
            <w:vMerge w:val="restart"/>
          </w:tcPr>
          <w:p>
            <w:pPr>
              <w:jc w:val="center"/>
              <w:ind w:left="1978"/>
              <w:spacing w:after="0"/>
              <w:rPr>
                <w:sz w:val="20"/>
                <w:szCs w:val="20"/>
                <w:color w:val="auto"/>
              </w:rPr>
            </w:pPr>
            <w:r>
              <w:rPr>
                <w:rFonts w:ascii="Arial" w:cs="Arial" w:eastAsia="Arial" w:hAnsi="Arial"/>
                <w:sz w:val="16"/>
                <w:szCs w:val="16"/>
                <w:color w:val="auto"/>
                <w:w w:val="92"/>
              </w:rPr>
              <w:t>Supplemental disclosures of cash flow information</w:t>
            </w: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11"/>
        </w:trPr>
        <w:tc>
          <w:tcPr>
            <w:tcW w:w="92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9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DCE2EF"/>
          </w:tcPr>
          <w:p>
            <w:pPr>
              <w:ind w:left="20"/>
              <w:spacing w:after="0"/>
              <w:rPr>
                <w:sz w:val="20"/>
                <w:szCs w:val="20"/>
                <w:color w:val="auto"/>
              </w:rPr>
            </w:pPr>
            <w:r>
              <w:rPr>
                <w:rFonts w:ascii="Arial" w:cs="Arial" w:eastAsia="Arial" w:hAnsi="Arial"/>
                <w:sz w:val="16"/>
                <w:szCs w:val="16"/>
                <w:color w:val="auto"/>
              </w:rPr>
              <w:t>Cash paid during the six month period for</w:t>
            </w:r>
          </w:p>
        </w:tc>
        <w:tc>
          <w:tcPr>
            <w:tcW w:w="780" w:type="dxa"/>
            <w:vAlign w:val="bottom"/>
            <w:shd w:val="clear" w:color="auto" w:fill="DCE2EF"/>
          </w:tcPr>
          <w:p>
            <w:pPr>
              <w:spacing w:after="0"/>
              <w:rPr>
                <w:sz w:val="18"/>
                <w:szCs w:val="18"/>
                <w:color w:val="auto"/>
              </w:rPr>
            </w:pPr>
          </w:p>
        </w:tc>
        <w:tc>
          <w:tcPr>
            <w:tcW w:w="1260" w:type="dxa"/>
            <w:vAlign w:val="bottom"/>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00" w:type="dxa"/>
            <w:vAlign w:val="bottom"/>
          </w:tcPr>
          <w:p>
            <w:pPr>
              <w:ind w:left="140"/>
              <w:spacing w:after="0"/>
              <w:rPr>
                <w:sz w:val="20"/>
                <w:szCs w:val="20"/>
                <w:color w:val="auto"/>
              </w:rPr>
            </w:pPr>
            <w:r>
              <w:rPr>
                <w:rFonts w:ascii="Arial" w:cs="Arial" w:eastAsia="Arial" w:hAnsi="Arial"/>
                <w:sz w:val="16"/>
                <w:szCs w:val="16"/>
                <w:color w:val="auto"/>
              </w:rPr>
              <w:t>Income taxes</w:t>
            </w: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1,741</w:t>
            </w:r>
          </w:p>
        </w:tc>
        <w:tc>
          <w:tcPr>
            <w:tcW w:w="0" w:type="dxa"/>
            <w:vAlign w:val="bottom"/>
          </w:tcPr>
          <w:p>
            <w:pPr>
              <w:spacing w:after="0"/>
              <w:rPr>
                <w:sz w:val="1"/>
                <w:szCs w:val="1"/>
                <w:color w:val="auto"/>
              </w:rPr>
            </w:pPr>
          </w:p>
        </w:tc>
      </w:tr>
      <w:tr>
        <w:trPr>
          <w:trHeight w:val="219"/>
        </w:trPr>
        <w:tc>
          <w:tcPr>
            <w:tcW w:w="9200" w:type="dxa"/>
            <w:vAlign w:val="bottom"/>
            <w:shd w:val="clear" w:color="auto" w:fill="DCE2EF"/>
          </w:tcPr>
          <w:p>
            <w:pPr>
              <w:ind w:left="140"/>
              <w:spacing w:after="0"/>
              <w:rPr>
                <w:sz w:val="20"/>
                <w:szCs w:val="20"/>
                <w:color w:val="auto"/>
              </w:rPr>
            </w:pPr>
            <w:r>
              <w:rPr>
                <w:rFonts w:ascii="Arial" w:cs="Arial" w:eastAsia="Arial" w:hAnsi="Arial"/>
                <w:sz w:val="16"/>
                <w:szCs w:val="16"/>
                <w:color w:val="auto"/>
              </w:rPr>
              <w:t>Interest</w:t>
            </w:r>
          </w:p>
        </w:tc>
        <w:tc>
          <w:tcPr>
            <w:tcW w:w="780" w:type="dxa"/>
            <w:vAlign w:val="bottom"/>
            <w:shd w:val="clear" w:color="auto" w:fill="DCE2EF"/>
          </w:tcPr>
          <w:p>
            <w:pPr>
              <w:jc w:val="right"/>
              <w:ind w:right="5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101010"/>
        </w:rPr>
        <w:t>See accompanying notes and independent accountant's review report.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Crown Building Maintenance Co. and Crown Energy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dba Able Services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Combined Financial Statements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June 30, 2021</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thousands)</w:t>
      </w:r>
    </w:p>
    <w:p>
      <w:pPr>
        <w:spacing w:after="0" w:line="238"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NATURE OF OPERATIONS</w:t>
      </w:r>
    </w:p>
    <w:p>
      <w:pPr>
        <w:spacing w:after="0" w:line="252"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Able Services is comprised of Crown Building Maintenance Co. dba Able Building Maintenance Co. ("BM") and Crown Energy Services, Inc. dba Able Engineering Services ("AES") collectively, the ("Company").</w:t>
      </w:r>
    </w:p>
    <w:p>
      <w:pPr>
        <w:spacing w:after="0" w:line="197" w:lineRule="exact"/>
        <w:rPr>
          <w:rFonts w:ascii="Arial" w:cs="Arial" w:eastAsia="Arial" w:hAnsi="Arial"/>
          <w:sz w:val="18"/>
          <w:szCs w:val="18"/>
          <w:color w:val="auto"/>
        </w:rPr>
      </w:pPr>
    </w:p>
    <w:p>
      <w:pPr>
        <w:ind w:left="340" w:right="20"/>
        <w:spacing w:after="0" w:line="277" w:lineRule="auto"/>
        <w:rPr>
          <w:rFonts w:ascii="Arial" w:cs="Arial" w:eastAsia="Arial" w:hAnsi="Arial"/>
          <w:sz w:val="18"/>
          <w:szCs w:val="18"/>
          <w:color w:val="auto"/>
        </w:rPr>
      </w:pPr>
      <w:r>
        <w:rPr>
          <w:rFonts w:ascii="Arial" w:cs="Arial" w:eastAsia="Arial" w:hAnsi="Arial"/>
          <w:sz w:val="18"/>
          <w:szCs w:val="18"/>
          <w:color w:val="auto"/>
        </w:rPr>
        <w:t>BM is engaged primarily in the business of providing janitorial services in California, Texas, Illinois, Oregon, New York and various other states to commercial and residential clients.</w:t>
      </w:r>
    </w:p>
    <w:p>
      <w:pPr>
        <w:spacing w:after="0" w:line="197" w:lineRule="exact"/>
        <w:rPr>
          <w:rFonts w:ascii="Arial" w:cs="Arial" w:eastAsia="Arial" w:hAnsi="Arial"/>
          <w:sz w:val="18"/>
          <w:szCs w:val="18"/>
          <w:color w:val="auto"/>
        </w:rPr>
      </w:pPr>
    </w:p>
    <w:p>
      <w:pPr>
        <w:jc w:val="both"/>
        <w:ind w:left="340"/>
        <w:spacing w:after="0" w:line="286" w:lineRule="auto"/>
        <w:rPr>
          <w:rFonts w:ascii="Arial" w:cs="Arial" w:eastAsia="Arial" w:hAnsi="Arial"/>
          <w:sz w:val="18"/>
          <w:szCs w:val="18"/>
          <w:color w:val="auto"/>
        </w:rPr>
      </w:pPr>
      <w:r>
        <w:rPr>
          <w:rFonts w:ascii="Arial" w:cs="Arial" w:eastAsia="Arial" w:hAnsi="Arial"/>
          <w:sz w:val="17"/>
          <w:szCs w:val="17"/>
          <w:color w:val="auto"/>
        </w:rPr>
        <w:t>AES provides engineers and technical support to maintain a commercial building's mechanical, electrical, utility systems and equipment. AES' primary objective is to achieve maximum operational efficiency while balancing the need for environmental comfort, cost effectiveness, convenience and safety. AES presently provides services in California, Texas, Illinois, Oregon, New York and various other states.</w:t>
      </w:r>
    </w:p>
    <w:p>
      <w:pPr>
        <w:spacing w:after="0" w:line="192" w:lineRule="exact"/>
        <w:rPr>
          <w:rFonts w:ascii="Arial" w:cs="Arial" w:eastAsia="Arial" w:hAnsi="Arial"/>
          <w:sz w:val="18"/>
          <w:szCs w:val="18"/>
          <w:color w:val="auto"/>
        </w:rPr>
      </w:pPr>
    </w:p>
    <w:p>
      <w:pPr>
        <w:jc w:val="both"/>
        <w:ind w:left="340"/>
        <w:spacing w:after="0" w:line="263" w:lineRule="auto"/>
        <w:rPr>
          <w:rFonts w:ascii="Arial" w:cs="Arial" w:eastAsia="Arial" w:hAnsi="Arial"/>
          <w:sz w:val="18"/>
          <w:szCs w:val="18"/>
          <w:color w:val="auto"/>
        </w:rPr>
      </w:pPr>
      <w:r>
        <w:rPr>
          <w:rFonts w:ascii="Arial" w:cs="Arial" w:eastAsia="Arial" w:hAnsi="Arial"/>
          <w:sz w:val="18"/>
          <w:szCs w:val="18"/>
          <w:color w:val="auto"/>
        </w:rPr>
        <w:t>During 2014, AES and BM each acquired 250,000 shares of common stock of AbleServe Management Company ("AbleServe") representing an ownership interest of 50% for each entity. AbleServe provides management, administrative, and operational services for BM and AES. All significant intercompany balances and transactions have been eliminated.</w:t>
      </w:r>
    </w:p>
    <w:p>
      <w:pPr>
        <w:spacing w:after="0" w:line="210" w:lineRule="exact"/>
        <w:rPr>
          <w:rFonts w:ascii="Arial" w:cs="Arial" w:eastAsia="Arial" w:hAnsi="Arial"/>
          <w:sz w:val="18"/>
          <w:szCs w:val="18"/>
          <w:color w:val="auto"/>
        </w:rPr>
      </w:pPr>
    </w:p>
    <w:p>
      <w:pPr>
        <w:ind w:left="340" w:right="6460" w:hanging="332"/>
        <w:spacing w:after="0" w:line="532"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SUMMARY OF SIGNIFICANT ACCOUNTING POLICIES </w:t>
      </w:r>
      <w:r>
        <w:rPr>
          <w:rFonts w:ascii="Arial" w:cs="Arial" w:eastAsia="Arial" w:hAnsi="Arial"/>
          <w:sz w:val="18"/>
          <w:szCs w:val="18"/>
          <w:u w:val="single" w:color="auto"/>
          <w:color w:val="auto"/>
        </w:rPr>
        <w:t>Basis of combination and presentation</w:t>
      </w: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The combined financial statements include the combined accounts of BM and AES which are under common ownership. All significant intercompany balances and transactions have been eliminated.</w:t>
      </w:r>
    </w:p>
    <w:p>
      <w:pPr>
        <w:spacing w:after="0" w:line="19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u w:val="single" w:color="auto"/>
          <w:color w:val="auto"/>
        </w:rPr>
        <w:t>Use of estimates</w:t>
      </w:r>
    </w:p>
    <w:p>
      <w:pPr>
        <w:spacing w:after="0" w:line="252" w:lineRule="exact"/>
        <w:rPr>
          <w:rFonts w:ascii="Arial" w:cs="Arial" w:eastAsia="Arial" w:hAnsi="Arial"/>
          <w:sz w:val="18"/>
          <w:szCs w:val="18"/>
          <w:color w:val="auto"/>
        </w:rPr>
      </w:pPr>
    </w:p>
    <w:p>
      <w:pPr>
        <w:jc w:val="both"/>
        <w:ind w:left="340"/>
        <w:spacing w:after="0" w:line="311" w:lineRule="auto"/>
        <w:rPr>
          <w:rFonts w:ascii="Arial" w:cs="Arial" w:eastAsia="Arial" w:hAnsi="Arial"/>
          <w:sz w:val="18"/>
          <w:szCs w:val="18"/>
          <w:color w:val="auto"/>
        </w:rPr>
      </w:pPr>
      <w:r>
        <w:rPr>
          <w:rFonts w:ascii="Arial" w:cs="Arial" w:eastAsia="Arial" w:hAnsi="Arial"/>
          <w:sz w:val="16"/>
          <w:szCs w:val="16"/>
          <w:color w:val="auto"/>
        </w:rPr>
        <w:t>The preparation of combined financial statements in conformity with US. GAAP requires management to make estimates and assumptions that affect certain reported amounts of assets and liabilities and disclosure of contingent assets and liabilities at the date of the combined financial statements and the reported amounts of revenues and expenses during the reporting period. Accordingly, actual results could materially differ from those estimates.</w:t>
      </w:r>
    </w:p>
    <w:p>
      <w:pPr>
        <w:spacing w:after="0" w:line="17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u w:val="single" w:color="auto"/>
          <w:color w:val="auto"/>
        </w:rPr>
        <w:t>Concentration of credit risk</w:t>
      </w:r>
    </w:p>
    <w:p>
      <w:pPr>
        <w:spacing w:after="0" w:line="252" w:lineRule="exact"/>
        <w:rPr>
          <w:rFonts w:ascii="Arial" w:cs="Arial" w:eastAsia="Arial" w:hAnsi="Arial"/>
          <w:sz w:val="18"/>
          <w:szCs w:val="18"/>
          <w:color w:val="auto"/>
        </w:rPr>
      </w:pPr>
    </w:p>
    <w:p>
      <w:pPr>
        <w:jc w:val="both"/>
        <w:ind w:left="340"/>
        <w:spacing w:after="0" w:line="263" w:lineRule="auto"/>
        <w:rPr>
          <w:rFonts w:ascii="Arial" w:cs="Arial" w:eastAsia="Arial" w:hAnsi="Arial"/>
          <w:sz w:val="18"/>
          <w:szCs w:val="18"/>
          <w:color w:val="auto"/>
        </w:rPr>
      </w:pPr>
      <w:r>
        <w:rPr>
          <w:rFonts w:ascii="Arial" w:cs="Arial" w:eastAsia="Arial" w:hAnsi="Arial"/>
          <w:sz w:val="18"/>
          <w:szCs w:val="18"/>
          <w:color w:val="auto"/>
        </w:rPr>
        <w:t>The Company maintains cash balances primarily in one financial institution in Northern California. Accounts at this institution are insured by the Federal Deposit Insurance Corporation up to $250,000. At June 30, 2021, cash on deposit reported by the financial institutions exceeded the 2021 federally insured amount.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Crown Building Maintenance Co. and Crown Energy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dba Able Services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Combined Financial Statements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June 30, 2021</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thousands)</w:t>
      </w:r>
    </w:p>
    <w:p>
      <w:pPr>
        <w:spacing w:after="0" w:line="238" w:lineRule="exact"/>
        <w:rPr>
          <w:sz w:val="20"/>
          <w:szCs w:val="20"/>
          <w:color w:val="auto"/>
        </w:rPr>
      </w:pPr>
    </w:p>
    <w:p>
      <w:pPr>
        <w:ind w:left="340" w:right="5600" w:hanging="332"/>
        <w:spacing w:after="0" w:line="532"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SUMMARY OF SIGNIFICANT ACCOUNTING POLICIES (continued) </w:t>
      </w:r>
      <w:r>
        <w:rPr>
          <w:rFonts w:ascii="Arial" w:cs="Arial" w:eastAsia="Arial" w:hAnsi="Arial"/>
          <w:sz w:val="18"/>
          <w:szCs w:val="18"/>
          <w:u w:val="single" w:color="auto"/>
          <w:color w:val="auto"/>
        </w:rPr>
        <w:t>Concentration of credit risk (continued)</w:t>
      </w:r>
    </w:p>
    <w:p>
      <w:pPr>
        <w:jc w:val="both"/>
        <w:ind w:left="340"/>
        <w:spacing w:after="0" w:line="286" w:lineRule="auto"/>
        <w:rPr>
          <w:rFonts w:ascii="Arial" w:cs="Arial" w:eastAsia="Arial" w:hAnsi="Arial"/>
          <w:sz w:val="18"/>
          <w:szCs w:val="18"/>
          <w:color w:val="auto"/>
        </w:rPr>
      </w:pPr>
      <w:r>
        <w:rPr>
          <w:rFonts w:ascii="Arial" w:cs="Arial" w:eastAsia="Arial" w:hAnsi="Arial"/>
          <w:sz w:val="17"/>
          <w:szCs w:val="17"/>
          <w:color w:val="auto"/>
        </w:rPr>
        <w:t>Financial instruments that potentially subject the Company to concentrations of credit risk consist principally of trade accounts receivable. Credit risk is limited due to the large customer base, the credit worthiness of the customers, and the strength of the companies. Management uses direct write off procedures for bad debts and believes that minimal exposure exists for losses from credit risks.</w:t>
      </w:r>
    </w:p>
    <w:p>
      <w:pPr>
        <w:spacing w:after="0" w:line="19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u w:val="single" w:color="auto"/>
          <w:color w:val="auto"/>
        </w:rPr>
        <w:t>Cash and cash equivalents</w:t>
      </w:r>
    </w:p>
    <w:p>
      <w:pPr>
        <w:spacing w:after="0" w:line="252" w:lineRule="exact"/>
        <w:rPr>
          <w:rFonts w:ascii="Arial" w:cs="Arial" w:eastAsia="Arial" w:hAnsi="Arial"/>
          <w:sz w:val="18"/>
          <w:szCs w:val="18"/>
          <w:color w:val="auto"/>
        </w:rPr>
      </w:pPr>
    </w:p>
    <w:p>
      <w:pPr>
        <w:jc w:val="both"/>
        <w:ind w:left="340"/>
        <w:spacing w:after="0" w:line="263" w:lineRule="auto"/>
        <w:rPr>
          <w:rFonts w:ascii="Arial" w:cs="Arial" w:eastAsia="Arial" w:hAnsi="Arial"/>
          <w:sz w:val="18"/>
          <w:szCs w:val="18"/>
          <w:color w:val="auto"/>
        </w:rPr>
      </w:pPr>
      <w:r>
        <w:rPr>
          <w:rFonts w:ascii="Arial" w:cs="Arial" w:eastAsia="Arial" w:hAnsi="Arial"/>
          <w:sz w:val="18"/>
          <w:szCs w:val="18"/>
          <w:color w:val="auto"/>
        </w:rPr>
        <w:t>The Company considers short-term highly liquid-investments with an original maturity of three months or less to be cash equivalents. Cash and cash equivalents consist primarily of checking and short—term investments. The Company places its cash and temporary cash investments with high credit quality institutions. As of June 30, 2021, the Company only held cash.</w:t>
      </w:r>
    </w:p>
    <w:p>
      <w:pPr>
        <w:spacing w:after="0" w:line="21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u w:val="single" w:color="auto"/>
          <w:color w:val="auto"/>
        </w:rPr>
        <w:t>Restricted cash</w:t>
      </w:r>
    </w:p>
    <w:p>
      <w:pPr>
        <w:spacing w:after="0" w:line="252"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The Company had $5,586 of restricted cash at June 30, 2021, respectively. The restricted cash balances are being held by the Company's insurance carrier to meet the current obligations of the workers' compensation loss reserve fund.</w:t>
      </w:r>
    </w:p>
    <w:p>
      <w:pPr>
        <w:spacing w:after="0" w:line="19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u w:val="single" w:color="auto"/>
          <w:color w:val="auto"/>
        </w:rPr>
        <w:t>Allowance for doubtful accounts</w:t>
      </w:r>
    </w:p>
    <w:p>
      <w:pPr>
        <w:spacing w:after="0" w:line="252" w:lineRule="exact"/>
        <w:rPr>
          <w:rFonts w:ascii="Arial" w:cs="Arial" w:eastAsia="Arial" w:hAnsi="Arial"/>
          <w:sz w:val="18"/>
          <w:szCs w:val="18"/>
          <w:color w:val="auto"/>
        </w:rPr>
      </w:pPr>
    </w:p>
    <w:p>
      <w:pPr>
        <w:jc w:val="both"/>
        <w:ind w:left="340"/>
        <w:spacing w:after="0" w:line="291" w:lineRule="auto"/>
        <w:rPr>
          <w:rFonts w:ascii="Arial" w:cs="Arial" w:eastAsia="Arial" w:hAnsi="Arial"/>
          <w:sz w:val="18"/>
          <w:szCs w:val="18"/>
          <w:color w:val="auto"/>
        </w:rPr>
      </w:pPr>
      <w:r>
        <w:rPr>
          <w:rFonts w:ascii="Arial" w:cs="Arial" w:eastAsia="Arial" w:hAnsi="Arial"/>
          <w:sz w:val="16"/>
          <w:szCs w:val="16"/>
          <w:color w:val="auto"/>
        </w:rPr>
        <w:t>Accounts receivable are presented net of an allowance for doubtful accounts. The Company evaluates the collectability of its accounts receivable based on known collection risks and historical experience. In circumstances where the Company becomes aware of a specific customer's inability to meet its financial obligations to the Company, the Company records a specific allowance for bad debts against amounts due to reduce the net recognized receivable to the amount it reasonably believes will be collected. For all other customers, the Company records allowance for bad debts based on the length of time the receivables are past due and based on its historical experience. If circumstances change, such as higher than expected defaults or an unexpected material adverse change in a major customer's ability to meets its financial obligations, the Company's estimates of the recoverability of the amounts due could be reduced by a material amount. The allowance for doubtful accounts was $1,746 as of June 30, 2021.</w:t>
      </w:r>
    </w:p>
    <w:p>
      <w:pPr>
        <w:spacing w:after="0" w:line="19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u w:val="single" w:color="auto"/>
          <w:color w:val="auto"/>
        </w:rPr>
        <w:t>Goodwill</w:t>
      </w:r>
    </w:p>
    <w:p>
      <w:pPr>
        <w:spacing w:after="0" w:line="252" w:lineRule="exact"/>
        <w:rPr>
          <w:rFonts w:ascii="Arial" w:cs="Arial" w:eastAsia="Arial" w:hAnsi="Arial"/>
          <w:sz w:val="18"/>
          <w:szCs w:val="18"/>
          <w:color w:val="auto"/>
        </w:rPr>
      </w:pPr>
    </w:p>
    <w:p>
      <w:pPr>
        <w:jc w:val="both"/>
        <w:ind w:left="340"/>
        <w:spacing w:after="0" w:line="263" w:lineRule="auto"/>
        <w:rPr>
          <w:rFonts w:ascii="Arial" w:cs="Arial" w:eastAsia="Arial" w:hAnsi="Arial"/>
          <w:sz w:val="18"/>
          <w:szCs w:val="18"/>
          <w:color w:val="auto"/>
        </w:rPr>
      </w:pPr>
      <w:r>
        <w:rPr>
          <w:rFonts w:ascii="Arial" w:cs="Arial" w:eastAsia="Arial" w:hAnsi="Arial"/>
          <w:sz w:val="18"/>
          <w:szCs w:val="18"/>
          <w:color w:val="auto"/>
        </w:rPr>
        <w:t>Goodwill is the excess of the purchase price over the fair value of net assets acquired in business combinations accounted for under the purchase method. Goodwill relates to a 2014 acquisition. Goodwill would be subject to impairment testing only upon the occurrence of a triggering event. There were no triggering events and therefore no impairment for the six month period ended June 30, 2021.</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Crown Building Maintenance Co. and Crown Energy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dba Able Services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Combined Financial Statements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June 30, 2021</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thousands)</w:t>
      </w:r>
    </w:p>
    <w:p>
      <w:pPr>
        <w:spacing w:after="0" w:line="238" w:lineRule="exact"/>
        <w:rPr>
          <w:sz w:val="20"/>
          <w:szCs w:val="20"/>
          <w:color w:val="auto"/>
        </w:rPr>
      </w:pPr>
    </w:p>
    <w:p>
      <w:pPr>
        <w:ind w:left="340" w:right="5600" w:hanging="332"/>
        <w:spacing w:after="0" w:line="532"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SUMMARY OF SIGNIFICANT ACCOUNTING POLICIES (continued) </w:t>
      </w:r>
      <w:r>
        <w:rPr>
          <w:rFonts w:ascii="Arial" w:cs="Arial" w:eastAsia="Arial" w:hAnsi="Arial"/>
          <w:sz w:val="18"/>
          <w:szCs w:val="18"/>
          <w:u w:val="single" w:color="auto"/>
          <w:color w:val="auto"/>
        </w:rPr>
        <w:t>Intangible assets with estimable useful lives</w:t>
      </w:r>
    </w:p>
    <w:p>
      <w:pPr>
        <w:jc w:val="both"/>
        <w:ind w:left="340"/>
        <w:spacing w:after="0" w:line="259" w:lineRule="auto"/>
        <w:rPr>
          <w:rFonts w:ascii="Arial" w:cs="Arial" w:eastAsia="Arial" w:hAnsi="Arial"/>
          <w:sz w:val="18"/>
          <w:szCs w:val="18"/>
          <w:color w:val="auto"/>
        </w:rPr>
      </w:pPr>
      <w:r>
        <w:rPr>
          <w:rFonts w:ascii="Arial" w:cs="Arial" w:eastAsia="Arial" w:hAnsi="Arial"/>
          <w:sz w:val="18"/>
          <w:szCs w:val="18"/>
          <w:color w:val="auto"/>
        </w:rPr>
        <w:t>Generally accepted accounting principles in the United States of America ("US GAAP") require that intangible assets with finite lives be amortized over their estimated useful lives and reviewed for impairment when events or changes in circumstances indicate the carrying amount of an asset may not be recoverable. Intangible assets are comprised entirely of customer contracts and are amortized over 10 years. There were no events or changes in circumstances indicating impairment for the six month period ended June 30, 2021.</w:t>
      </w:r>
    </w:p>
    <w:p>
      <w:pPr>
        <w:spacing w:after="0" w:line="21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u w:val="single" w:color="auto"/>
          <w:color w:val="auto"/>
        </w:rPr>
        <w:t>Property and equipment</w:t>
      </w:r>
    </w:p>
    <w:p>
      <w:pPr>
        <w:spacing w:after="0" w:line="252" w:lineRule="exact"/>
        <w:rPr>
          <w:rFonts w:ascii="Arial" w:cs="Arial" w:eastAsia="Arial" w:hAnsi="Arial"/>
          <w:sz w:val="18"/>
          <w:szCs w:val="18"/>
          <w:color w:val="auto"/>
        </w:rPr>
      </w:pPr>
    </w:p>
    <w:p>
      <w:pPr>
        <w:jc w:val="both"/>
        <w:ind w:left="340"/>
        <w:spacing w:after="0" w:line="301" w:lineRule="auto"/>
        <w:rPr>
          <w:rFonts w:ascii="Arial" w:cs="Arial" w:eastAsia="Arial" w:hAnsi="Arial"/>
          <w:sz w:val="18"/>
          <w:szCs w:val="18"/>
          <w:color w:val="auto"/>
        </w:rPr>
      </w:pPr>
      <w:r>
        <w:rPr>
          <w:rFonts w:ascii="Arial" w:cs="Arial" w:eastAsia="Arial" w:hAnsi="Arial"/>
          <w:sz w:val="16"/>
          <w:szCs w:val="16"/>
          <w:color w:val="auto"/>
        </w:rPr>
        <w:t>Property and equipment are stated at cost, less accumulated depreciation and amortization. Depreciation is provided using the straight-line method over estimated useful lives of 5 to 39 years. Expenditures for maintenance and repairs are charged to expense as incurred; major replacements and improvements are capitalized. Cost and accumulated depreciation and amortization of assets sold or retired are removed from the respective property and equipment accounts, and the gain or loss, if any, is reflected in the combined statements of income and retained earnings.</w:t>
      </w:r>
    </w:p>
    <w:p>
      <w:pPr>
        <w:spacing w:after="0" w:line="184"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u w:val="single" w:color="auto"/>
          <w:color w:val="auto"/>
        </w:rPr>
        <w:t>Long-lived assets</w:t>
      </w:r>
    </w:p>
    <w:p>
      <w:pPr>
        <w:spacing w:after="0" w:line="252" w:lineRule="exact"/>
        <w:rPr>
          <w:rFonts w:ascii="Arial" w:cs="Arial" w:eastAsia="Arial" w:hAnsi="Arial"/>
          <w:sz w:val="18"/>
          <w:szCs w:val="18"/>
          <w:color w:val="auto"/>
        </w:rPr>
      </w:pPr>
    </w:p>
    <w:p>
      <w:pPr>
        <w:jc w:val="both"/>
        <w:ind w:left="340"/>
        <w:spacing w:after="0" w:line="257" w:lineRule="auto"/>
        <w:rPr>
          <w:rFonts w:ascii="Arial" w:cs="Arial" w:eastAsia="Arial" w:hAnsi="Arial"/>
          <w:sz w:val="18"/>
          <w:szCs w:val="18"/>
          <w:color w:val="auto"/>
        </w:rPr>
      </w:pPr>
      <w:r>
        <w:rPr>
          <w:rFonts w:ascii="Arial" w:cs="Arial" w:eastAsia="Arial" w:hAnsi="Arial"/>
          <w:sz w:val="18"/>
          <w:szCs w:val="18"/>
          <w:color w:val="auto"/>
        </w:rPr>
        <w:t>The Company evaluates the carrying value of long-lived assets, including intangible assets, on an annual basis, or more frequently if impairment indicators arise. When indicators of impairment exist and assets are held for use, the Company estimates future undiscounted cash flows attributable to such assets. In the event cash flows are not expected to be sufficient to recover the recorded value of the assets, the assets are written down to their estimated fair values based on the expected discounted future cash flows attributable to the assets. Based on the results of that analysis, no impairment of long—lived assets was identified as of June 30, 2021.</w:t>
      </w:r>
    </w:p>
    <w:p>
      <w:pPr>
        <w:spacing w:after="0" w:line="214"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u w:val="single" w:color="auto"/>
          <w:color w:val="auto"/>
        </w:rPr>
        <w:t>Fair value of combined financial instruments</w:t>
      </w:r>
    </w:p>
    <w:p>
      <w:pPr>
        <w:spacing w:after="0" w:line="252"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The fair value of cash and restricted cash, accounts receivable, accounts payable and accrued liabilities at June 30, 2021, approximates the carrying amount because of the relatively short-term maturities of these combined financial instruments.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Crown Building Maintenance Co. and Crown Energy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dba Able Services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Combined Financial Statements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June 30, 2021</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thousands)</w:t>
      </w:r>
    </w:p>
    <w:p>
      <w:pPr>
        <w:spacing w:after="0" w:line="238" w:lineRule="exact"/>
        <w:rPr>
          <w:sz w:val="20"/>
          <w:szCs w:val="20"/>
          <w:color w:val="auto"/>
        </w:rPr>
      </w:pPr>
    </w:p>
    <w:p>
      <w:pPr>
        <w:ind w:left="340" w:right="5600" w:hanging="332"/>
        <w:spacing w:after="0" w:line="563"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SUMMARY OF SIGNIFICANT ACCOUNTING POLICIES (continued) </w:t>
      </w:r>
      <w:r>
        <w:rPr>
          <w:rFonts w:ascii="Arial" w:cs="Arial" w:eastAsia="Arial" w:hAnsi="Arial"/>
          <w:sz w:val="17"/>
          <w:szCs w:val="17"/>
          <w:u w:val="single" w:color="auto"/>
          <w:color w:val="auto"/>
        </w:rPr>
        <w:t>Workers‘ compensation and general liability loss reserve</w:t>
      </w:r>
    </w:p>
    <w:p>
      <w:pPr>
        <w:jc w:val="both"/>
        <w:ind w:left="340"/>
        <w:spacing w:after="0" w:line="257" w:lineRule="auto"/>
        <w:rPr>
          <w:rFonts w:ascii="Arial" w:cs="Arial" w:eastAsia="Arial" w:hAnsi="Arial"/>
          <w:sz w:val="17"/>
          <w:szCs w:val="17"/>
          <w:color w:val="auto"/>
        </w:rPr>
      </w:pPr>
      <w:r>
        <w:rPr>
          <w:rFonts w:ascii="Arial" w:cs="Arial" w:eastAsia="Arial" w:hAnsi="Arial"/>
          <w:sz w:val="18"/>
          <w:szCs w:val="18"/>
          <w:color w:val="auto"/>
        </w:rPr>
        <w:t>Workers' compensation and general liability loss reserve represents the Company's estimated retained unpaid losses, allocated loss adjustment expenses and a provision for claims incurred but not reported. The Company engages third-party experts to assist in estimating the appropriate reserve. While management believes that the liability for unpaid claims at June 30, 2021 is adequate to cover the ultimate net cost of claims, the liability is based on estimates and the amount ultimately paid may be more or less than the estimates. Adjustments and changes resulting from revisions of these estimates are reported in the period in which the revisions are made.</w:t>
      </w:r>
    </w:p>
    <w:p>
      <w:pPr>
        <w:spacing w:after="0" w:line="214"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u w:val="single" w:color="auto"/>
          <w:color w:val="auto"/>
        </w:rPr>
        <w:t>Revenue recognition</w:t>
      </w:r>
    </w:p>
    <w:p>
      <w:pPr>
        <w:spacing w:after="0" w:line="252" w:lineRule="exact"/>
        <w:rPr>
          <w:rFonts w:ascii="Arial" w:cs="Arial" w:eastAsia="Arial" w:hAnsi="Arial"/>
          <w:sz w:val="17"/>
          <w:szCs w:val="17"/>
          <w:color w:val="auto"/>
        </w:rPr>
      </w:pPr>
    </w:p>
    <w:p>
      <w:pPr>
        <w:jc w:val="both"/>
        <w:ind w:left="340"/>
        <w:spacing w:after="0" w:line="263" w:lineRule="auto"/>
        <w:rPr>
          <w:rFonts w:ascii="Arial" w:cs="Arial" w:eastAsia="Arial" w:hAnsi="Arial"/>
          <w:sz w:val="17"/>
          <w:szCs w:val="17"/>
          <w:color w:val="auto"/>
        </w:rPr>
      </w:pPr>
      <w:r>
        <w:rPr>
          <w:rFonts w:ascii="Arial" w:cs="Arial" w:eastAsia="Arial" w:hAnsi="Arial"/>
          <w:sz w:val="18"/>
          <w:szCs w:val="18"/>
          <w:color w:val="auto"/>
        </w:rPr>
        <w:t>The Company derives its revenue primarily under various types of service contracts. Revenue is recognized when a contract is approved and has commitments from both parties, the rights of the parties have been identified, payment terms are identified, the contract has commercial substance, and collectability of consideration is probable. The primary types of service contracts are described below:</w:t>
      </w:r>
    </w:p>
    <w:p>
      <w:pPr>
        <w:spacing w:after="0" w:line="129" w:lineRule="exact"/>
        <w:rPr>
          <w:rFonts w:ascii="Arial" w:cs="Arial" w:eastAsia="Arial" w:hAnsi="Arial"/>
          <w:sz w:val="17"/>
          <w:szCs w:val="17"/>
          <w:color w:val="auto"/>
        </w:rPr>
      </w:pPr>
    </w:p>
    <w:p>
      <w:pPr>
        <w:jc w:val="both"/>
        <w:ind w:left="660" w:hanging="328"/>
        <w:spacing w:after="0" w:line="301" w:lineRule="auto"/>
        <w:tabs>
          <w:tab w:leader="none" w:pos="655" w:val="left"/>
        </w:tabs>
        <w:numPr>
          <w:ilvl w:val="1"/>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Cost-plus </w:t>
      </w:r>
      <w:r>
        <w:rPr>
          <w:rFonts w:ascii="Arial" w:cs="Arial" w:eastAsia="Arial" w:hAnsi="Arial"/>
          <w:sz w:val="16"/>
          <w:szCs w:val="16"/>
          <w:color w:val="auto"/>
        </w:rPr>
        <w:t>- Cost-plus arrangements are contracts in which the client reimburses the Company for the agreed-upon amount of wages and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payroll taxes, insurance charges, and other expenses associated with the contracted work, plus a profit margin. The Company measures progress toward satisfaction of the performance obligation as the services are provided, and revenue is recognized at the agreed upon contractual amount over time because the customer simultaneously receives and consumes the benefits for the services as they are performed.</w:t>
      </w:r>
    </w:p>
    <w:p>
      <w:pPr>
        <w:spacing w:after="0" w:line="103" w:lineRule="exact"/>
        <w:rPr>
          <w:rFonts w:ascii="Arial" w:cs="Arial" w:eastAsia="Arial" w:hAnsi="Arial"/>
          <w:sz w:val="16"/>
          <w:szCs w:val="16"/>
          <w:color w:val="auto"/>
        </w:rPr>
      </w:pPr>
    </w:p>
    <w:p>
      <w:pPr>
        <w:jc w:val="both"/>
        <w:ind w:left="660" w:hanging="328"/>
        <w:spacing w:after="0" w:line="286" w:lineRule="auto"/>
        <w:tabs>
          <w:tab w:leader="none" w:pos="655" w:val="left"/>
        </w:tabs>
        <w:numPr>
          <w:ilvl w:val="1"/>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Tag jobs </w:t>
      </w:r>
      <w:r>
        <w:rPr>
          <w:rFonts w:ascii="Arial" w:cs="Arial" w:eastAsia="Arial" w:hAnsi="Arial"/>
          <w:sz w:val="17"/>
          <w:szCs w:val="17"/>
          <w:color w:val="auto"/>
        </w:rPr>
        <w:t>- Tag jobs represent additional services requested by a customer outside the standard contract. Because the nature of these short-term</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contracts involves performing one-off type services, revenue is recognized at the agreed-upon contractual amount as the services are provided, because the customer simultaneously receives and consumes the benefits of the services as they are performed.</w:t>
      </w:r>
    </w:p>
    <w:p>
      <w:pPr>
        <w:spacing w:after="0" w:line="111"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Monthly Fixed Price </w:t>
      </w:r>
      <w:r>
        <w:rPr>
          <w:rFonts w:ascii="Arial" w:cs="Arial" w:eastAsia="Arial" w:hAnsi="Arial"/>
          <w:sz w:val="18"/>
          <w:szCs w:val="18"/>
          <w:color w:val="auto"/>
        </w:rPr>
        <w:t>- Monthly fixed-price arrangements are contracts in which the client agrees to pay a fixed fee every month over a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term. The Company measures progress toward satisfaction of the performance obligation as the services are provided, and revenue is recognized at the agreed-upon contractual amount over time because the customer simultaneously receives and consumes the benefits of the services as they are performed.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Crown Building Maintenance Co. and Crown Energy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dba Able Services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Combined Financial Statements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June 30, 2021</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thousands)</w:t>
      </w:r>
    </w:p>
    <w:p>
      <w:pPr>
        <w:spacing w:after="0" w:line="238" w:lineRule="exact"/>
        <w:rPr>
          <w:sz w:val="20"/>
          <w:szCs w:val="20"/>
          <w:color w:val="auto"/>
        </w:rPr>
      </w:pPr>
    </w:p>
    <w:p>
      <w:pPr>
        <w:ind w:left="340" w:right="5600" w:hanging="332"/>
        <w:spacing w:after="0" w:line="532"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SUMMARY OF SIGNIFICANT ACCOUNTING POLICIES (continued) </w:t>
      </w:r>
      <w:r>
        <w:rPr>
          <w:rFonts w:ascii="Arial" w:cs="Arial" w:eastAsia="Arial" w:hAnsi="Arial"/>
          <w:sz w:val="18"/>
          <w:szCs w:val="18"/>
          <w:u w:val="single" w:color="auto"/>
          <w:color w:val="auto"/>
        </w:rPr>
        <w:t>Income taxes</w:t>
      </w:r>
    </w:p>
    <w:p>
      <w:pPr>
        <w:jc w:val="both"/>
        <w:ind w:left="340"/>
        <w:spacing w:after="0" w:line="279" w:lineRule="auto"/>
        <w:rPr>
          <w:rFonts w:ascii="Arial" w:cs="Arial" w:eastAsia="Arial" w:hAnsi="Arial"/>
          <w:sz w:val="18"/>
          <w:szCs w:val="18"/>
          <w:color w:val="auto"/>
        </w:rPr>
      </w:pPr>
      <w:r>
        <w:rPr>
          <w:rFonts w:ascii="Arial" w:cs="Arial" w:eastAsia="Arial" w:hAnsi="Arial"/>
          <w:sz w:val="17"/>
          <w:szCs w:val="17"/>
          <w:color w:val="auto"/>
        </w:rPr>
        <w:t>BM and AES have elected, by consent of its shareholders, to be taxed under the provisions of subchapter S of the Internal Revenue Code and various state tax laws. Under these provisions, the Company does not pay federal corporate income taxes. However, California franchise tax is limited to 1.5% of its apportioned taxable income subject to a minimum tax of $800 and other states have statutory minimum tax amounts. The shareholders, however, are liable for individual federal and state income taxes on the Company's taxable income.</w:t>
      </w:r>
    </w:p>
    <w:p>
      <w:pPr>
        <w:spacing w:after="0" w:line="198" w:lineRule="exact"/>
        <w:rPr>
          <w:rFonts w:ascii="Arial" w:cs="Arial" w:eastAsia="Arial" w:hAnsi="Arial"/>
          <w:sz w:val="18"/>
          <w:szCs w:val="18"/>
          <w:color w:val="auto"/>
        </w:rPr>
      </w:pPr>
    </w:p>
    <w:p>
      <w:pPr>
        <w:jc w:val="both"/>
        <w:ind w:left="340"/>
        <w:spacing w:after="0" w:line="259" w:lineRule="auto"/>
        <w:rPr>
          <w:rFonts w:ascii="Arial" w:cs="Arial" w:eastAsia="Arial" w:hAnsi="Arial"/>
          <w:sz w:val="18"/>
          <w:szCs w:val="18"/>
          <w:color w:val="auto"/>
        </w:rPr>
      </w:pPr>
      <w:r>
        <w:rPr>
          <w:rFonts w:ascii="Arial" w:cs="Arial" w:eastAsia="Arial" w:hAnsi="Arial"/>
          <w:sz w:val="18"/>
          <w:szCs w:val="18"/>
          <w:color w:val="auto"/>
        </w:rPr>
        <w:t>California income tax has been provided for pursuant to state provisions (SB 572) conforming to federal S-Corporation law. The Company is entitled to Enterprise Zone Credits, which reduce California tax liability. At December 31, 2020, the Company has estimated an excess of approximately $10,047 in non-refundable California Enterprise Zone credits, which offset California income tax. Beginning in 2006, the Company began filing state income tax returns in Texas, Illinois, Oregon, New York, and various other states.</w:t>
      </w:r>
    </w:p>
    <w:p>
      <w:pPr>
        <w:spacing w:after="0" w:line="213"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INTANGIBLE ASSETS</w:t>
      </w:r>
    </w:p>
    <w:p>
      <w:pPr>
        <w:spacing w:after="0" w:line="25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Intangible assets consisted of the following:</w:t>
      </w:r>
    </w:p>
    <w:p>
      <w:pPr>
        <w:spacing w:after="0" w:line="293"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8360" w:type="dxa"/>
            <w:vAlign w:val="bottom"/>
            <w:shd w:val="clear" w:color="auto" w:fill="DCE2EF"/>
          </w:tcPr>
          <w:p>
            <w:pPr>
              <w:ind w:left="20"/>
              <w:spacing w:after="0"/>
              <w:rPr>
                <w:sz w:val="20"/>
                <w:szCs w:val="20"/>
                <w:color w:val="auto"/>
              </w:rPr>
            </w:pPr>
            <w:r>
              <w:rPr>
                <w:rFonts w:ascii="Arial" w:cs="Arial" w:eastAsia="Arial" w:hAnsi="Arial"/>
                <w:sz w:val="18"/>
                <w:szCs w:val="18"/>
                <w:color w:val="auto"/>
              </w:rPr>
              <w:t>Customer Contracts</w:t>
            </w:r>
          </w:p>
        </w:tc>
        <w:tc>
          <w:tcPr>
            <w:tcW w:w="860" w:type="dxa"/>
            <w:vAlign w:val="bottom"/>
            <w:shd w:val="clear" w:color="auto" w:fill="DCE2EF"/>
          </w:tcPr>
          <w:p>
            <w:pPr>
              <w:jc w:val="right"/>
              <w:ind w:right="6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12,099</w:t>
            </w:r>
          </w:p>
        </w:tc>
      </w:tr>
      <w:tr>
        <w:trPr>
          <w:trHeight w:val="230"/>
        </w:trPr>
        <w:tc>
          <w:tcPr>
            <w:tcW w:w="8360" w:type="dxa"/>
            <w:vAlign w:val="bottom"/>
            <w:tcBorders>
              <w:bottom w:val="single" w:sz="8" w:color="DCE2EF"/>
            </w:tcBorders>
          </w:tcPr>
          <w:p>
            <w:pPr>
              <w:ind w:left="20"/>
              <w:spacing w:after="0"/>
              <w:rPr>
                <w:sz w:val="20"/>
                <w:szCs w:val="20"/>
                <w:color w:val="auto"/>
              </w:rPr>
            </w:pPr>
            <w:r>
              <w:rPr>
                <w:rFonts w:ascii="Arial" w:cs="Arial" w:eastAsia="Arial" w:hAnsi="Arial"/>
                <w:sz w:val="18"/>
                <w:szCs w:val="18"/>
                <w:color w:val="auto"/>
              </w:rPr>
              <w:t>Goodwill</w:t>
            </w:r>
          </w:p>
        </w:tc>
        <w:tc>
          <w:tcPr>
            <w:tcW w:w="8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4,960</w:t>
            </w:r>
          </w:p>
        </w:tc>
      </w:tr>
      <w:tr>
        <w:trPr>
          <w:trHeight w:val="223"/>
        </w:trPr>
        <w:tc>
          <w:tcPr>
            <w:tcW w:w="8360" w:type="dxa"/>
            <w:vAlign w:val="bottom"/>
            <w:shd w:val="clear" w:color="auto" w:fill="DCE2EF"/>
          </w:tcPr>
          <w:p>
            <w:pPr>
              <w:spacing w:after="0"/>
              <w:rPr>
                <w:sz w:val="19"/>
                <w:szCs w:val="19"/>
                <w:color w:val="auto"/>
              </w:rPr>
            </w:pPr>
          </w:p>
        </w:tc>
        <w:tc>
          <w:tcPr>
            <w:tcW w:w="860" w:type="dxa"/>
            <w:vAlign w:val="bottom"/>
            <w:shd w:val="clear" w:color="auto" w:fill="DCE2EF"/>
          </w:tcPr>
          <w:p>
            <w:pPr>
              <w:spacing w:after="0"/>
              <w:rPr>
                <w:sz w:val="19"/>
                <w:szCs w:val="19"/>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17,059</w:t>
            </w:r>
          </w:p>
        </w:tc>
      </w:tr>
      <w:tr>
        <w:trPr>
          <w:trHeight w:val="230"/>
        </w:trPr>
        <w:tc>
          <w:tcPr>
            <w:tcW w:w="8360" w:type="dxa"/>
            <w:vAlign w:val="bottom"/>
            <w:tcBorders>
              <w:bottom w:val="single" w:sz="8" w:color="DCE2EF"/>
            </w:tcBorders>
          </w:tcPr>
          <w:p>
            <w:pPr>
              <w:ind w:left="20"/>
              <w:spacing w:after="0"/>
              <w:rPr>
                <w:sz w:val="20"/>
                <w:szCs w:val="20"/>
                <w:color w:val="auto"/>
              </w:rPr>
            </w:pPr>
            <w:r>
              <w:rPr>
                <w:rFonts w:ascii="Arial" w:cs="Arial" w:eastAsia="Arial" w:hAnsi="Arial"/>
                <w:sz w:val="18"/>
                <w:szCs w:val="18"/>
                <w:color w:val="auto"/>
              </w:rPr>
              <w:t>Accumulated amortization</w:t>
            </w:r>
          </w:p>
        </w:tc>
        <w:tc>
          <w:tcPr>
            <w:tcW w:w="8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(8,162)</w:t>
            </w:r>
          </w:p>
        </w:tc>
      </w:tr>
      <w:tr>
        <w:trPr>
          <w:trHeight w:val="248"/>
        </w:trPr>
        <w:tc>
          <w:tcPr>
            <w:tcW w:w="8360" w:type="dxa"/>
            <w:vAlign w:val="bottom"/>
            <w:tcBorders>
              <w:bottom w:val="single" w:sz="8" w:color="DCE2EF"/>
            </w:tcBorders>
            <w:shd w:val="clear" w:color="auto" w:fill="DCE2EF"/>
          </w:tcPr>
          <w:p>
            <w:pPr>
              <w:spacing w:after="0"/>
              <w:rPr>
                <w:sz w:val="21"/>
                <w:szCs w:val="21"/>
                <w:color w:val="auto"/>
              </w:rPr>
            </w:pPr>
          </w:p>
        </w:tc>
        <w:tc>
          <w:tcPr>
            <w:tcW w:w="860" w:type="dxa"/>
            <w:vAlign w:val="bottom"/>
            <w:tcBorders>
              <w:bottom w:val="single" w:sz="8" w:color="auto"/>
            </w:tcBorders>
            <w:shd w:val="clear" w:color="auto" w:fill="DCE2EF"/>
          </w:tcPr>
          <w:p>
            <w:pPr>
              <w:jc w:val="right"/>
              <w:ind w:right="6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8,897</w:t>
            </w:r>
          </w:p>
        </w:tc>
      </w:tr>
      <w:tr>
        <w:trPr>
          <w:trHeight w:val="20"/>
        </w:trPr>
        <w:tc>
          <w:tcPr>
            <w:tcW w:w="8360" w:type="dxa"/>
            <w:vAlign w:val="bottom"/>
            <w:tcBorders>
              <w:top w:val="single" w:sz="8" w:color="DCE2EF"/>
            </w:tcBorders>
          </w:tcPr>
          <w:p>
            <w:pPr>
              <w:spacing w:after="0" w:line="20" w:lineRule="exact"/>
              <w:rPr>
                <w:sz w:val="1"/>
                <w:szCs w:val="1"/>
                <w:color w:val="auto"/>
              </w:rPr>
            </w:pPr>
          </w:p>
        </w:tc>
        <w:tc>
          <w:tcPr>
            <w:tcW w:w="860" w:type="dxa"/>
            <w:vAlign w:val="bottom"/>
            <w:tcBorders>
              <w:top w:val="single" w:sz="8" w:color="DCE2EF"/>
              <w:bottom w:val="single" w:sz="8" w:color="auto"/>
            </w:tcBorders>
          </w:tcPr>
          <w:p>
            <w:pPr>
              <w:spacing w:after="0" w:line="20" w:lineRule="exact"/>
              <w:rPr>
                <w:sz w:val="1"/>
                <w:szCs w:val="1"/>
                <w:color w:val="auto"/>
              </w:rPr>
            </w:pPr>
          </w:p>
        </w:tc>
        <w:tc>
          <w:tcPr>
            <w:tcW w:w="1320" w:type="dxa"/>
            <w:vAlign w:val="bottom"/>
            <w:tcBorders>
              <w:top w:val="single" w:sz="8" w:color="DCE2E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The Company considers the useful economic life of customer contracts assets to be 10 years. The amortization expense for the six month period ended June 30, 2021 was $1,428. Goodwill is not amortized.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Crown Building Maintenance Co. and Crown Energy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dba Able Services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Combined Financial Statements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June 30, 2021</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thousands)</w:t>
      </w:r>
    </w:p>
    <w:p>
      <w:pPr>
        <w:spacing w:after="0" w:line="238"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ACCRUED LIABILITIES</w:t>
      </w:r>
    </w:p>
    <w:p>
      <w:pPr>
        <w:spacing w:after="0" w:line="25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Accrued liabilities consisted of the following:</w:t>
      </w:r>
    </w:p>
    <w:p>
      <w:pPr>
        <w:spacing w:after="0" w:line="29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8360" w:type="dxa"/>
            <w:vAlign w:val="bottom"/>
            <w:shd w:val="clear" w:color="auto" w:fill="DCE2EF"/>
          </w:tcPr>
          <w:p>
            <w:pPr>
              <w:ind w:left="20"/>
              <w:spacing w:after="0"/>
              <w:rPr>
                <w:sz w:val="20"/>
                <w:szCs w:val="20"/>
                <w:color w:val="auto"/>
              </w:rPr>
            </w:pPr>
            <w:r>
              <w:rPr>
                <w:rFonts w:ascii="Arial" w:cs="Arial" w:eastAsia="Arial" w:hAnsi="Arial"/>
                <w:sz w:val="18"/>
                <w:szCs w:val="18"/>
                <w:color w:val="auto"/>
              </w:rPr>
              <w:t>Current</w:t>
            </w:r>
          </w:p>
        </w:tc>
        <w:tc>
          <w:tcPr>
            <w:tcW w:w="860" w:type="dxa"/>
            <w:vAlign w:val="bottom"/>
            <w:shd w:val="clear" w:color="auto" w:fill="DCE2EF"/>
          </w:tcPr>
          <w:p>
            <w:pPr>
              <w:spacing w:after="0"/>
              <w:rPr>
                <w:sz w:val="19"/>
                <w:szCs w:val="19"/>
                <w:color w:val="auto"/>
              </w:rPr>
            </w:pPr>
          </w:p>
        </w:tc>
        <w:tc>
          <w:tcPr>
            <w:tcW w:w="1320" w:type="dxa"/>
            <w:vAlign w:val="bottom"/>
            <w:shd w:val="clear" w:color="auto" w:fill="DCE2EF"/>
          </w:tcPr>
          <w:p>
            <w:pPr>
              <w:spacing w:after="0"/>
              <w:rPr>
                <w:sz w:val="19"/>
                <w:szCs w:val="19"/>
                <w:color w:val="auto"/>
              </w:rPr>
            </w:pPr>
          </w:p>
        </w:tc>
      </w:tr>
      <w:tr>
        <w:trPr>
          <w:trHeight w:val="229"/>
        </w:trPr>
        <w:tc>
          <w:tcPr>
            <w:tcW w:w="8360" w:type="dxa"/>
            <w:vAlign w:val="bottom"/>
          </w:tcPr>
          <w:p>
            <w:pPr>
              <w:ind w:left="120"/>
              <w:spacing w:after="0"/>
              <w:rPr>
                <w:sz w:val="20"/>
                <w:szCs w:val="20"/>
                <w:color w:val="auto"/>
              </w:rPr>
            </w:pPr>
            <w:r>
              <w:rPr>
                <w:rFonts w:ascii="Arial" w:cs="Arial" w:eastAsia="Arial" w:hAnsi="Arial"/>
                <w:sz w:val="18"/>
                <w:szCs w:val="18"/>
                <w:color w:val="auto"/>
              </w:rPr>
              <w:t>Payroll and related obligations</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39,269</w:t>
            </w:r>
          </w:p>
        </w:tc>
      </w:tr>
      <w:tr>
        <w:trPr>
          <w:trHeight w:val="229"/>
        </w:trPr>
        <w:tc>
          <w:tcPr>
            <w:tcW w:w="8360" w:type="dxa"/>
            <w:vAlign w:val="bottom"/>
            <w:shd w:val="clear" w:color="auto" w:fill="DCE2EF"/>
          </w:tcPr>
          <w:p>
            <w:pPr>
              <w:ind w:left="120"/>
              <w:spacing w:after="0"/>
              <w:rPr>
                <w:sz w:val="20"/>
                <w:szCs w:val="20"/>
                <w:color w:val="auto"/>
              </w:rPr>
            </w:pPr>
            <w:r>
              <w:rPr>
                <w:rFonts w:ascii="Arial" w:cs="Arial" w:eastAsia="Arial" w:hAnsi="Arial"/>
                <w:sz w:val="18"/>
                <w:szCs w:val="18"/>
                <w:color w:val="auto"/>
              </w:rPr>
              <w:t>Pension and health and welfare</w:t>
            </w:r>
          </w:p>
        </w:tc>
        <w:tc>
          <w:tcPr>
            <w:tcW w:w="860" w:type="dxa"/>
            <w:vAlign w:val="bottom"/>
            <w:shd w:val="clear" w:color="auto" w:fill="DCE2EF"/>
          </w:tcPr>
          <w:p>
            <w:pPr>
              <w:spacing w:after="0"/>
              <w:rPr>
                <w:sz w:val="19"/>
                <w:szCs w:val="19"/>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1,176</w:t>
            </w:r>
          </w:p>
        </w:tc>
      </w:tr>
      <w:tr>
        <w:trPr>
          <w:trHeight w:val="230"/>
        </w:trPr>
        <w:tc>
          <w:tcPr>
            <w:tcW w:w="8360" w:type="dxa"/>
            <w:vAlign w:val="bottom"/>
          </w:tcPr>
          <w:p>
            <w:pPr>
              <w:ind w:left="120"/>
              <w:spacing w:after="0"/>
              <w:rPr>
                <w:sz w:val="20"/>
                <w:szCs w:val="20"/>
                <w:color w:val="auto"/>
              </w:rPr>
            </w:pPr>
            <w:r>
              <w:rPr>
                <w:rFonts w:ascii="Arial" w:cs="Arial" w:eastAsia="Arial" w:hAnsi="Arial"/>
                <w:sz w:val="18"/>
                <w:szCs w:val="18"/>
                <w:color w:val="auto"/>
              </w:rPr>
              <w:t>Taxes other than income taxes</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1,280</w:t>
            </w:r>
          </w:p>
        </w:tc>
      </w:tr>
      <w:tr>
        <w:trPr>
          <w:trHeight w:val="229"/>
        </w:trPr>
        <w:tc>
          <w:tcPr>
            <w:tcW w:w="8360" w:type="dxa"/>
            <w:vAlign w:val="bottom"/>
            <w:shd w:val="clear" w:color="auto" w:fill="DCE2EF"/>
          </w:tcPr>
          <w:p>
            <w:pPr>
              <w:ind w:left="120"/>
              <w:spacing w:after="0"/>
              <w:rPr>
                <w:sz w:val="20"/>
                <w:szCs w:val="20"/>
                <w:color w:val="auto"/>
              </w:rPr>
            </w:pPr>
            <w:r>
              <w:rPr>
                <w:rFonts w:ascii="Arial" w:cs="Arial" w:eastAsia="Arial" w:hAnsi="Arial"/>
                <w:sz w:val="18"/>
                <w:szCs w:val="18"/>
                <w:color w:val="auto"/>
              </w:rPr>
              <w:t>Vacation</w:t>
            </w:r>
          </w:p>
        </w:tc>
        <w:tc>
          <w:tcPr>
            <w:tcW w:w="860" w:type="dxa"/>
            <w:vAlign w:val="bottom"/>
            <w:shd w:val="clear" w:color="auto" w:fill="DCE2EF"/>
          </w:tcPr>
          <w:p>
            <w:pPr>
              <w:spacing w:after="0"/>
              <w:rPr>
                <w:sz w:val="19"/>
                <w:szCs w:val="19"/>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15,964</w:t>
            </w:r>
          </w:p>
        </w:tc>
      </w:tr>
      <w:tr>
        <w:trPr>
          <w:trHeight w:val="230"/>
        </w:trPr>
        <w:tc>
          <w:tcPr>
            <w:tcW w:w="8360" w:type="dxa"/>
            <w:vAlign w:val="bottom"/>
          </w:tcPr>
          <w:p>
            <w:pPr>
              <w:ind w:left="120"/>
              <w:spacing w:after="0"/>
              <w:rPr>
                <w:sz w:val="20"/>
                <w:szCs w:val="20"/>
                <w:color w:val="auto"/>
              </w:rPr>
            </w:pPr>
            <w:r>
              <w:rPr>
                <w:rFonts w:ascii="Arial" w:cs="Arial" w:eastAsia="Arial" w:hAnsi="Arial"/>
                <w:sz w:val="18"/>
                <w:szCs w:val="18"/>
                <w:color w:val="auto"/>
              </w:rPr>
              <w:t>Workers' compensation</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18,131</w:t>
            </w:r>
          </w:p>
        </w:tc>
      </w:tr>
      <w:tr>
        <w:trPr>
          <w:trHeight w:val="229"/>
        </w:trPr>
        <w:tc>
          <w:tcPr>
            <w:tcW w:w="8360" w:type="dxa"/>
            <w:vAlign w:val="bottom"/>
            <w:shd w:val="clear" w:color="auto" w:fill="DCE2EF"/>
          </w:tcPr>
          <w:p>
            <w:pPr>
              <w:ind w:left="12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shd w:val="clear" w:color="auto" w:fill="DCE2EF"/>
          </w:tcPr>
          <w:p>
            <w:pPr>
              <w:spacing w:after="0"/>
              <w:rPr>
                <w:sz w:val="19"/>
                <w:szCs w:val="19"/>
                <w:color w:val="auto"/>
              </w:rPr>
            </w:pPr>
          </w:p>
        </w:tc>
        <w:tc>
          <w:tcPr>
            <w:tcW w:w="13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4,640</w:t>
            </w:r>
          </w:p>
        </w:tc>
      </w:tr>
      <w:tr>
        <w:trPr>
          <w:trHeight w:val="223"/>
        </w:trPr>
        <w:tc>
          <w:tcPr>
            <w:tcW w:w="8360" w:type="dxa"/>
            <w:vAlign w:val="bottom"/>
            <w:tcBorders>
              <w:bottom w:val="single" w:sz="8" w:color="DCE2E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80,460</w:t>
            </w:r>
          </w:p>
        </w:tc>
      </w:tr>
      <w:tr>
        <w:trPr>
          <w:trHeight w:val="209"/>
        </w:trPr>
        <w:tc>
          <w:tcPr>
            <w:tcW w:w="8360" w:type="dxa"/>
            <w:vAlign w:val="bottom"/>
            <w:shd w:val="clear" w:color="auto" w:fill="DCE2EF"/>
          </w:tcPr>
          <w:p>
            <w:pPr>
              <w:ind w:left="20"/>
              <w:spacing w:after="0"/>
              <w:rPr>
                <w:sz w:val="20"/>
                <w:szCs w:val="20"/>
                <w:color w:val="auto"/>
              </w:rPr>
            </w:pPr>
            <w:r>
              <w:rPr>
                <w:rFonts w:ascii="Arial" w:cs="Arial" w:eastAsia="Arial" w:hAnsi="Arial"/>
                <w:sz w:val="18"/>
                <w:szCs w:val="18"/>
                <w:color w:val="auto"/>
              </w:rPr>
              <w:t>Long-term</w:t>
            </w:r>
          </w:p>
        </w:tc>
        <w:tc>
          <w:tcPr>
            <w:tcW w:w="860" w:type="dxa"/>
            <w:vAlign w:val="bottom"/>
            <w:shd w:val="clear" w:color="auto" w:fill="DCE2EF"/>
          </w:tcPr>
          <w:p>
            <w:pPr>
              <w:spacing w:after="0"/>
              <w:rPr>
                <w:sz w:val="18"/>
                <w:szCs w:val="18"/>
                <w:color w:val="auto"/>
              </w:rPr>
            </w:pPr>
          </w:p>
        </w:tc>
        <w:tc>
          <w:tcPr>
            <w:tcW w:w="1320" w:type="dxa"/>
            <w:vAlign w:val="bottom"/>
            <w:shd w:val="clear" w:color="auto" w:fill="DCE2EF"/>
          </w:tcPr>
          <w:p>
            <w:pPr>
              <w:spacing w:after="0"/>
              <w:rPr>
                <w:sz w:val="18"/>
                <w:szCs w:val="18"/>
                <w:color w:val="auto"/>
              </w:rPr>
            </w:pPr>
          </w:p>
        </w:tc>
      </w:tr>
      <w:tr>
        <w:trPr>
          <w:trHeight w:val="229"/>
        </w:trPr>
        <w:tc>
          <w:tcPr>
            <w:tcW w:w="8360" w:type="dxa"/>
            <w:vAlign w:val="bottom"/>
            <w:tcBorders>
              <w:bottom w:val="single" w:sz="8" w:color="DCE2EF"/>
            </w:tcBorders>
          </w:tcPr>
          <w:p>
            <w:pPr>
              <w:ind w:left="120"/>
              <w:spacing w:after="0"/>
              <w:rPr>
                <w:sz w:val="20"/>
                <w:szCs w:val="20"/>
                <w:color w:val="auto"/>
              </w:rPr>
            </w:pPr>
            <w:r>
              <w:rPr>
                <w:rFonts w:ascii="Arial" w:cs="Arial" w:eastAsia="Arial" w:hAnsi="Arial"/>
                <w:sz w:val="18"/>
                <w:szCs w:val="18"/>
                <w:color w:val="auto"/>
              </w:rPr>
              <w:t>Payroll taxes, net of current portion</w:t>
            </w:r>
          </w:p>
        </w:tc>
        <w:tc>
          <w:tcPr>
            <w:tcW w:w="8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12,505</w:t>
            </w:r>
          </w:p>
        </w:tc>
      </w:tr>
      <w:tr>
        <w:trPr>
          <w:trHeight w:val="223"/>
        </w:trPr>
        <w:tc>
          <w:tcPr>
            <w:tcW w:w="8360" w:type="dxa"/>
            <w:vAlign w:val="bottom"/>
            <w:shd w:val="clear" w:color="auto" w:fill="DCE2EF"/>
          </w:tcPr>
          <w:p>
            <w:pPr>
              <w:spacing w:after="0"/>
              <w:rPr>
                <w:sz w:val="19"/>
                <w:szCs w:val="19"/>
                <w:color w:val="auto"/>
              </w:rPr>
            </w:pPr>
          </w:p>
        </w:tc>
        <w:tc>
          <w:tcPr>
            <w:tcW w:w="860" w:type="dxa"/>
            <w:vAlign w:val="bottom"/>
            <w:tcBorders>
              <w:bottom w:val="single" w:sz="8" w:color="auto"/>
            </w:tcBorders>
            <w:shd w:val="clear" w:color="auto" w:fill="DCE2EF"/>
          </w:tcPr>
          <w:p>
            <w:pPr>
              <w:spacing w:after="0"/>
              <w:rPr>
                <w:sz w:val="19"/>
                <w:szCs w:val="19"/>
                <w:color w:val="auto"/>
              </w:rPr>
            </w:pPr>
          </w:p>
        </w:tc>
        <w:tc>
          <w:tcPr>
            <w:tcW w:w="13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12,505</w:t>
            </w:r>
          </w:p>
        </w:tc>
      </w:tr>
      <w:tr>
        <w:trPr>
          <w:trHeight w:val="250"/>
        </w:trPr>
        <w:tc>
          <w:tcPr>
            <w:tcW w:w="8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4"/>
        </w:trPr>
        <w:tc>
          <w:tcPr>
            <w:tcW w:w="8360" w:type="dxa"/>
            <w:vAlign w:val="bottom"/>
            <w:tcBorders>
              <w:bottom w:val="single" w:sz="8" w:color="DCE2EF"/>
            </w:tcBorders>
            <w:shd w:val="clear" w:color="auto" w:fill="DCE2EF"/>
          </w:tcPr>
          <w:p>
            <w:pPr>
              <w:spacing w:after="0"/>
              <w:rPr>
                <w:sz w:val="21"/>
                <w:szCs w:val="21"/>
                <w:color w:val="auto"/>
              </w:rPr>
            </w:pPr>
          </w:p>
        </w:tc>
        <w:tc>
          <w:tcPr>
            <w:tcW w:w="860" w:type="dxa"/>
            <w:vAlign w:val="bottom"/>
            <w:tcBorders>
              <w:bottom w:val="single" w:sz="8" w:color="auto"/>
            </w:tcBorders>
            <w:shd w:val="clear" w:color="auto" w:fill="DCE2EF"/>
          </w:tcPr>
          <w:p>
            <w:pPr>
              <w:jc w:val="right"/>
              <w:ind w:right="6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92,965</w:t>
            </w:r>
          </w:p>
        </w:tc>
      </w:tr>
      <w:tr>
        <w:trPr>
          <w:trHeight w:val="20"/>
        </w:trPr>
        <w:tc>
          <w:tcPr>
            <w:tcW w:w="8360" w:type="dxa"/>
            <w:vAlign w:val="bottom"/>
            <w:tcBorders>
              <w:top w:val="single" w:sz="8" w:color="DCE2EF"/>
            </w:tcBorders>
          </w:tcPr>
          <w:p>
            <w:pPr>
              <w:spacing w:after="0" w:line="20" w:lineRule="exact"/>
              <w:rPr>
                <w:sz w:val="1"/>
                <w:szCs w:val="1"/>
                <w:color w:val="auto"/>
              </w:rPr>
            </w:pPr>
          </w:p>
        </w:tc>
        <w:tc>
          <w:tcPr>
            <w:tcW w:w="860" w:type="dxa"/>
            <w:vAlign w:val="bottom"/>
            <w:tcBorders>
              <w:top w:val="single" w:sz="8" w:color="DCE2EF"/>
              <w:bottom w:val="single" w:sz="8" w:color="auto"/>
            </w:tcBorders>
          </w:tcPr>
          <w:p>
            <w:pPr>
              <w:spacing w:after="0" w:line="20" w:lineRule="exact"/>
              <w:rPr>
                <w:sz w:val="1"/>
                <w:szCs w:val="1"/>
                <w:color w:val="auto"/>
              </w:rPr>
            </w:pPr>
          </w:p>
        </w:tc>
        <w:tc>
          <w:tcPr>
            <w:tcW w:w="1320" w:type="dxa"/>
            <w:vAlign w:val="bottom"/>
            <w:tcBorders>
              <w:top w:val="single" w:sz="8" w:color="DCE2E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LINE OF CREDIT</w:t>
      </w:r>
    </w:p>
    <w:p>
      <w:pPr>
        <w:spacing w:after="0" w:line="252" w:lineRule="exact"/>
        <w:rPr>
          <w:rFonts w:ascii="Arial" w:cs="Arial" w:eastAsia="Arial" w:hAnsi="Arial"/>
          <w:sz w:val="18"/>
          <w:szCs w:val="18"/>
          <w:color w:val="auto"/>
        </w:rPr>
      </w:pPr>
    </w:p>
    <w:p>
      <w:pPr>
        <w:jc w:val="both"/>
        <w:ind w:left="340"/>
        <w:spacing w:after="0" w:line="293" w:lineRule="auto"/>
        <w:rPr>
          <w:rFonts w:ascii="Arial" w:cs="Arial" w:eastAsia="Arial" w:hAnsi="Arial"/>
          <w:sz w:val="18"/>
          <w:szCs w:val="18"/>
          <w:color w:val="auto"/>
        </w:rPr>
      </w:pPr>
      <w:r>
        <w:rPr>
          <w:rFonts w:ascii="Arial" w:cs="Arial" w:eastAsia="Arial" w:hAnsi="Arial"/>
          <w:sz w:val="16"/>
          <w:szCs w:val="16"/>
          <w:color w:val="auto"/>
        </w:rPr>
        <w:t>On March 19, 2016, the Company entered into an amendment to the credit agreement extending its revolving credit line through January 23, 2018. The agreement was subsequently extended through November 1, 2021 through a second amended and restated credit agreement. Outstanding borrowings under the line of credit shall not at any time exceed 75% of the Company's eligible accounts receivable. Interest accrues at a rate of LIBOR plus 1.35%.There were no outstanding balances on the line of credit as of June 30, 2021. The line secures a standby letter of credit with the insurance company providing workers' compensation insurance coverage. At June 30, 2021 the outstanding letter of credit was $22,279. The agreement requires the Company to comply with various financial covenants. The Company is in compliance with all financial covenants as of June 30, 2021.</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Crown Building Maintenance Co. and Crown Energy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dba Able Services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Combined Financial Statements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June 30, 2021</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thousands)</w:t>
      </w:r>
    </w:p>
    <w:p>
      <w:pPr>
        <w:spacing w:after="0" w:line="238"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DEFERRED COMPENSATION</w:t>
      </w:r>
    </w:p>
    <w:p>
      <w:pPr>
        <w:spacing w:after="0" w:line="252" w:lineRule="exact"/>
        <w:rPr>
          <w:rFonts w:ascii="Arial" w:cs="Arial" w:eastAsia="Arial" w:hAnsi="Arial"/>
          <w:sz w:val="18"/>
          <w:szCs w:val="18"/>
          <w:color w:val="auto"/>
        </w:rPr>
      </w:pPr>
    </w:p>
    <w:p>
      <w:pPr>
        <w:jc w:val="both"/>
        <w:ind w:left="340"/>
        <w:spacing w:after="0" w:line="270" w:lineRule="auto"/>
        <w:rPr>
          <w:rFonts w:ascii="Arial" w:cs="Arial" w:eastAsia="Arial" w:hAnsi="Arial"/>
          <w:sz w:val="18"/>
          <w:szCs w:val="18"/>
          <w:color w:val="auto"/>
        </w:rPr>
      </w:pPr>
      <w:r>
        <w:rPr>
          <w:rFonts w:ascii="Arial" w:cs="Arial" w:eastAsia="Arial" w:hAnsi="Arial"/>
          <w:sz w:val="17"/>
          <w:szCs w:val="17"/>
          <w:color w:val="auto"/>
        </w:rPr>
        <w:t>The Company is a party to profit-sharing and deferred compensation retirement plan agreements with several management employees. The agreements call for a payment, determined by a formulized percentage of any gain realized by the Company upon the sale of substantially all of the Company's assets, to be paid to said management employees as bonus compensation if they are employed by the Company at the date of sale. In addition, annual bonuses are earned based on a formulized percentage agreement multiplied by the annual operating profit of the Company as long as the employees are employed by the Company. After termination of employment and assuming the management employee has not engaged in competition with the Company, the employee will be vested in a retirement benefit payable beginning at the age of 65 years. The benefits payable are determined by a formulized percentage of operating profits determined as of the twelve months prior to termination. The amount distributable to each employee, or if they should die, to the designated beneficiary, is payable in installments over 120 months with interest at 3%. Deferred compensation obligations under these plans at June 30, 2021 were $25,241.</w:t>
      </w:r>
    </w:p>
    <w:p>
      <w:pPr>
        <w:spacing w:after="0" w:line="207" w:lineRule="exact"/>
        <w:rPr>
          <w:rFonts w:ascii="Arial" w:cs="Arial" w:eastAsia="Arial" w:hAnsi="Arial"/>
          <w:sz w:val="18"/>
          <w:szCs w:val="18"/>
          <w:color w:val="auto"/>
        </w:rPr>
      </w:pPr>
    </w:p>
    <w:p>
      <w:pPr>
        <w:jc w:val="both"/>
        <w:ind w:left="340"/>
        <w:spacing w:after="0" w:line="257" w:lineRule="auto"/>
        <w:rPr>
          <w:rFonts w:ascii="Arial" w:cs="Arial" w:eastAsia="Arial" w:hAnsi="Arial"/>
          <w:sz w:val="18"/>
          <w:szCs w:val="18"/>
          <w:color w:val="auto"/>
        </w:rPr>
      </w:pPr>
      <w:r>
        <w:rPr>
          <w:rFonts w:ascii="Arial" w:cs="Arial" w:eastAsia="Arial" w:hAnsi="Arial"/>
          <w:sz w:val="18"/>
          <w:szCs w:val="18"/>
          <w:color w:val="auto"/>
        </w:rPr>
        <w:t>BM has entered into a deferred compensation agreement with a key executive that provides for certain post—retirement benefits. BM has elected to fund this deferred compensation obligation through a rabbi trust. The rabbi trust is subject to creditor claims in the event of insolvency, but the assets held in the rabbi trust are not available for general corporate purposes. The deferred compensation obligation under this plan at June 30, 2021 was $4,317, and is included in deferred compensation plan liability on the combined balance sheet. There were no contributions to the rabbi trust during the six month period ended June 30, 2021.</w:t>
      </w:r>
    </w:p>
    <w:p>
      <w:pPr>
        <w:spacing w:after="0" w:line="214"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PROFIT SHARING PLANS</w:t>
      </w:r>
    </w:p>
    <w:p>
      <w:pPr>
        <w:spacing w:after="0" w:line="252" w:lineRule="exact"/>
        <w:rPr>
          <w:rFonts w:ascii="Arial" w:cs="Arial" w:eastAsia="Arial" w:hAnsi="Arial"/>
          <w:sz w:val="18"/>
          <w:szCs w:val="18"/>
          <w:color w:val="auto"/>
        </w:rPr>
      </w:pPr>
    </w:p>
    <w:p>
      <w:pPr>
        <w:jc w:val="both"/>
        <w:ind w:left="340"/>
        <w:spacing w:after="0" w:line="301" w:lineRule="auto"/>
        <w:rPr>
          <w:rFonts w:ascii="Arial" w:cs="Arial" w:eastAsia="Arial" w:hAnsi="Arial"/>
          <w:sz w:val="18"/>
          <w:szCs w:val="18"/>
          <w:color w:val="auto"/>
        </w:rPr>
      </w:pPr>
      <w:r>
        <w:rPr>
          <w:rFonts w:ascii="Arial" w:cs="Arial" w:eastAsia="Arial" w:hAnsi="Arial"/>
          <w:sz w:val="16"/>
          <w:szCs w:val="16"/>
          <w:color w:val="auto"/>
        </w:rPr>
        <w:t>AES sponsors two 401(k) plans for its employees. One plan is for the benefit of union employees and the other is for the benefit of non-union employees. All employees are eligible to participate in the respective plan depending on their union status. The Company does not make any contributions to the union plan. However, the Company makes matching contributions for non-union employees who work at specific job locations as listed in the plan document. Matching contributions are 50% of the employee's contribution to the plan with a maximum of 3% compensation.</w:t>
      </w:r>
    </w:p>
    <w:p>
      <w:pPr>
        <w:spacing w:after="0" w:line="184"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Effective July 1, 2015, ABS makes matching contributions for nonunion employees. Non-Union employees are eligible for a match up to a maximum match of 4% of eligible compensation. Contributions to the plans were $732 during the period ended June 30,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21" w:right="339" w:bottom="1440" w:gutter="0" w:footer="0" w:header="0"/>
          <w:type w:val="continuous"/>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Crown Building Maintenance Co. and Crown Energy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dba Able Services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Combined Financial Statements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June 30, 2021</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thousands)</w:t>
      </w:r>
    </w:p>
    <w:p>
      <w:pPr>
        <w:spacing w:after="0" w:line="238"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PROFIT SHARING PLANS (continued)</w:t>
      </w:r>
    </w:p>
    <w:p>
      <w:pPr>
        <w:spacing w:after="0" w:line="252" w:lineRule="exact"/>
        <w:rPr>
          <w:rFonts w:ascii="Arial" w:cs="Arial" w:eastAsia="Arial" w:hAnsi="Arial"/>
          <w:sz w:val="18"/>
          <w:szCs w:val="18"/>
          <w:color w:val="auto"/>
        </w:rPr>
      </w:pPr>
    </w:p>
    <w:p>
      <w:pPr>
        <w:jc w:val="both"/>
        <w:ind w:left="340"/>
        <w:spacing w:after="0" w:line="296" w:lineRule="auto"/>
        <w:rPr>
          <w:rFonts w:ascii="Arial" w:cs="Arial" w:eastAsia="Arial" w:hAnsi="Arial"/>
          <w:sz w:val="18"/>
          <w:szCs w:val="18"/>
          <w:color w:val="auto"/>
        </w:rPr>
      </w:pPr>
      <w:r>
        <w:rPr>
          <w:rFonts w:ascii="Arial" w:cs="Arial" w:eastAsia="Arial" w:hAnsi="Arial"/>
          <w:sz w:val="16"/>
          <w:szCs w:val="16"/>
          <w:color w:val="auto"/>
        </w:rPr>
        <w:t>The union employees at one of the BM's job locations elected to leave their union pension plan during 2010. In lieu of having BM contribute to the union retirement plan, the employees set up a 401(k) plan to which they contribute. Only employees at the job location are eligible to contribute to this plan. BM contributed to the plan at the rate of $0.97 per hour under the terms of the collective bargaining agreement which expired June 30, 2020, and is now month-to-month. The employees are responsible for all costs of maintaining the plan. Contributions to the plan were $101 during the period ended June 30, 2021. BM also sponsors a 401(k) plan for its nonunion employees. All nonunion employees are eligible to participate in the plan.</w:t>
      </w:r>
    </w:p>
    <w:p>
      <w:pPr>
        <w:spacing w:after="0" w:line="188"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Effective July 1, 2015, BM makes matching contributions for nonunion employees. Non-Union employees are eligible for a match, up to 4% of eligible compensation. Contributions to the plan were $379 during the period ended June 30, 2021.</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52"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BM has one class of common stock with 250,000 shares authorized and 125,000 issued and outstanding with no par value. AES has one class of common stock with 10,000 shares authorized and 1,000 shares issued and outstanding with a par value of $50 per share.</w:t>
      </w:r>
    </w:p>
    <w:p>
      <w:pPr>
        <w:spacing w:after="0" w:line="197" w:lineRule="exact"/>
        <w:rPr>
          <w:rFonts w:ascii="Arial" w:cs="Arial" w:eastAsia="Arial" w:hAnsi="Arial"/>
          <w:sz w:val="18"/>
          <w:szCs w:val="18"/>
          <w:color w:val="auto"/>
        </w:rPr>
      </w:pPr>
    </w:p>
    <w:p>
      <w:pPr>
        <w:ind w:left="340" w:right="9460" w:hanging="332"/>
        <w:spacing w:after="0" w:line="563"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CONTINGENCIES </w:t>
      </w:r>
      <w:r>
        <w:rPr>
          <w:rFonts w:ascii="Arial" w:cs="Arial" w:eastAsia="Arial" w:hAnsi="Arial"/>
          <w:sz w:val="17"/>
          <w:szCs w:val="17"/>
          <w:u w:val="single" w:color="auto"/>
          <w:color w:val="auto"/>
        </w:rPr>
        <w:t>Legal proceedings</w:t>
      </w:r>
    </w:p>
    <w:p>
      <w:pPr>
        <w:ind w:left="340"/>
        <w:spacing w:after="0" w:line="342" w:lineRule="auto"/>
        <w:rPr>
          <w:rFonts w:ascii="Arial" w:cs="Arial" w:eastAsia="Arial" w:hAnsi="Arial"/>
          <w:sz w:val="17"/>
          <w:szCs w:val="17"/>
          <w:color w:val="auto"/>
        </w:rPr>
      </w:pPr>
      <w:r>
        <w:rPr>
          <w:rFonts w:ascii="Arial" w:cs="Arial" w:eastAsia="Arial" w:hAnsi="Arial"/>
          <w:sz w:val="16"/>
          <w:szCs w:val="16"/>
          <w:color w:val="auto"/>
        </w:rPr>
        <w:t>The Company is subject to certain legal proceedings and claims arising in the normal course of business. The Company believes that the ultimate amount of liability, if any, for any pending claims of any type will not materially affect its financial position, results of operations or liquidity.</w:t>
      </w:r>
    </w:p>
    <w:p>
      <w:pPr>
        <w:spacing w:after="0" w:line="150" w:lineRule="exact"/>
        <w:rPr>
          <w:rFonts w:ascii="Arial" w:cs="Arial" w:eastAsia="Arial" w:hAnsi="Arial"/>
          <w:sz w:val="17"/>
          <w:szCs w:val="17"/>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 AND UNCERTAINTIES</w:t>
      </w:r>
    </w:p>
    <w:p>
      <w:pPr>
        <w:spacing w:after="0" w:line="252" w:lineRule="exact"/>
        <w:rPr>
          <w:rFonts w:ascii="Arial" w:cs="Arial" w:eastAsia="Arial" w:hAnsi="Arial"/>
          <w:sz w:val="18"/>
          <w:szCs w:val="18"/>
          <w:color w:val="auto"/>
        </w:rPr>
      </w:pPr>
    </w:p>
    <w:p>
      <w:pPr>
        <w:jc w:val="both"/>
        <w:ind w:left="340"/>
        <w:spacing w:after="0" w:line="301" w:lineRule="auto"/>
        <w:rPr>
          <w:rFonts w:ascii="Arial" w:cs="Arial" w:eastAsia="Arial" w:hAnsi="Arial"/>
          <w:sz w:val="18"/>
          <w:szCs w:val="18"/>
          <w:color w:val="auto"/>
        </w:rPr>
      </w:pPr>
      <w:r>
        <w:rPr>
          <w:rFonts w:ascii="Arial" w:cs="Arial" w:eastAsia="Arial" w:hAnsi="Arial"/>
          <w:sz w:val="16"/>
          <w:szCs w:val="16"/>
          <w:color w:val="auto"/>
        </w:rPr>
        <w:t>On March 11, 2020, the World Health Organization declared the novel strain of coronavirus (COVID-l9) a global pandemic (“the Pandemic”). Given the unprecedented nature of this situation, the Company cannot reasonably estimate the full impact the Pandemic will have on our financial condition, results of operations, or cash flows in the foreseeable future. The ultimate impact of the Pandemic on the Company is highly uncertain and will depend on future developments, and such impacts could exist for an extended period of time, even after the Pandemic subsides.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Crown Building Maintenance Co. and Crown Energy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dba Able Services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Combined Financial Statements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June 30, 2021</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thousands)</w:t>
      </w:r>
    </w:p>
    <w:p>
      <w:pPr>
        <w:spacing w:after="0" w:line="238"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SUBSEQUENT EVENTS</w:t>
      </w:r>
    </w:p>
    <w:p>
      <w:pPr>
        <w:spacing w:after="0" w:line="252" w:lineRule="exact"/>
        <w:rPr>
          <w:rFonts w:ascii="Arial" w:cs="Arial" w:eastAsia="Arial" w:hAnsi="Arial"/>
          <w:sz w:val="18"/>
          <w:szCs w:val="18"/>
          <w:color w:val="auto"/>
        </w:rPr>
      </w:pPr>
    </w:p>
    <w:p>
      <w:pPr>
        <w:jc w:val="both"/>
        <w:ind w:left="340"/>
        <w:spacing w:after="0" w:line="263" w:lineRule="auto"/>
        <w:rPr>
          <w:rFonts w:ascii="Arial" w:cs="Arial" w:eastAsia="Arial" w:hAnsi="Arial"/>
          <w:sz w:val="18"/>
          <w:szCs w:val="18"/>
          <w:color w:val="auto"/>
        </w:rPr>
      </w:pPr>
      <w:r>
        <w:rPr>
          <w:rFonts w:ascii="Arial" w:cs="Arial" w:eastAsia="Arial" w:hAnsi="Arial"/>
          <w:sz w:val="18"/>
          <w:szCs w:val="18"/>
          <w:color w:val="auto"/>
        </w:rPr>
        <w:t>The Company has evaluated subsequent events through November 2, 2021, the date the combined financial statements were available to be issued. As of this date, no subsequent events have occurred that would have a material impact on the presentation of the Company's financial statements, except the following.</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1"/>
          <w:numId w:val="26"/>
        </w:numPr>
        <w:rPr>
          <w:rFonts w:ascii="Arial" w:cs="Arial" w:eastAsia="Arial" w:hAnsi="Arial"/>
          <w:sz w:val="18"/>
          <w:szCs w:val="18"/>
          <w:color w:val="auto"/>
        </w:rPr>
      </w:pPr>
      <w:r>
        <w:rPr>
          <w:rFonts w:ascii="Arial" w:cs="Arial" w:eastAsia="Arial" w:hAnsi="Arial"/>
          <w:sz w:val="18"/>
          <w:szCs w:val="18"/>
          <w:color w:val="auto"/>
        </w:rPr>
        <w:t>On September 30, 2021, the Company was acquired by ABM Industries Incorporated for $830 million in cash, subject to customary closing adjustments for working capital and debt as described in the purchase agreement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UNAUDITED PRO FORMA CONDENSED COMBINED FINANCIAL STATEMENTS</w:t>
      </w:r>
    </w:p>
    <w:p>
      <w:pPr>
        <w:spacing w:after="0" w:line="26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color w:val="auto"/>
        </w:rPr>
        <w:t>On September 30, 2021 (“Closing Date”), ABM Industries Incorporated, which operates through its subsidiaries (collectively referred to as “ABM,” “we,” “us,” “our,” or the “Company”), completed the acquisition (the “Acquisition”) of Crown Building Maintenance Co. and Crown Energy Services, Inc. (collectively, “Able”). The preliminary purchase price for Able was $ 830 million, subject to customary adjustments for working capital inclusive of debt-like items. The Acquisition was completed for a net cash purchase price of $741.7 million. Pursuant to the terms of the purchase agreement, approximately $12.1 million of the cash consideration was placed into escrow accounts, of which approximately $ 8.2 million was placed into escrow to satisfy any applicable indemnification claims for a period of 12 months. To fund the cash purchase price, we used cash on hand and borrowed $325.0 million on September 30, 2021 at an average interest rate of 1.58% from our revolving line of credit (the “Line of Credit”) under our syndicated secured credit facility (the “Credit Facility”).</w:t>
      </w:r>
    </w:p>
    <w:p>
      <w:pPr>
        <w:spacing w:after="0" w:line="23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ABM and Able are providing the following unaudited pro forma condensed combined financial statements (“Pro Forma Financial Statements”) to aid you in your analysis of the financial aspects of the business combination described below. The unaudited pro forma condensed combined financial statements have been prepared in accordance with Article 11 of Regulation S-X as amended by the final rule, Release No. 33-10786 “Amendments to Financial Disclosures about Acquired and Disposed Businesses” and should be read in conjunction with the accompanying notes. The unaudited pro forma condensed combined financial statements are based on ABM and Able’s historical financial information as adjusted to give effect to the business combination described below and the related financing as if the transactions had been completed on July 31, 2021 with respect to the unaudited pro forma condensed combined balance sheet, and as of November 1, 2019 with respect to the unaudited pro forma condensed combined statement of income for the fiscal year ended October 31, 2020 and the unaudited pro forma condensed combined statement of income for the nine months ended July 31, 2021. ABM’s fiscal year ends on October 31, while Able’s fiscal year ends on December 31. Given that the fiscal year end of Able is within one quarter of ABM’s fiscal year, in accordance with Article 11 of Regulation S-X, the historical financial statements of each entity have been combined without any conforming adjustments with respect to this difference in fiscal periods.</w:t>
      </w:r>
    </w:p>
    <w:p>
      <w:pPr>
        <w:spacing w:after="0" w:line="23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unaudited pro forma condensed combined balance sheet as of July 31, 2021 combines the unaudited condensed consolidated balance sheet of ABM as of July 31, 2021 with the unaudited condensed combined balance sheet of Able as of June 30, 2021, which is the latest period of Able included within the unaudited pro forma condensed combined financial statements.</w:t>
      </w:r>
    </w:p>
    <w:p>
      <w:pPr>
        <w:spacing w:after="0" w:line="22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unaudited pro forma condensed combined statement of income for the fiscal year ended October 31, 2020, combines the audited consolidated statement of comprehensive income of ABM for the fiscal year ended October 31, 2020, with the audited combined statement of income of Able for the year ended December 31, 2020. The unaudited pro forma condensed combined statement of income for the nine months ended July 31, 2021, combines the unaudited consolidated statement of comprehensive income of ABM for the nine months ended July 31, 2021, with the unaudited condensed combined statement of income of Able for the nine months ended June 30, 2021. Able’s historical results for the nine months ended June 30, 2021 were derived by combining the results from the six months ended June 30, 2021 with results for the three months ended December 31, 2020 in order to disclose a consistent length of the periods between entities. Accordingly, Able’s revenue and net income of $275.8 million and $15.9 million for the three months ended December 31, 2020, respectively, are included in both the annual and interim unaudited pro forma condensed combined statements of income.</w:t>
      </w:r>
    </w:p>
    <w:p>
      <w:pPr>
        <w:spacing w:after="0" w:line="2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unaudited pro forma condensed combined financial statements are derived from, and should be read in conjunction with the ABM’s quarterly report on Form 10-Q for the period ended July 31, 2021 filed on September 9, 2021, and ABM’s annual report on Form 10-K for the fiscal year ended October 31, 2020 filed on December 17, 2020. The unaudited pro forma condensed combined financial statements should also be read in conjunction the historical unaudited combined financial statements of Able as of and for the six months ended June 30, 2021, and the historical audited combined financial statements of Able as of and for the years ended December 31, 2020 and December 31, 2019.</w:t>
      </w:r>
    </w:p>
    <w:p>
      <w:pPr>
        <w:spacing w:after="0" w:line="23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foregoing historical financial statements have been prepared in accordance with U.S. GAAP. The unaudited pro forma condensed combined financial statements have been prepared based on the aforementioned historical financial statements and the assumptions and adjustments as described in the notes to the unaudited pro forma condensed combined financial statements. The pro forma adjustments are based upon available information and methodologies that are factually supportable and directly attributable to the business combination referred to below and do not reflect the costs of any integration activities or benefits that may result from realization of future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8"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3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growth or operational synergies expected to result from the business combination. The unaudited pro forma condensed combined financial statements are presented for illustrative purposes only and do not purport to represent ABM’s combined statement of income or combined balance sheet that would actually have occurred had the transactions referred to below had been consummated on the dates assumed or to project ABM’s combined statement of income or combined balance sheet for any future date or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8"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0046AD"/>
        </w:rPr>
        <w:t>UNAUDITED PRO FORMA CONDENSED COMBINED BALANCE SHEET</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14"/>
          <w:szCs w:val="14"/>
          <w:i w:val="1"/>
          <w:iCs w:val="1"/>
          <w:u w:val="single" w:color="auto"/>
          <w:color w:val="auto"/>
        </w:rPr>
        <w:t>(in millions)</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ASSETS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assets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Trade accounts receivable, net</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Other current assets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Able</w:t>
            </w:r>
          </w:p>
        </w:tc>
        <w:tc>
          <w:tcPr>
            <w:tcW w:w="160" w:type="dxa"/>
            <w:vAlign w:val="bottom"/>
          </w:tcPr>
          <w:p>
            <w:pPr>
              <w:spacing w:after="0"/>
              <w:rPr>
                <w:sz w:val="16"/>
                <w:szCs w:val="16"/>
                <w:color w:val="auto"/>
              </w:rPr>
            </w:pPr>
          </w:p>
        </w:tc>
        <w:tc>
          <w:tcPr>
            <w:tcW w:w="124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Pro Forma</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134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ABM</w:t>
            </w:r>
          </w:p>
        </w:tc>
        <w:tc>
          <w:tcPr>
            <w:tcW w:w="1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Transaction</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Pro Forma</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9"/>
              </w:rPr>
              <w:t>June 30, 2021</w:t>
            </w:r>
          </w:p>
        </w:tc>
        <w:tc>
          <w:tcPr>
            <w:tcW w:w="160" w:type="dxa"/>
            <w:vAlign w:val="bottom"/>
          </w:tcPr>
          <w:p>
            <w:pPr>
              <w:spacing w:after="0"/>
              <w:rPr>
                <w:sz w:val="14"/>
                <w:szCs w:val="14"/>
                <w:color w:val="auto"/>
              </w:rPr>
            </w:pPr>
          </w:p>
        </w:tc>
        <w:tc>
          <w:tcPr>
            <w:tcW w:w="12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9"/>
              </w:rPr>
              <w:t>Accounting</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July 31, 2021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(as adjusted)</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Adjustments</w:t>
            </w:r>
          </w:p>
        </w:tc>
        <w:tc>
          <w:tcPr>
            <w:tcW w:w="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Combined</w:t>
            </w:r>
          </w:p>
        </w:tc>
        <w:tc>
          <w:tcPr>
            <w:tcW w:w="0" w:type="dxa"/>
            <w:vAlign w:val="bottom"/>
          </w:tcPr>
          <w:p>
            <w:pPr>
              <w:spacing w:after="0"/>
              <w:rPr>
                <w:sz w:val="1"/>
                <w:szCs w:val="1"/>
                <w:color w:val="auto"/>
              </w:rPr>
            </w:pPr>
          </w:p>
        </w:tc>
      </w:tr>
      <w:tr>
        <w:trPr>
          <w:trHeight w:val="623"/>
        </w:trPr>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505.4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104.5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gridSpan w:val="2"/>
          </w:tcPr>
          <w:p>
            <w:pPr>
              <w:jc w:val="right"/>
              <w:ind w:right="259"/>
              <w:spacing w:after="0"/>
              <w:rPr>
                <w:sz w:val="20"/>
                <w:szCs w:val="20"/>
                <w:color w:val="auto"/>
              </w:rPr>
            </w:pPr>
            <w:r>
              <w:rPr>
                <w:rFonts w:ascii="Arial" w:cs="Arial" w:eastAsia="Arial" w:hAnsi="Arial"/>
                <w:sz w:val="16"/>
                <w:szCs w:val="16"/>
                <w:color w:val="auto"/>
              </w:rPr>
              <w:t xml:space="preserve">(489.7) </w:t>
            </w:r>
            <w:r>
              <w:rPr>
                <w:rFonts w:ascii="Arial" w:cs="Arial" w:eastAsia="Arial" w:hAnsi="Arial"/>
                <w:sz w:val="16"/>
                <w:szCs w:val="16"/>
                <w:b w:val="1"/>
                <w:bCs w:val="1"/>
                <w:color w:val="auto"/>
              </w:rPr>
              <w:t>4a</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120.2</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910.2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13.3</w:t>
            </w:r>
          </w:p>
        </w:tc>
        <w:tc>
          <w:tcPr>
            <w:tcW w:w="540" w:type="dxa"/>
            <w:vAlign w:val="bottom"/>
          </w:tcPr>
          <w:p>
            <w:pPr>
              <w:jc w:val="right"/>
              <w:ind w:right="259"/>
              <w:spacing w:after="0"/>
              <w:rPr>
                <w:sz w:val="20"/>
                <w:szCs w:val="20"/>
                <w:color w:val="auto"/>
              </w:rPr>
            </w:pPr>
            <w:r>
              <w:rPr>
                <w:rFonts w:ascii="Arial" w:cs="Arial" w:eastAsia="Arial" w:hAnsi="Arial"/>
                <w:sz w:val="16"/>
                <w:szCs w:val="16"/>
                <w:b w:val="1"/>
                <w:bCs w:val="1"/>
                <w:color w:val="auto"/>
              </w:rPr>
              <w:t>4k</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1,069.4</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9.1</w:t>
            </w:r>
          </w:p>
        </w:tc>
        <w:tc>
          <w:tcPr>
            <w:tcW w:w="540" w:type="dxa"/>
            <w:vAlign w:val="bottom"/>
          </w:tcPr>
          <w:p>
            <w:pPr>
              <w:jc w:val="right"/>
              <w:ind w:right="259"/>
              <w:spacing w:after="0"/>
              <w:rPr>
                <w:sz w:val="20"/>
                <w:szCs w:val="20"/>
                <w:color w:val="auto"/>
              </w:rPr>
            </w:pPr>
            <w:r>
              <w:rPr>
                <w:rFonts w:ascii="Arial" w:cs="Arial" w:eastAsia="Arial" w:hAnsi="Arial"/>
                <w:sz w:val="16"/>
                <w:szCs w:val="16"/>
                <w:b w:val="1"/>
                <w:bCs w:val="1"/>
                <w:color w:val="auto"/>
              </w:rPr>
              <w:t>4k</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-681355</wp:posOffset>
            </wp:positionV>
            <wp:extent cx="710628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-407035</wp:posOffset>
            </wp:positionV>
            <wp:extent cx="710628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-132715</wp:posOffset>
            </wp:positionV>
            <wp:extent cx="710628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120" w:space="720"/>
            <w:col w:w="640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4840" w:type="dxa"/>
            <w:vAlign w:val="bottom"/>
            <w:tcBorders>
              <w:bottom w:val="single" w:sz="8" w:color="DCE2EF"/>
            </w:tcBorders>
          </w:tcPr>
          <w:p>
            <w:pPr>
              <w:ind w:left="480"/>
              <w:spacing w:after="0"/>
              <w:rPr>
                <w:sz w:val="20"/>
                <w:szCs w:val="20"/>
                <w:color w:val="auto"/>
              </w:rPr>
            </w:pPr>
            <w:r>
              <w:rPr>
                <w:rFonts w:ascii="Arial" w:cs="Arial" w:eastAsia="Arial" w:hAnsi="Arial"/>
                <w:sz w:val="16"/>
                <w:szCs w:val="16"/>
                <w:color w:val="auto"/>
              </w:rPr>
              <w:t>Total current assets</w:t>
            </w: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1,600.3</w:t>
            </w:r>
          </w:p>
        </w:tc>
        <w:tc>
          <w:tcPr>
            <w:tcW w:w="100" w:type="dxa"/>
            <w:vAlign w:val="bottom"/>
            <w:tcBorders>
              <w:bottom w:val="single" w:sz="8" w:color="DCE2E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262.1</w:t>
            </w:r>
          </w:p>
        </w:tc>
        <w:tc>
          <w:tcPr>
            <w:tcW w:w="100" w:type="dxa"/>
            <w:vAlign w:val="bottom"/>
            <w:tcBorders>
              <w:bottom w:val="single" w:sz="8" w:color="DCE2E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(467.4)</w:t>
            </w:r>
          </w:p>
        </w:tc>
        <w:tc>
          <w:tcPr>
            <w:tcW w:w="540" w:type="dxa"/>
            <w:vAlign w:val="bottom"/>
            <w:tcBorders>
              <w:bottom w:val="single" w:sz="8" w:color="DCE2E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1,395.0</w:t>
            </w:r>
          </w:p>
        </w:tc>
      </w:tr>
      <w:tr>
        <w:trPr>
          <w:trHeight w:val="213"/>
        </w:trPr>
        <w:tc>
          <w:tcPr>
            <w:tcW w:w="4840" w:type="dxa"/>
            <w:vAlign w:val="bottom"/>
            <w:shd w:val="clear" w:color="auto" w:fill="DCE2EF"/>
          </w:tcPr>
          <w:p>
            <w:pPr>
              <w:ind w:left="20"/>
              <w:spacing w:after="0"/>
              <w:rPr>
                <w:sz w:val="20"/>
                <w:szCs w:val="20"/>
                <w:color w:val="auto"/>
              </w:rPr>
            </w:pPr>
            <w:r>
              <w:rPr>
                <w:rFonts w:ascii="Arial" w:cs="Arial" w:eastAsia="Arial" w:hAnsi="Arial"/>
                <w:sz w:val="16"/>
                <w:szCs w:val="16"/>
                <w:color w:val="auto"/>
              </w:rPr>
              <w:t>Other investments</w:t>
            </w:r>
          </w:p>
        </w:tc>
        <w:tc>
          <w:tcPr>
            <w:tcW w:w="440" w:type="dxa"/>
            <w:vAlign w:val="bottom"/>
            <w:shd w:val="clear" w:color="auto" w:fill="DCE2EF"/>
          </w:tcPr>
          <w:p>
            <w:pPr>
              <w:spacing w:after="0"/>
              <w:rPr>
                <w:sz w:val="18"/>
                <w:szCs w:val="18"/>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DCE2EF"/>
          </w:tcPr>
          <w:p>
            <w:pPr>
              <w:spacing w:after="0"/>
              <w:rPr>
                <w:sz w:val="18"/>
                <w:szCs w:val="18"/>
                <w:color w:val="auto"/>
              </w:rPr>
            </w:pPr>
          </w:p>
        </w:tc>
        <w:tc>
          <w:tcPr>
            <w:tcW w:w="540" w:type="dxa"/>
            <w:vAlign w:val="bottom"/>
            <w:shd w:val="clear" w:color="auto" w:fill="DCE2EF"/>
          </w:tcPr>
          <w:p>
            <w:pPr>
              <w:spacing w:after="0"/>
              <w:rPr>
                <w:sz w:val="18"/>
                <w:szCs w:val="18"/>
                <w:color w:val="auto"/>
              </w:rPr>
            </w:pPr>
          </w:p>
        </w:tc>
        <w:tc>
          <w:tcPr>
            <w:tcW w:w="1000" w:type="dxa"/>
            <w:vAlign w:val="bottom"/>
            <w:gridSpan w:val="2"/>
            <w:shd w:val="clear" w:color="auto" w:fill="DCE2E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DCE2EF"/>
          </w:tcPr>
          <w:p>
            <w:pPr>
              <w:spacing w:after="0"/>
              <w:rPr>
                <w:sz w:val="18"/>
                <w:szCs w:val="18"/>
                <w:color w:val="auto"/>
              </w:rPr>
            </w:pPr>
          </w:p>
        </w:tc>
        <w:tc>
          <w:tcPr>
            <w:tcW w:w="920" w:type="dxa"/>
            <w:vAlign w:val="bottom"/>
            <w:shd w:val="clear" w:color="auto" w:fill="DCE2EF"/>
          </w:tcPr>
          <w:p>
            <w:pPr>
              <w:spacing w:after="0"/>
              <w:rPr>
                <w:sz w:val="18"/>
                <w:szCs w:val="18"/>
                <w:color w:val="auto"/>
              </w:rPr>
            </w:pPr>
          </w:p>
        </w:tc>
        <w:tc>
          <w:tcPr>
            <w:tcW w:w="540" w:type="dxa"/>
            <w:vAlign w:val="bottom"/>
            <w:shd w:val="clear" w:color="auto" w:fill="DCE2EF"/>
          </w:tcPr>
          <w:p>
            <w:pPr>
              <w:spacing w:after="0"/>
              <w:rPr>
                <w:sz w:val="18"/>
                <w:szCs w:val="18"/>
                <w:color w:val="auto"/>
              </w:rPr>
            </w:pPr>
          </w:p>
        </w:tc>
        <w:tc>
          <w:tcPr>
            <w:tcW w:w="440" w:type="dxa"/>
            <w:vAlign w:val="bottom"/>
            <w:shd w:val="clear" w:color="auto" w:fill="DCE2EF"/>
          </w:tcPr>
          <w:p>
            <w:pPr>
              <w:spacing w:after="0"/>
              <w:rPr>
                <w:sz w:val="18"/>
                <w:szCs w:val="18"/>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11.1</w:t>
            </w: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111.8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w:t>
            </w:r>
          </w:p>
        </w:tc>
        <w:tc>
          <w:tcPr>
            <w:tcW w:w="540" w:type="dxa"/>
            <w:vAlign w:val="bottom"/>
          </w:tcPr>
          <w:p>
            <w:pPr>
              <w:ind w:left="20"/>
              <w:spacing w:after="0"/>
              <w:rPr>
                <w:sz w:val="20"/>
                <w:szCs w:val="20"/>
                <w:color w:val="auto"/>
              </w:rPr>
            </w:pPr>
            <w:r>
              <w:rPr>
                <w:rFonts w:ascii="Arial" w:cs="Arial" w:eastAsia="Arial" w:hAnsi="Arial"/>
                <w:sz w:val="16"/>
                <w:szCs w:val="16"/>
                <w:b w:val="1"/>
                <w:bCs w:val="1"/>
                <w:color w:val="auto"/>
              </w:rPr>
              <w:t>4k</w:t>
            </w: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113.3</w:t>
            </w:r>
          </w:p>
        </w:tc>
      </w:tr>
      <w:tr>
        <w:trPr>
          <w:trHeight w:val="217"/>
        </w:trPr>
        <w:tc>
          <w:tcPr>
            <w:tcW w:w="4840" w:type="dxa"/>
            <w:vAlign w:val="bottom"/>
            <w:shd w:val="clear" w:color="auto" w:fill="DCE2EF"/>
          </w:tcPr>
          <w:p>
            <w:pPr>
              <w:ind w:left="20"/>
              <w:spacing w:after="0"/>
              <w:rPr>
                <w:sz w:val="20"/>
                <w:szCs w:val="20"/>
                <w:color w:val="auto"/>
              </w:rPr>
            </w:pPr>
            <w:r>
              <w:rPr>
                <w:rFonts w:ascii="Arial" w:cs="Arial" w:eastAsia="Arial" w:hAnsi="Arial"/>
                <w:sz w:val="16"/>
                <w:szCs w:val="16"/>
                <w:color w:val="auto"/>
              </w:rPr>
              <w:t>Right-of-use assets</w:t>
            </w:r>
          </w:p>
        </w:tc>
        <w:tc>
          <w:tcPr>
            <w:tcW w:w="440" w:type="dxa"/>
            <w:vAlign w:val="bottom"/>
            <w:shd w:val="clear" w:color="auto" w:fill="DCE2EF"/>
          </w:tcPr>
          <w:p>
            <w:pPr>
              <w:spacing w:after="0"/>
              <w:rPr>
                <w:sz w:val="18"/>
                <w:szCs w:val="18"/>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129.5</w:t>
            </w:r>
          </w:p>
        </w:tc>
        <w:tc>
          <w:tcPr>
            <w:tcW w:w="100" w:type="dxa"/>
            <w:vAlign w:val="bottom"/>
            <w:shd w:val="clear" w:color="auto" w:fill="DCE2EF"/>
          </w:tcPr>
          <w:p>
            <w:pPr>
              <w:spacing w:after="0"/>
              <w:rPr>
                <w:sz w:val="18"/>
                <w:szCs w:val="18"/>
                <w:color w:val="auto"/>
              </w:rPr>
            </w:pPr>
          </w:p>
        </w:tc>
        <w:tc>
          <w:tcPr>
            <w:tcW w:w="540" w:type="dxa"/>
            <w:vAlign w:val="bottom"/>
            <w:shd w:val="clear" w:color="auto" w:fill="DCE2EF"/>
          </w:tcPr>
          <w:p>
            <w:pPr>
              <w:spacing w:after="0"/>
              <w:rPr>
                <w:sz w:val="18"/>
                <w:szCs w:val="18"/>
                <w:color w:val="auto"/>
              </w:rPr>
            </w:pPr>
          </w:p>
        </w:tc>
        <w:tc>
          <w:tcPr>
            <w:tcW w:w="1000" w:type="dxa"/>
            <w:vAlign w:val="bottom"/>
            <w:gridSpan w:val="2"/>
            <w:shd w:val="clear" w:color="auto" w:fill="DCE2E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2.8</w:t>
            </w:r>
          </w:p>
        </w:tc>
        <w:tc>
          <w:tcPr>
            <w:tcW w:w="540" w:type="dxa"/>
            <w:vAlign w:val="bottom"/>
            <w:shd w:val="clear" w:color="auto" w:fill="DCE2EF"/>
          </w:tcPr>
          <w:p>
            <w:pPr>
              <w:ind w:left="20"/>
              <w:spacing w:after="0"/>
              <w:rPr>
                <w:sz w:val="20"/>
                <w:szCs w:val="20"/>
                <w:color w:val="auto"/>
              </w:rPr>
            </w:pPr>
            <w:r>
              <w:rPr>
                <w:rFonts w:ascii="Arial" w:cs="Arial" w:eastAsia="Arial" w:hAnsi="Arial"/>
                <w:sz w:val="16"/>
                <w:szCs w:val="16"/>
                <w:b w:val="1"/>
                <w:bCs w:val="1"/>
                <w:color w:val="auto"/>
              </w:rPr>
              <w:t>4b</w:t>
            </w:r>
          </w:p>
        </w:tc>
        <w:tc>
          <w:tcPr>
            <w:tcW w:w="440" w:type="dxa"/>
            <w:vAlign w:val="bottom"/>
            <w:shd w:val="clear" w:color="auto" w:fill="DCE2EF"/>
          </w:tcPr>
          <w:p>
            <w:pPr>
              <w:spacing w:after="0"/>
              <w:rPr>
                <w:sz w:val="18"/>
                <w:szCs w:val="18"/>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132.3</w:t>
            </w: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Other intangible assets, net</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207.7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246.1</w:t>
            </w:r>
          </w:p>
        </w:tc>
        <w:tc>
          <w:tcPr>
            <w:tcW w:w="540" w:type="dxa"/>
            <w:vAlign w:val="bottom"/>
          </w:tcPr>
          <w:p>
            <w:pPr>
              <w:ind w:left="20"/>
              <w:spacing w:after="0"/>
              <w:rPr>
                <w:sz w:val="20"/>
                <w:szCs w:val="20"/>
                <w:color w:val="auto"/>
              </w:rPr>
            </w:pPr>
            <w:r>
              <w:rPr>
                <w:rFonts w:ascii="Arial" w:cs="Arial" w:eastAsia="Arial" w:hAnsi="Arial"/>
                <w:sz w:val="16"/>
                <w:szCs w:val="16"/>
                <w:b w:val="1"/>
                <w:bCs w:val="1"/>
                <w:color w:val="auto"/>
              </w:rPr>
              <w:t>4c</w:t>
            </w: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457.7</w:t>
            </w:r>
          </w:p>
        </w:tc>
      </w:tr>
      <w:tr>
        <w:trPr>
          <w:trHeight w:val="217"/>
        </w:trPr>
        <w:tc>
          <w:tcPr>
            <w:tcW w:w="4840" w:type="dxa"/>
            <w:vAlign w:val="bottom"/>
            <w:shd w:val="clear" w:color="auto" w:fill="DCE2EF"/>
          </w:tcPr>
          <w:p>
            <w:pPr>
              <w:ind w:left="20"/>
              <w:spacing w:after="0"/>
              <w:rPr>
                <w:sz w:val="20"/>
                <w:szCs w:val="20"/>
                <w:color w:val="auto"/>
              </w:rPr>
            </w:pPr>
            <w:r>
              <w:rPr>
                <w:rFonts w:ascii="Arial" w:cs="Arial" w:eastAsia="Arial" w:hAnsi="Arial"/>
                <w:sz w:val="16"/>
                <w:szCs w:val="16"/>
                <w:color w:val="auto"/>
              </w:rPr>
              <w:t>Goodwill</w:t>
            </w:r>
          </w:p>
        </w:tc>
        <w:tc>
          <w:tcPr>
            <w:tcW w:w="440" w:type="dxa"/>
            <w:vAlign w:val="bottom"/>
            <w:shd w:val="clear" w:color="auto" w:fill="DCE2EF"/>
          </w:tcPr>
          <w:p>
            <w:pPr>
              <w:spacing w:after="0"/>
              <w:rPr>
                <w:sz w:val="18"/>
                <w:szCs w:val="18"/>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1,675.5</w:t>
            </w:r>
          </w:p>
        </w:tc>
        <w:tc>
          <w:tcPr>
            <w:tcW w:w="100" w:type="dxa"/>
            <w:vAlign w:val="bottom"/>
            <w:shd w:val="clear" w:color="auto" w:fill="DCE2EF"/>
          </w:tcPr>
          <w:p>
            <w:pPr>
              <w:spacing w:after="0"/>
              <w:rPr>
                <w:sz w:val="18"/>
                <w:szCs w:val="18"/>
                <w:color w:val="auto"/>
              </w:rPr>
            </w:pPr>
          </w:p>
        </w:tc>
        <w:tc>
          <w:tcPr>
            <w:tcW w:w="540" w:type="dxa"/>
            <w:vAlign w:val="bottom"/>
            <w:shd w:val="clear" w:color="auto" w:fill="DCE2EF"/>
          </w:tcPr>
          <w:p>
            <w:pPr>
              <w:spacing w:after="0"/>
              <w:rPr>
                <w:sz w:val="18"/>
                <w:szCs w:val="18"/>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DCE2EF"/>
          </w:tcPr>
          <w:p>
            <w:pPr>
              <w:spacing w:after="0"/>
              <w:rPr>
                <w:sz w:val="18"/>
                <w:szCs w:val="18"/>
                <w:color w:val="auto"/>
              </w:rPr>
            </w:pPr>
          </w:p>
        </w:tc>
        <w:tc>
          <w:tcPr>
            <w:tcW w:w="48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533.8</w:t>
            </w:r>
          </w:p>
        </w:tc>
        <w:tc>
          <w:tcPr>
            <w:tcW w:w="540" w:type="dxa"/>
            <w:vAlign w:val="bottom"/>
            <w:shd w:val="clear" w:color="auto" w:fill="DCE2EF"/>
          </w:tcPr>
          <w:p>
            <w:pPr>
              <w:ind w:left="20"/>
              <w:spacing w:after="0"/>
              <w:rPr>
                <w:sz w:val="20"/>
                <w:szCs w:val="20"/>
                <w:color w:val="auto"/>
              </w:rPr>
            </w:pPr>
            <w:r>
              <w:rPr>
                <w:rFonts w:ascii="Arial" w:cs="Arial" w:eastAsia="Arial" w:hAnsi="Arial"/>
                <w:sz w:val="16"/>
                <w:szCs w:val="16"/>
                <w:b w:val="1"/>
                <w:bCs w:val="1"/>
                <w:color w:val="auto"/>
              </w:rPr>
              <w:t>4d</w:t>
            </w:r>
          </w:p>
        </w:tc>
        <w:tc>
          <w:tcPr>
            <w:tcW w:w="440" w:type="dxa"/>
            <w:vAlign w:val="bottom"/>
            <w:shd w:val="clear" w:color="auto" w:fill="DCE2EF"/>
          </w:tcPr>
          <w:p>
            <w:pPr>
              <w:spacing w:after="0"/>
              <w:rPr>
                <w:sz w:val="18"/>
                <w:szCs w:val="18"/>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2,214.3</w:t>
            </w: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Deferred income taxes, net</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(38.2)</w:t>
            </w:r>
          </w:p>
        </w:tc>
        <w:tc>
          <w:tcPr>
            <w:tcW w:w="540" w:type="dxa"/>
            <w:vAlign w:val="bottom"/>
          </w:tcPr>
          <w:p>
            <w:pPr>
              <w:ind w:left="20"/>
              <w:spacing w:after="0"/>
              <w:rPr>
                <w:sz w:val="20"/>
                <w:szCs w:val="20"/>
                <w:color w:val="auto"/>
              </w:rPr>
            </w:pPr>
            <w:r>
              <w:rPr>
                <w:rFonts w:ascii="Arial" w:cs="Arial" w:eastAsia="Arial" w:hAnsi="Arial"/>
                <w:sz w:val="16"/>
                <w:szCs w:val="16"/>
                <w:b w:val="1"/>
                <w:bCs w:val="1"/>
                <w:color w:val="auto"/>
              </w:rPr>
              <w:t>4g</w:t>
            </w: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4840" w:type="dxa"/>
            <w:vAlign w:val="bottom"/>
            <w:shd w:val="clear" w:color="auto" w:fill="DCE2EF"/>
          </w:tcPr>
          <w:p>
            <w:pPr>
              <w:ind w:left="20"/>
              <w:spacing w:after="0"/>
              <w:rPr>
                <w:sz w:val="20"/>
                <w:szCs w:val="20"/>
                <w:color w:val="auto"/>
              </w:rPr>
            </w:pPr>
            <w:r>
              <w:rPr>
                <w:rFonts w:ascii="Arial" w:cs="Arial" w:eastAsia="Arial" w:hAnsi="Arial"/>
                <w:sz w:val="16"/>
                <w:szCs w:val="16"/>
                <w:color w:val="auto"/>
              </w:rPr>
              <w:t>Other noncurrent assets</w:t>
            </w:r>
          </w:p>
        </w:tc>
        <w:tc>
          <w:tcPr>
            <w:tcW w:w="440" w:type="dxa"/>
            <w:vAlign w:val="bottom"/>
            <w:shd w:val="clear" w:color="auto" w:fill="DCE2EF"/>
          </w:tcPr>
          <w:p>
            <w:pPr>
              <w:spacing w:after="0"/>
              <w:rPr>
                <w:sz w:val="18"/>
                <w:szCs w:val="18"/>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123.2</w:t>
            </w:r>
          </w:p>
        </w:tc>
        <w:tc>
          <w:tcPr>
            <w:tcW w:w="100" w:type="dxa"/>
            <w:vAlign w:val="bottom"/>
            <w:shd w:val="clear" w:color="auto" w:fill="DCE2EF"/>
          </w:tcPr>
          <w:p>
            <w:pPr>
              <w:spacing w:after="0"/>
              <w:rPr>
                <w:sz w:val="18"/>
                <w:szCs w:val="18"/>
                <w:color w:val="auto"/>
              </w:rPr>
            </w:pPr>
          </w:p>
        </w:tc>
        <w:tc>
          <w:tcPr>
            <w:tcW w:w="540" w:type="dxa"/>
            <w:vAlign w:val="bottom"/>
            <w:shd w:val="clear" w:color="auto" w:fill="DCE2EF"/>
          </w:tcPr>
          <w:p>
            <w:pPr>
              <w:spacing w:after="0"/>
              <w:rPr>
                <w:sz w:val="18"/>
                <w:szCs w:val="18"/>
                <w:color w:val="auto"/>
              </w:rPr>
            </w:pPr>
          </w:p>
        </w:tc>
        <w:tc>
          <w:tcPr>
            <w:tcW w:w="1000" w:type="dxa"/>
            <w:vAlign w:val="bottom"/>
            <w:gridSpan w:val="2"/>
            <w:shd w:val="clear" w:color="auto" w:fill="DCE2E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DCE2EF"/>
          </w:tcPr>
          <w:p>
            <w:pPr>
              <w:spacing w:after="0"/>
              <w:rPr>
                <w:sz w:val="18"/>
                <w:szCs w:val="18"/>
                <w:color w:val="auto"/>
              </w:rPr>
            </w:pPr>
          </w:p>
        </w:tc>
        <w:tc>
          <w:tcPr>
            <w:tcW w:w="920" w:type="dxa"/>
            <w:vAlign w:val="bottom"/>
            <w:shd w:val="clear" w:color="auto" w:fill="DCE2EF"/>
          </w:tcPr>
          <w:p>
            <w:pPr>
              <w:spacing w:after="0"/>
              <w:rPr>
                <w:sz w:val="18"/>
                <w:szCs w:val="18"/>
                <w:color w:val="auto"/>
              </w:rPr>
            </w:pPr>
          </w:p>
        </w:tc>
        <w:tc>
          <w:tcPr>
            <w:tcW w:w="540" w:type="dxa"/>
            <w:vAlign w:val="bottom"/>
            <w:shd w:val="clear" w:color="auto" w:fill="DCE2EF"/>
          </w:tcPr>
          <w:p>
            <w:pPr>
              <w:spacing w:after="0"/>
              <w:rPr>
                <w:sz w:val="18"/>
                <w:szCs w:val="18"/>
                <w:color w:val="auto"/>
              </w:rPr>
            </w:pPr>
          </w:p>
        </w:tc>
        <w:tc>
          <w:tcPr>
            <w:tcW w:w="440" w:type="dxa"/>
            <w:vAlign w:val="bottom"/>
            <w:shd w:val="clear" w:color="auto" w:fill="DCE2EF"/>
          </w:tcPr>
          <w:p>
            <w:pPr>
              <w:spacing w:after="0"/>
              <w:rPr>
                <w:sz w:val="18"/>
                <w:szCs w:val="18"/>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123.2</w:t>
            </w:r>
          </w:p>
        </w:tc>
      </w:tr>
      <w:tr>
        <w:trPr>
          <w:trHeight w:val="212"/>
        </w:trPr>
        <w:tc>
          <w:tcPr>
            <w:tcW w:w="48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3,897.4</w:t>
            </w: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275.9</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273.6</w:t>
            </w:r>
          </w:p>
        </w:tc>
        <w:tc>
          <w:tcPr>
            <w:tcW w:w="5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4,446.9</w:t>
            </w:r>
          </w:p>
        </w:tc>
      </w:tr>
      <w:tr>
        <w:trPr>
          <w:trHeight w:val="20"/>
        </w:trPr>
        <w:tc>
          <w:tcPr>
            <w:tcW w:w="484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4840" w:type="dxa"/>
            <w:vAlign w:val="bottom"/>
            <w:shd w:val="clear" w:color="auto" w:fill="DCE2E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440" w:type="dxa"/>
            <w:vAlign w:val="bottom"/>
            <w:shd w:val="clear" w:color="auto" w:fill="DCE2EF"/>
          </w:tcPr>
          <w:p>
            <w:pPr>
              <w:spacing w:after="0"/>
              <w:rPr>
                <w:sz w:val="15"/>
                <w:szCs w:val="15"/>
                <w:color w:val="auto"/>
              </w:rPr>
            </w:pPr>
          </w:p>
        </w:tc>
        <w:tc>
          <w:tcPr>
            <w:tcW w:w="94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540" w:type="dxa"/>
            <w:vAlign w:val="bottom"/>
            <w:shd w:val="clear" w:color="auto" w:fill="DCE2EF"/>
          </w:tcPr>
          <w:p>
            <w:pPr>
              <w:spacing w:after="0"/>
              <w:rPr>
                <w:sz w:val="15"/>
                <w:szCs w:val="15"/>
                <w:color w:val="auto"/>
              </w:rPr>
            </w:pPr>
          </w:p>
        </w:tc>
        <w:tc>
          <w:tcPr>
            <w:tcW w:w="90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480" w:type="dxa"/>
            <w:vAlign w:val="bottom"/>
            <w:shd w:val="clear" w:color="auto" w:fill="DCE2EF"/>
          </w:tcPr>
          <w:p>
            <w:pPr>
              <w:spacing w:after="0"/>
              <w:rPr>
                <w:sz w:val="15"/>
                <w:szCs w:val="15"/>
                <w:color w:val="auto"/>
              </w:rPr>
            </w:pPr>
          </w:p>
        </w:tc>
        <w:tc>
          <w:tcPr>
            <w:tcW w:w="920" w:type="dxa"/>
            <w:vAlign w:val="bottom"/>
            <w:shd w:val="clear" w:color="auto" w:fill="DCE2EF"/>
          </w:tcPr>
          <w:p>
            <w:pPr>
              <w:spacing w:after="0"/>
              <w:rPr>
                <w:sz w:val="15"/>
                <w:szCs w:val="15"/>
                <w:color w:val="auto"/>
              </w:rPr>
            </w:pPr>
          </w:p>
        </w:tc>
        <w:tc>
          <w:tcPr>
            <w:tcW w:w="540" w:type="dxa"/>
            <w:vAlign w:val="bottom"/>
            <w:shd w:val="clear" w:color="auto" w:fill="DCE2EF"/>
          </w:tcPr>
          <w:p>
            <w:pPr>
              <w:spacing w:after="0"/>
              <w:rPr>
                <w:sz w:val="15"/>
                <w:szCs w:val="15"/>
                <w:color w:val="auto"/>
              </w:rPr>
            </w:pPr>
          </w:p>
        </w:tc>
        <w:tc>
          <w:tcPr>
            <w:tcW w:w="440" w:type="dxa"/>
            <w:vAlign w:val="bottom"/>
            <w:shd w:val="clear" w:color="auto" w:fill="DCE2EF"/>
          </w:tcPr>
          <w:p>
            <w:pPr>
              <w:spacing w:after="0"/>
              <w:rPr>
                <w:sz w:val="15"/>
                <w:szCs w:val="15"/>
                <w:color w:val="auto"/>
              </w:rPr>
            </w:pPr>
          </w:p>
        </w:tc>
        <w:tc>
          <w:tcPr>
            <w:tcW w:w="960" w:type="dxa"/>
            <w:vAlign w:val="bottom"/>
            <w:shd w:val="clear" w:color="auto" w:fill="DCE2EF"/>
          </w:tcPr>
          <w:p>
            <w:pPr>
              <w:spacing w:after="0"/>
              <w:rPr>
                <w:sz w:val="15"/>
                <w:szCs w:val="15"/>
                <w:color w:val="auto"/>
              </w:rPr>
            </w:pPr>
          </w:p>
        </w:tc>
      </w:tr>
      <w:tr>
        <w:trPr>
          <w:trHeight w:val="213"/>
        </w:trPr>
        <w:tc>
          <w:tcPr>
            <w:tcW w:w="48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4840" w:type="dxa"/>
            <w:vAlign w:val="bottom"/>
            <w:shd w:val="clear" w:color="auto" w:fill="DCE2EF"/>
          </w:tcPr>
          <w:p>
            <w:pPr>
              <w:ind w:left="220"/>
              <w:spacing w:after="0"/>
              <w:rPr>
                <w:sz w:val="20"/>
                <w:szCs w:val="20"/>
                <w:color w:val="auto"/>
              </w:rPr>
            </w:pPr>
            <w:r>
              <w:rPr>
                <w:rFonts w:ascii="Arial" w:cs="Arial" w:eastAsia="Arial" w:hAnsi="Arial"/>
                <w:sz w:val="16"/>
                <w:szCs w:val="16"/>
                <w:color w:val="auto"/>
              </w:rPr>
              <w:t>Current portion of long-term debt, net</w:t>
            </w:r>
          </w:p>
        </w:tc>
        <w:tc>
          <w:tcPr>
            <w:tcW w:w="440" w:type="dxa"/>
            <w:vAlign w:val="bottom"/>
            <w:shd w:val="clear" w:color="auto" w:fill="DCE2EF"/>
          </w:tcPr>
          <w:p>
            <w:pPr>
              <w:jc w:val="right"/>
              <w:ind w:right="2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DCE2EF"/>
          </w:tcPr>
          <w:p>
            <w:pPr>
              <w:spacing w:after="0"/>
              <w:rPr>
                <w:sz w:val="19"/>
                <w:szCs w:val="19"/>
                <w:color w:val="auto"/>
              </w:rPr>
            </w:pPr>
          </w:p>
        </w:tc>
        <w:tc>
          <w:tcPr>
            <w:tcW w:w="540" w:type="dxa"/>
            <w:vAlign w:val="bottom"/>
            <w:shd w:val="clear" w:color="auto" w:fill="DCE2EF"/>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DCE2E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DCE2EF"/>
          </w:tcPr>
          <w:p>
            <w:pPr>
              <w:spacing w:after="0"/>
              <w:rPr>
                <w:sz w:val="19"/>
                <w:szCs w:val="19"/>
                <w:color w:val="auto"/>
              </w:rPr>
            </w:pPr>
          </w:p>
        </w:tc>
        <w:tc>
          <w:tcPr>
            <w:tcW w:w="920" w:type="dxa"/>
            <w:vAlign w:val="bottom"/>
            <w:shd w:val="clear" w:color="auto" w:fill="DCE2EF"/>
          </w:tcPr>
          <w:p>
            <w:pPr>
              <w:spacing w:after="0"/>
              <w:rPr>
                <w:sz w:val="19"/>
                <w:szCs w:val="19"/>
                <w:color w:val="auto"/>
              </w:rPr>
            </w:pPr>
          </w:p>
        </w:tc>
        <w:tc>
          <w:tcPr>
            <w:tcW w:w="540" w:type="dxa"/>
            <w:vAlign w:val="bottom"/>
            <w:shd w:val="clear" w:color="auto" w:fill="DCE2EF"/>
          </w:tcPr>
          <w:p>
            <w:pPr>
              <w:spacing w:after="0"/>
              <w:rPr>
                <w:sz w:val="19"/>
                <w:szCs w:val="19"/>
                <w:color w:val="auto"/>
              </w:rPr>
            </w:pPr>
          </w:p>
        </w:tc>
        <w:tc>
          <w:tcPr>
            <w:tcW w:w="440" w:type="dxa"/>
            <w:vAlign w:val="bottom"/>
            <w:shd w:val="clear" w:color="auto" w:fill="DCE2EF"/>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31.4</w:t>
            </w:r>
          </w:p>
        </w:tc>
      </w:tr>
      <w:tr>
        <w:trPr>
          <w:trHeight w:val="215"/>
        </w:trPr>
        <w:tc>
          <w:tcPr>
            <w:tcW w:w="4840" w:type="dxa"/>
            <w:vAlign w:val="bottom"/>
          </w:tcPr>
          <w:p>
            <w:pPr>
              <w:ind w:left="220"/>
              <w:spacing w:after="0"/>
              <w:rPr>
                <w:sz w:val="20"/>
                <w:szCs w:val="20"/>
                <w:color w:val="auto"/>
              </w:rPr>
            </w:pPr>
            <w:r>
              <w:rPr>
                <w:rFonts w:ascii="Arial" w:cs="Arial" w:eastAsia="Arial" w:hAnsi="Arial"/>
                <w:sz w:val="16"/>
                <w:szCs w:val="16"/>
                <w:color w:val="auto"/>
              </w:rPr>
              <w:t>Trade accounts payable</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224.8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c>
          <w:tcPr>
            <w:tcW w:w="540" w:type="dxa"/>
            <w:vAlign w:val="bottom"/>
          </w:tcPr>
          <w:p>
            <w:pPr>
              <w:ind w:left="20"/>
              <w:spacing w:after="0"/>
              <w:rPr>
                <w:sz w:val="20"/>
                <w:szCs w:val="20"/>
                <w:color w:val="auto"/>
              </w:rPr>
            </w:pPr>
            <w:r>
              <w:rPr>
                <w:rFonts w:ascii="Arial" w:cs="Arial" w:eastAsia="Arial" w:hAnsi="Arial"/>
                <w:sz w:val="16"/>
                <w:szCs w:val="16"/>
                <w:b w:val="1"/>
                <w:bCs w:val="1"/>
                <w:color w:val="auto"/>
              </w:rPr>
              <w:t>4k</w:t>
            </w: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251.8</w:t>
            </w:r>
          </w:p>
        </w:tc>
      </w:tr>
      <w:tr>
        <w:trPr>
          <w:trHeight w:val="217"/>
        </w:trPr>
        <w:tc>
          <w:tcPr>
            <w:tcW w:w="4840" w:type="dxa"/>
            <w:vAlign w:val="bottom"/>
            <w:shd w:val="clear" w:color="auto" w:fill="DCE2EF"/>
          </w:tcPr>
          <w:p>
            <w:pPr>
              <w:ind w:left="220"/>
              <w:spacing w:after="0"/>
              <w:rPr>
                <w:sz w:val="20"/>
                <w:szCs w:val="20"/>
                <w:color w:val="auto"/>
              </w:rPr>
            </w:pPr>
            <w:r>
              <w:rPr>
                <w:rFonts w:ascii="Arial" w:cs="Arial" w:eastAsia="Arial" w:hAnsi="Arial"/>
                <w:sz w:val="16"/>
                <w:szCs w:val="16"/>
                <w:color w:val="auto"/>
              </w:rPr>
              <w:t>Insurance claims</w:t>
            </w:r>
          </w:p>
        </w:tc>
        <w:tc>
          <w:tcPr>
            <w:tcW w:w="440" w:type="dxa"/>
            <w:vAlign w:val="bottom"/>
            <w:shd w:val="clear" w:color="auto" w:fill="DCE2EF"/>
          </w:tcPr>
          <w:p>
            <w:pPr>
              <w:spacing w:after="0"/>
              <w:rPr>
                <w:sz w:val="18"/>
                <w:szCs w:val="18"/>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154.9</w:t>
            </w:r>
          </w:p>
        </w:tc>
        <w:tc>
          <w:tcPr>
            <w:tcW w:w="100" w:type="dxa"/>
            <w:vAlign w:val="bottom"/>
            <w:shd w:val="clear" w:color="auto" w:fill="DCE2EF"/>
          </w:tcPr>
          <w:p>
            <w:pPr>
              <w:spacing w:after="0"/>
              <w:rPr>
                <w:sz w:val="18"/>
                <w:szCs w:val="18"/>
                <w:color w:val="auto"/>
              </w:rPr>
            </w:pPr>
          </w:p>
        </w:tc>
        <w:tc>
          <w:tcPr>
            <w:tcW w:w="540" w:type="dxa"/>
            <w:vAlign w:val="bottom"/>
            <w:shd w:val="clear" w:color="auto" w:fill="DCE2EF"/>
          </w:tcPr>
          <w:p>
            <w:pPr>
              <w:spacing w:after="0"/>
              <w:rPr>
                <w:sz w:val="18"/>
                <w:szCs w:val="18"/>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DCE2EF"/>
          </w:tcPr>
          <w:p>
            <w:pPr>
              <w:spacing w:after="0"/>
              <w:rPr>
                <w:sz w:val="18"/>
                <w:szCs w:val="18"/>
                <w:color w:val="auto"/>
              </w:rPr>
            </w:pPr>
          </w:p>
        </w:tc>
        <w:tc>
          <w:tcPr>
            <w:tcW w:w="48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DCE2EF"/>
          </w:tcPr>
          <w:p>
            <w:pPr>
              <w:ind w:left="20"/>
              <w:spacing w:after="0"/>
              <w:rPr>
                <w:sz w:val="20"/>
                <w:szCs w:val="20"/>
                <w:color w:val="auto"/>
              </w:rPr>
            </w:pPr>
            <w:r>
              <w:rPr>
                <w:rFonts w:ascii="Arial" w:cs="Arial" w:eastAsia="Arial" w:hAnsi="Arial"/>
                <w:sz w:val="16"/>
                <w:szCs w:val="16"/>
                <w:b w:val="1"/>
                <w:bCs w:val="1"/>
                <w:color w:val="auto"/>
              </w:rPr>
              <w:t>4h</w:t>
            </w:r>
          </w:p>
        </w:tc>
        <w:tc>
          <w:tcPr>
            <w:tcW w:w="440" w:type="dxa"/>
            <w:vAlign w:val="bottom"/>
            <w:shd w:val="clear" w:color="auto" w:fill="DCE2EF"/>
          </w:tcPr>
          <w:p>
            <w:pPr>
              <w:spacing w:after="0"/>
              <w:rPr>
                <w:sz w:val="18"/>
                <w:szCs w:val="18"/>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173.0</w:t>
            </w:r>
          </w:p>
        </w:tc>
      </w:tr>
      <w:tr>
        <w:trPr>
          <w:trHeight w:val="213"/>
        </w:trPr>
        <w:tc>
          <w:tcPr>
            <w:tcW w:w="4840" w:type="dxa"/>
            <w:vAlign w:val="bottom"/>
          </w:tcPr>
          <w:p>
            <w:pPr>
              <w:ind w:left="220"/>
              <w:spacing w:after="0"/>
              <w:rPr>
                <w:sz w:val="20"/>
                <w:szCs w:val="20"/>
                <w:color w:val="auto"/>
              </w:rPr>
            </w:pPr>
            <w:r>
              <w:rPr>
                <w:rFonts w:ascii="Arial" w:cs="Arial" w:eastAsia="Arial" w:hAnsi="Arial"/>
                <w:sz w:val="16"/>
                <w:szCs w:val="16"/>
                <w:color w:val="auto"/>
              </w:rPr>
              <w:t>Income taxes payable</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219"/>
        </w:trPr>
        <w:tc>
          <w:tcPr>
            <w:tcW w:w="4840" w:type="dxa"/>
            <w:vAlign w:val="bottom"/>
            <w:shd w:val="clear" w:color="auto" w:fill="DCE2EF"/>
          </w:tcPr>
          <w:p>
            <w:pPr>
              <w:ind w:left="220"/>
              <w:spacing w:after="0"/>
              <w:rPr>
                <w:sz w:val="20"/>
                <w:szCs w:val="20"/>
                <w:color w:val="auto"/>
              </w:rPr>
            </w:pPr>
            <w:r>
              <w:rPr>
                <w:rFonts w:ascii="Arial" w:cs="Arial" w:eastAsia="Arial" w:hAnsi="Arial"/>
                <w:sz w:val="16"/>
                <w:szCs w:val="16"/>
                <w:color w:val="auto"/>
              </w:rPr>
              <w:t>Current portion of lease liabilities</w:t>
            </w:r>
          </w:p>
        </w:tc>
        <w:tc>
          <w:tcPr>
            <w:tcW w:w="440" w:type="dxa"/>
            <w:vAlign w:val="bottom"/>
            <w:shd w:val="clear" w:color="auto" w:fill="DCE2EF"/>
          </w:tcPr>
          <w:p>
            <w:pPr>
              <w:spacing w:after="0"/>
              <w:rPr>
                <w:sz w:val="19"/>
                <w:szCs w:val="19"/>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DCE2EF"/>
          </w:tcPr>
          <w:p>
            <w:pPr>
              <w:spacing w:after="0"/>
              <w:rPr>
                <w:sz w:val="19"/>
                <w:szCs w:val="19"/>
                <w:color w:val="auto"/>
              </w:rPr>
            </w:pPr>
          </w:p>
        </w:tc>
        <w:tc>
          <w:tcPr>
            <w:tcW w:w="540" w:type="dxa"/>
            <w:vAlign w:val="bottom"/>
            <w:shd w:val="clear" w:color="auto" w:fill="DCE2EF"/>
          </w:tcPr>
          <w:p>
            <w:pPr>
              <w:spacing w:after="0"/>
              <w:rPr>
                <w:sz w:val="19"/>
                <w:szCs w:val="19"/>
                <w:color w:val="auto"/>
              </w:rPr>
            </w:pPr>
          </w:p>
        </w:tc>
        <w:tc>
          <w:tcPr>
            <w:tcW w:w="1000" w:type="dxa"/>
            <w:vAlign w:val="bottom"/>
            <w:gridSpan w:val="2"/>
            <w:shd w:val="clear" w:color="auto" w:fill="DCE2E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DCE2EF"/>
          </w:tcPr>
          <w:p>
            <w:pPr>
              <w:spacing w:after="0"/>
              <w:rPr>
                <w:sz w:val="19"/>
                <w:szCs w:val="19"/>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1.4</w:t>
            </w:r>
          </w:p>
        </w:tc>
        <w:tc>
          <w:tcPr>
            <w:tcW w:w="540" w:type="dxa"/>
            <w:vAlign w:val="bottom"/>
            <w:shd w:val="clear" w:color="auto" w:fill="DCE2EF"/>
          </w:tcPr>
          <w:p>
            <w:pPr>
              <w:ind w:left="20"/>
              <w:spacing w:after="0"/>
              <w:rPr>
                <w:sz w:val="20"/>
                <w:szCs w:val="20"/>
                <w:color w:val="auto"/>
              </w:rPr>
            </w:pPr>
            <w:r>
              <w:rPr>
                <w:rFonts w:ascii="Arial" w:cs="Arial" w:eastAsia="Arial" w:hAnsi="Arial"/>
                <w:sz w:val="16"/>
                <w:szCs w:val="16"/>
                <w:b w:val="1"/>
                <w:bCs w:val="1"/>
                <w:color w:val="auto"/>
              </w:rPr>
              <w:t>4b</w:t>
            </w:r>
          </w:p>
        </w:tc>
        <w:tc>
          <w:tcPr>
            <w:tcW w:w="440" w:type="dxa"/>
            <w:vAlign w:val="bottom"/>
            <w:shd w:val="clear" w:color="auto" w:fill="DCE2EF"/>
          </w:tcPr>
          <w:p>
            <w:pPr>
              <w:spacing w:after="0"/>
              <w:rPr>
                <w:sz w:val="19"/>
                <w:szCs w:val="19"/>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33.8</w:t>
            </w:r>
          </w:p>
        </w:tc>
      </w:tr>
      <w:tr>
        <w:trPr>
          <w:trHeight w:val="215"/>
        </w:trPr>
        <w:tc>
          <w:tcPr>
            <w:tcW w:w="4840" w:type="dxa"/>
            <w:vAlign w:val="bottom"/>
            <w:tcBorders>
              <w:bottom w:val="single" w:sz="8" w:color="DCE2EF"/>
            </w:tcBorders>
          </w:tcPr>
          <w:p>
            <w:pPr>
              <w:ind w:left="220"/>
              <w:spacing w:after="0"/>
              <w:rPr>
                <w:sz w:val="20"/>
                <w:szCs w:val="20"/>
                <w:color w:val="auto"/>
              </w:rPr>
            </w:pPr>
            <w:r>
              <w:rPr>
                <w:rFonts w:ascii="Arial" w:cs="Arial" w:eastAsia="Arial" w:hAnsi="Arial"/>
                <w:sz w:val="16"/>
                <w:szCs w:val="16"/>
                <w:color w:val="auto"/>
              </w:rPr>
              <w:t>Other accrued liabilities</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646.7</w:t>
            </w:r>
          </w:p>
        </w:tc>
        <w:tc>
          <w:tcPr>
            <w:tcW w:w="100" w:type="dxa"/>
            <w:vAlign w:val="bottom"/>
            <w:tcBorders>
              <w:bottom w:val="single" w:sz="8" w:color="DCE2E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w:t>
            </w:r>
          </w:p>
        </w:tc>
        <w:tc>
          <w:tcPr>
            <w:tcW w:w="100" w:type="dxa"/>
            <w:vAlign w:val="bottom"/>
            <w:tcBorders>
              <w:bottom w:val="single" w:sz="8" w:color="DCE2E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c>
          <w:tcPr>
            <w:tcW w:w="540" w:type="dxa"/>
            <w:vAlign w:val="bottom"/>
            <w:tcBorders>
              <w:bottom w:val="single" w:sz="8" w:color="DCE2EF"/>
            </w:tcBorders>
          </w:tcPr>
          <w:p>
            <w:pPr>
              <w:ind w:left="20"/>
              <w:spacing w:after="0"/>
              <w:rPr>
                <w:sz w:val="20"/>
                <w:szCs w:val="20"/>
                <w:color w:val="auto"/>
              </w:rPr>
            </w:pPr>
            <w:r>
              <w:rPr>
                <w:rFonts w:ascii="Arial" w:cs="Arial" w:eastAsia="Arial" w:hAnsi="Arial"/>
                <w:sz w:val="16"/>
                <w:szCs w:val="16"/>
                <w:b w:val="1"/>
                <w:bCs w:val="1"/>
                <w:color w:val="auto"/>
              </w:rPr>
              <w:t>4f</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732.9</w:t>
            </w:r>
          </w:p>
        </w:tc>
      </w:tr>
      <w:tr>
        <w:trPr>
          <w:trHeight w:val="210"/>
        </w:trPr>
        <w:tc>
          <w:tcPr>
            <w:tcW w:w="4840" w:type="dxa"/>
            <w:vAlign w:val="bottom"/>
            <w:shd w:val="clear" w:color="auto" w:fill="DCE2EF"/>
          </w:tcPr>
          <w:p>
            <w:pPr>
              <w:ind w:left="480"/>
              <w:spacing w:after="0"/>
              <w:rPr>
                <w:sz w:val="20"/>
                <w:szCs w:val="20"/>
                <w:color w:val="auto"/>
              </w:rPr>
            </w:pPr>
            <w:r>
              <w:rPr>
                <w:rFonts w:ascii="Arial" w:cs="Arial" w:eastAsia="Arial" w:hAnsi="Arial"/>
                <w:sz w:val="16"/>
                <w:szCs w:val="16"/>
                <w:color w:val="auto"/>
              </w:rPr>
              <w:t>Total current liabilities</w:t>
            </w:r>
          </w:p>
        </w:tc>
        <w:tc>
          <w:tcPr>
            <w:tcW w:w="440" w:type="dxa"/>
            <w:vAlign w:val="bottom"/>
            <w:shd w:val="clear" w:color="auto" w:fill="DCE2EF"/>
          </w:tcPr>
          <w:p>
            <w:pPr>
              <w:spacing w:after="0"/>
              <w:rPr>
                <w:sz w:val="18"/>
                <w:szCs w:val="18"/>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1,105.5</w:t>
            </w:r>
          </w:p>
        </w:tc>
        <w:tc>
          <w:tcPr>
            <w:tcW w:w="100" w:type="dxa"/>
            <w:vAlign w:val="bottom"/>
            <w:shd w:val="clear" w:color="auto" w:fill="DCE2EF"/>
          </w:tcPr>
          <w:p>
            <w:pPr>
              <w:spacing w:after="0"/>
              <w:rPr>
                <w:sz w:val="18"/>
                <w:szCs w:val="18"/>
                <w:color w:val="auto"/>
              </w:rPr>
            </w:pPr>
          </w:p>
        </w:tc>
        <w:tc>
          <w:tcPr>
            <w:tcW w:w="540" w:type="dxa"/>
            <w:vAlign w:val="bottom"/>
            <w:shd w:val="clear" w:color="auto" w:fill="DCE2EF"/>
          </w:tcPr>
          <w:p>
            <w:pPr>
              <w:spacing w:after="0"/>
              <w:rPr>
                <w:sz w:val="18"/>
                <w:szCs w:val="18"/>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105.9</w:t>
            </w:r>
          </w:p>
        </w:tc>
        <w:tc>
          <w:tcPr>
            <w:tcW w:w="100" w:type="dxa"/>
            <w:vAlign w:val="bottom"/>
            <w:shd w:val="clear" w:color="auto" w:fill="DCE2EF"/>
          </w:tcPr>
          <w:p>
            <w:pPr>
              <w:spacing w:after="0"/>
              <w:rPr>
                <w:sz w:val="18"/>
                <w:szCs w:val="18"/>
                <w:color w:val="auto"/>
              </w:rPr>
            </w:pPr>
          </w:p>
        </w:tc>
        <w:tc>
          <w:tcPr>
            <w:tcW w:w="48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26.8</w:t>
            </w:r>
          </w:p>
        </w:tc>
        <w:tc>
          <w:tcPr>
            <w:tcW w:w="540" w:type="dxa"/>
            <w:vAlign w:val="bottom"/>
            <w:shd w:val="clear" w:color="auto" w:fill="DCE2EF"/>
          </w:tcPr>
          <w:p>
            <w:pPr>
              <w:spacing w:after="0"/>
              <w:rPr>
                <w:sz w:val="18"/>
                <w:szCs w:val="18"/>
                <w:color w:val="auto"/>
              </w:rPr>
            </w:pPr>
          </w:p>
        </w:tc>
        <w:tc>
          <w:tcPr>
            <w:tcW w:w="440" w:type="dxa"/>
            <w:vAlign w:val="bottom"/>
            <w:shd w:val="clear" w:color="auto" w:fill="DCE2EF"/>
          </w:tcPr>
          <w:p>
            <w:pPr>
              <w:spacing w:after="0"/>
              <w:rPr>
                <w:sz w:val="18"/>
                <w:szCs w:val="18"/>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1,238.2</w:t>
            </w: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Long-term debt, net</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623.8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325.0</w:t>
            </w:r>
          </w:p>
        </w:tc>
        <w:tc>
          <w:tcPr>
            <w:tcW w:w="540" w:type="dxa"/>
            <w:vAlign w:val="bottom"/>
          </w:tcPr>
          <w:p>
            <w:pPr>
              <w:ind w:left="20"/>
              <w:spacing w:after="0"/>
              <w:rPr>
                <w:sz w:val="20"/>
                <w:szCs w:val="20"/>
                <w:color w:val="auto"/>
              </w:rPr>
            </w:pPr>
            <w:r>
              <w:rPr>
                <w:rFonts w:ascii="Arial" w:cs="Arial" w:eastAsia="Arial" w:hAnsi="Arial"/>
                <w:sz w:val="16"/>
                <w:szCs w:val="16"/>
                <w:b w:val="1"/>
                <w:bCs w:val="1"/>
                <w:color w:val="auto"/>
              </w:rPr>
              <w:t>4e</w:t>
            </w: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948.8</w:t>
            </w:r>
          </w:p>
        </w:tc>
      </w:tr>
      <w:tr>
        <w:trPr>
          <w:trHeight w:val="217"/>
        </w:trPr>
        <w:tc>
          <w:tcPr>
            <w:tcW w:w="4840" w:type="dxa"/>
            <w:vAlign w:val="bottom"/>
            <w:shd w:val="clear" w:color="auto" w:fill="DCE2EF"/>
          </w:tcPr>
          <w:p>
            <w:pPr>
              <w:ind w:left="20"/>
              <w:spacing w:after="0"/>
              <w:rPr>
                <w:sz w:val="20"/>
                <w:szCs w:val="20"/>
                <w:color w:val="auto"/>
              </w:rPr>
            </w:pPr>
            <w:r>
              <w:rPr>
                <w:rFonts w:ascii="Arial" w:cs="Arial" w:eastAsia="Arial" w:hAnsi="Arial"/>
                <w:sz w:val="16"/>
                <w:szCs w:val="16"/>
                <w:color w:val="auto"/>
              </w:rPr>
              <w:t>Long-term lease liabilities</w:t>
            </w:r>
          </w:p>
        </w:tc>
        <w:tc>
          <w:tcPr>
            <w:tcW w:w="440" w:type="dxa"/>
            <w:vAlign w:val="bottom"/>
            <w:shd w:val="clear" w:color="auto" w:fill="DCE2EF"/>
          </w:tcPr>
          <w:p>
            <w:pPr>
              <w:spacing w:after="0"/>
              <w:rPr>
                <w:sz w:val="18"/>
                <w:szCs w:val="18"/>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119.4</w:t>
            </w:r>
          </w:p>
        </w:tc>
        <w:tc>
          <w:tcPr>
            <w:tcW w:w="100" w:type="dxa"/>
            <w:vAlign w:val="bottom"/>
            <w:shd w:val="clear" w:color="auto" w:fill="DCE2EF"/>
          </w:tcPr>
          <w:p>
            <w:pPr>
              <w:spacing w:after="0"/>
              <w:rPr>
                <w:sz w:val="18"/>
                <w:szCs w:val="18"/>
                <w:color w:val="auto"/>
              </w:rPr>
            </w:pPr>
          </w:p>
        </w:tc>
        <w:tc>
          <w:tcPr>
            <w:tcW w:w="540" w:type="dxa"/>
            <w:vAlign w:val="bottom"/>
            <w:shd w:val="clear" w:color="auto" w:fill="DCE2EF"/>
          </w:tcPr>
          <w:p>
            <w:pPr>
              <w:spacing w:after="0"/>
              <w:rPr>
                <w:sz w:val="18"/>
                <w:szCs w:val="18"/>
                <w:color w:val="auto"/>
              </w:rPr>
            </w:pPr>
          </w:p>
        </w:tc>
        <w:tc>
          <w:tcPr>
            <w:tcW w:w="1000" w:type="dxa"/>
            <w:vAlign w:val="bottom"/>
            <w:gridSpan w:val="2"/>
            <w:shd w:val="clear" w:color="auto" w:fill="DCE2E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1.5</w:t>
            </w:r>
          </w:p>
        </w:tc>
        <w:tc>
          <w:tcPr>
            <w:tcW w:w="540" w:type="dxa"/>
            <w:vAlign w:val="bottom"/>
            <w:shd w:val="clear" w:color="auto" w:fill="DCE2EF"/>
          </w:tcPr>
          <w:p>
            <w:pPr>
              <w:ind w:left="20"/>
              <w:spacing w:after="0"/>
              <w:rPr>
                <w:sz w:val="20"/>
                <w:szCs w:val="20"/>
                <w:color w:val="auto"/>
              </w:rPr>
            </w:pPr>
            <w:r>
              <w:rPr>
                <w:rFonts w:ascii="Arial" w:cs="Arial" w:eastAsia="Arial" w:hAnsi="Arial"/>
                <w:sz w:val="16"/>
                <w:szCs w:val="16"/>
                <w:b w:val="1"/>
                <w:bCs w:val="1"/>
                <w:color w:val="auto"/>
              </w:rPr>
              <w:t>4b</w:t>
            </w:r>
          </w:p>
        </w:tc>
        <w:tc>
          <w:tcPr>
            <w:tcW w:w="440" w:type="dxa"/>
            <w:vAlign w:val="bottom"/>
            <w:shd w:val="clear" w:color="auto" w:fill="DCE2EF"/>
          </w:tcPr>
          <w:p>
            <w:pPr>
              <w:spacing w:after="0"/>
              <w:rPr>
                <w:sz w:val="18"/>
                <w:szCs w:val="18"/>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120.9</w:t>
            </w: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Deferred income tax liability, net</w:t>
            </w:r>
          </w:p>
        </w:tc>
        <w:tc>
          <w:tcPr>
            <w:tcW w:w="4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27.0</w:t>
            </w:r>
          </w:p>
        </w:tc>
        <w:tc>
          <w:tcPr>
            <w:tcW w:w="540" w:type="dxa"/>
            <w:vAlign w:val="bottom"/>
          </w:tcPr>
          <w:p>
            <w:pPr>
              <w:ind w:left="20"/>
              <w:spacing w:after="0"/>
              <w:rPr>
                <w:sz w:val="20"/>
                <w:szCs w:val="20"/>
                <w:color w:val="auto"/>
              </w:rPr>
            </w:pPr>
            <w:r>
              <w:rPr>
                <w:rFonts w:ascii="Arial" w:cs="Arial" w:eastAsia="Arial" w:hAnsi="Arial"/>
                <w:sz w:val="16"/>
                <w:szCs w:val="16"/>
                <w:b w:val="1"/>
                <w:bCs w:val="1"/>
                <w:color w:val="auto"/>
              </w:rPr>
              <w:t>4g</w:t>
            </w: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217"/>
        </w:trPr>
        <w:tc>
          <w:tcPr>
            <w:tcW w:w="4840" w:type="dxa"/>
            <w:vAlign w:val="bottom"/>
            <w:shd w:val="clear" w:color="auto" w:fill="DCE2EF"/>
          </w:tcPr>
          <w:p>
            <w:pPr>
              <w:ind w:left="20"/>
              <w:spacing w:after="0"/>
              <w:rPr>
                <w:sz w:val="20"/>
                <w:szCs w:val="20"/>
                <w:color w:val="auto"/>
              </w:rPr>
            </w:pPr>
            <w:r>
              <w:rPr>
                <w:rFonts w:ascii="Arial" w:cs="Arial" w:eastAsia="Arial" w:hAnsi="Arial"/>
                <w:sz w:val="16"/>
                <w:szCs w:val="16"/>
                <w:color w:val="auto"/>
              </w:rPr>
              <w:t>Noncurrent insurance claims</w:t>
            </w:r>
          </w:p>
        </w:tc>
        <w:tc>
          <w:tcPr>
            <w:tcW w:w="440" w:type="dxa"/>
            <w:vAlign w:val="bottom"/>
            <w:shd w:val="clear" w:color="auto" w:fill="DCE2EF"/>
          </w:tcPr>
          <w:p>
            <w:pPr>
              <w:spacing w:after="0"/>
              <w:rPr>
                <w:sz w:val="18"/>
                <w:szCs w:val="18"/>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344.4</w:t>
            </w:r>
          </w:p>
        </w:tc>
        <w:tc>
          <w:tcPr>
            <w:tcW w:w="100" w:type="dxa"/>
            <w:vAlign w:val="bottom"/>
            <w:shd w:val="clear" w:color="auto" w:fill="DCE2EF"/>
          </w:tcPr>
          <w:p>
            <w:pPr>
              <w:spacing w:after="0"/>
              <w:rPr>
                <w:sz w:val="18"/>
                <w:szCs w:val="18"/>
                <w:color w:val="auto"/>
              </w:rPr>
            </w:pPr>
          </w:p>
        </w:tc>
        <w:tc>
          <w:tcPr>
            <w:tcW w:w="540" w:type="dxa"/>
            <w:vAlign w:val="bottom"/>
            <w:shd w:val="clear" w:color="auto" w:fill="DCE2EF"/>
          </w:tcPr>
          <w:p>
            <w:pPr>
              <w:spacing w:after="0"/>
              <w:rPr>
                <w:sz w:val="18"/>
                <w:szCs w:val="18"/>
                <w:color w:val="auto"/>
              </w:rPr>
            </w:pPr>
          </w:p>
        </w:tc>
        <w:tc>
          <w:tcPr>
            <w:tcW w:w="9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76.9</w:t>
            </w:r>
          </w:p>
        </w:tc>
        <w:tc>
          <w:tcPr>
            <w:tcW w:w="100" w:type="dxa"/>
            <w:vAlign w:val="bottom"/>
            <w:shd w:val="clear" w:color="auto" w:fill="DCE2EF"/>
          </w:tcPr>
          <w:p>
            <w:pPr>
              <w:spacing w:after="0"/>
              <w:rPr>
                <w:sz w:val="18"/>
                <w:szCs w:val="18"/>
                <w:color w:val="auto"/>
              </w:rPr>
            </w:pPr>
          </w:p>
        </w:tc>
        <w:tc>
          <w:tcPr>
            <w:tcW w:w="480" w:type="dxa"/>
            <w:vAlign w:val="bottom"/>
            <w:shd w:val="clear" w:color="auto" w:fill="DCE2EF"/>
          </w:tcPr>
          <w:p>
            <w:pPr>
              <w:spacing w:after="0"/>
              <w:rPr>
                <w:sz w:val="18"/>
                <w:szCs w:val="18"/>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(3.5)</w:t>
            </w:r>
          </w:p>
        </w:tc>
        <w:tc>
          <w:tcPr>
            <w:tcW w:w="540" w:type="dxa"/>
            <w:vAlign w:val="bottom"/>
            <w:shd w:val="clear" w:color="auto" w:fill="DCE2EF"/>
          </w:tcPr>
          <w:p>
            <w:pPr>
              <w:ind w:left="20"/>
              <w:spacing w:after="0"/>
              <w:rPr>
                <w:sz w:val="20"/>
                <w:szCs w:val="20"/>
                <w:color w:val="auto"/>
              </w:rPr>
            </w:pPr>
            <w:r>
              <w:rPr>
                <w:rFonts w:ascii="Arial" w:cs="Arial" w:eastAsia="Arial" w:hAnsi="Arial"/>
                <w:sz w:val="16"/>
                <w:szCs w:val="16"/>
                <w:b w:val="1"/>
                <w:bCs w:val="1"/>
                <w:color w:val="auto"/>
              </w:rPr>
              <w:t>4h</w:t>
            </w:r>
          </w:p>
        </w:tc>
        <w:tc>
          <w:tcPr>
            <w:tcW w:w="440" w:type="dxa"/>
            <w:vAlign w:val="bottom"/>
            <w:shd w:val="clear" w:color="auto" w:fill="DCE2EF"/>
          </w:tcPr>
          <w:p>
            <w:pPr>
              <w:spacing w:after="0"/>
              <w:rPr>
                <w:sz w:val="18"/>
                <w:szCs w:val="18"/>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417.8</w:t>
            </w: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Other noncurrent liabilities</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111.6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(24.1)</w:t>
            </w:r>
          </w:p>
        </w:tc>
        <w:tc>
          <w:tcPr>
            <w:tcW w:w="540" w:type="dxa"/>
            <w:vAlign w:val="bottom"/>
          </w:tcPr>
          <w:p>
            <w:pPr>
              <w:ind w:left="20"/>
              <w:spacing w:after="0"/>
              <w:rPr>
                <w:sz w:val="20"/>
                <w:szCs w:val="20"/>
                <w:color w:val="auto"/>
              </w:rPr>
            </w:pPr>
            <w:r>
              <w:rPr>
                <w:rFonts w:ascii="Arial" w:cs="Arial" w:eastAsia="Arial" w:hAnsi="Arial"/>
                <w:sz w:val="16"/>
                <w:szCs w:val="16"/>
                <w:b w:val="1"/>
                <w:bCs w:val="1"/>
                <w:color w:val="auto"/>
              </w:rPr>
              <w:t>4k</w:t>
            </w: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129.6</w:t>
            </w:r>
          </w:p>
        </w:tc>
      </w:tr>
      <w:tr>
        <w:trPr>
          <w:trHeight w:val="214"/>
        </w:trPr>
        <w:tc>
          <w:tcPr>
            <w:tcW w:w="4840" w:type="dxa"/>
            <w:vAlign w:val="bottom"/>
            <w:shd w:val="clear" w:color="auto" w:fill="DCE2EF"/>
          </w:tcPr>
          <w:p>
            <w:pPr>
              <w:ind w:left="20"/>
              <w:spacing w:after="0"/>
              <w:rPr>
                <w:sz w:val="20"/>
                <w:szCs w:val="20"/>
                <w:color w:val="auto"/>
              </w:rPr>
            </w:pPr>
            <w:r>
              <w:rPr>
                <w:rFonts w:ascii="Arial" w:cs="Arial" w:eastAsia="Arial" w:hAnsi="Arial"/>
                <w:sz w:val="16"/>
                <w:szCs w:val="16"/>
                <w:color w:val="auto"/>
              </w:rPr>
              <w:t>Noncurrent income taxes payable</w:t>
            </w:r>
          </w:p>
        </w:tc>
        <w:tc>
          <w:tcPr>
            <w:tcW w:w="440" w:type="dxa"/>
            <w:vAlign w:val="bottom"/>
            <w:shd w:val="clear" w:color="auto" w:fill="DCE2EF"/>
          </w:tcPr>
          <w:p>
            <w:pPr>
              <w:spacing w:after="0"/>
              <w:rPr>
                <w:sz w:val="18"/>
                <w:szCs w:val="18"/>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DCE2EF"/>
          </w:tcPr>
          <w:p>
            <w:pPr>
              <w:spacing w:after="0"/>
              <w:rPr>
                <w:sz w:val="18"/>
                <w:szCs w:val="18"/>
                <w:color w:val="auto"/>
              </w:rPr>
            </w:pPr>
          </w:p>
        </w:tc>
        <w:tc>
          <w:tcPr>
            <w:tcW w:w="540" w:type="dxa"/>
            <w:vAlign w:val="bottom"/>
            <w:shd w:val="clear" w:color="auto" w:fill="DCE2EF"/>
          </w:tcPr>
          <w:p>
            <w:pPr>
              <w:spacing w:after="0"/>
              <w:rPr>
                <w:sz w:val="18"/>
                <w:szCs w:val="18"/>
                <w:color w:val="auto"/>
              </w:rPr>
            </w:pPr>
          </w:p>
        </w:tc>
        <w:tc>
          <w:tcPr>
            <w:tcW w:w="1000" w:type="dxa"/>
            <w:vAlign w:val="bottom"/>
            <w:gridSpan w:val="2"/>
            <w:shd w:val="clear" w:color="auto" w:fill="DCE2E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DCE2EF"/>
          </w:tcPr>
          <w:p>
            <w:pPr>
              <w:spacing w:after="0"/>
              <w:rPr>
                <w:sz w:val="18"/>
                <w:szCs w:val="18"/>
                <w:color w:val="auto"/>
              </w:rPr>
            </w:pPr>
          </w:p>
        </w:tc>
        <w:tc>
          <w:tcPr>
            <w:tcW w:w="920" w:type="dxa"/>
            <w:vAlign w:val="bottom"/>
            <w:shd w:val="clear" w:color="auto" w:fill="DCE2EF"/>
          </w:tcPr>
          <w:p>
            <w:pPr>
              <w:spacing w:after="0"/>
              <w:rPr>
                <w:sz w:val="18"/>
                <w:szCs w:val="18"/>
                <w:color w:val="auto"/>
              </w:rPr>
            </w:pPr>
          </w:p>
        </w:tc>
        <w:tc>
          <w:tcPr>
            <w:tcW w:w="540" w:type="dxa"/>
            <w:vAlign w:val="bottom"/>
            <w:shd w:val="clear" w:color="auto" w:fill="DCE2EF"/>
          </w:tcPr>
          <w:p>
            <w:pPr>
              <w:spacing w:after="0"/>
              <w:rPr>
                <w:sz w:val="18"/>
                <w:szCs w:val="18"/>
                <w:color w:val="auto"/>
              </w:rPr>
            </w:pPr>
          </w:p>
        </w:tc>
        <w:tc>
          <w:tcPr>
            <w:tcW w:w="440" w:type="dxa"/>
            <w:vAlign w:val="bottom"/>
            <w:shd w:val="clear" w:color="auto" w:fill="DCE2EF"/>
          </w:tcPr>
          <w:p>
            <w:pPr>
              <w:spacing w:after="0"/>
              <w:rPr>
                <w:sz w:val="18"/>
                <w:szCs w:val="18"/>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12.4</w:t>
            </w:r>
          </w:p>
        </w:tc>
      </w:tr>
      <w:tr>
        <w:trPr>
          <w:trHeight w:val="209"/>
        </w:trPr>
        <w:tc>
          <w:tcPr>
            <w:tcW w:w="4840" w:type="dxa"/>
            <w:vAlign w:val="bottom"/>
            <w:tcBorders>
              <w:bottom w:val="single" w:sz="8" w:color="DCE2EF"/>
            </w:tcBorders>
          </w:tcPr>
          <w:p>
            <w:pPr>
              <w:ind w:left="220"/>
              <w:spacing w:after="0"/>
              <w:rPr>
                <w:sz w:val="20"/>
                <w:szCs w:val="20"/>
                <w:color w:val="auto"/>
              </w:rPr>
            </w:pPr>
            <w:r>
              <w:rPr>
                <w:rFonts w:ascii="Arial" w:cs="Arial" w:eastAsia="Arial" w:hAnsi="Arial"/>
                <w:sz w:val="16"/>
                <w:szCs w:val="16"/>
                <w:color w:val="auto"/>
              </w:rPr>
              <w:t>Total liabilities</w:t>
            </w: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2,317.1</w:t>
            </w:r>
          </w:p>
        </w:tc>
        <w:tc>
          <w:tcPr>
            <w:tcW w:w="100" w:type="dxa"/>
            <w:vAlign w:val="bottom"/>
            <w:tcBorders>
              <w:bottom w:val="single" w:sz="8" w:color="DCE2E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224.9</w:t>
            </w:r>
          </w:p>
        </w:tc>
        <w:tc>
          <w:tcPr>
            <w:tcW w:w="100" w:type="dxa"/>
            <w:vAlign w:val="bottom"/>
            <w:tcBorders>
              <w:bottom w:val="single" w:sz="8" w:color="DCE2E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352.7</w:t>
            </w:r>
          </w:p>
        </w:tc>
        <w:tc>
          <w:tcPr>
            <w:tcW w:w="540" w:type="dxa"/>
            <w:vAlign w:val="bottom"/>
            <w:tcBorders>
              <w:bottom w:val="single" w:sz="8" w:color="DCE2E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2,894.7</w:t>
            </w:r>
          </w:p>
        </w:tc>
      </w:tr>
      <w:tr>
        <w:trPr>
          <w:trHeight w:val="199"/>
        </w:trPr>
        <w:tc>
          <w:tcPr>
            <w:tcW w:w="4840" w:type="dxa"/>
            <w:vAlign w:val="bottom"/>
            <w:shd w:val="clear" w:color="auto" w:fill="DCE2EF"/>
          </w:tcPr>
          <w:p>
            <w:pPr>
              <w:ind w:left="20"/>
              <w:spacing w:after="0"/>
              <w:rPr>
                <w:sz w:val="20"/>
                <w:szCs w:val="20"/>
                <w:color w:val="auto"/>
              </w:rPr>
            </w:pPr>
            <w:r>
              <w:rPr>
                <w:rFonts w:ascii="Arial" w:cs="Arial" w:eastAsia="Arial" w:hAnsi="Arial"/>
                <w:sz w:val="16"/>
                <w:szCs w:val="16"/>
                <w:color w:val="auto"/>
              </w:rPr>
              <w:t>Commitments and contingencies</w:t>
            </w:r>
          </w:p>
        </w:tc>
        <w:tc>
          <w:tcPr>
            <w:tcW w:w="440" w:type="dxa"/>
            <w:vAlign w:val="bottom"/>
            <w:shd w:val="clear" w:color="auto" w:fill="DCE2EF"/>
          </w:tcPr>
          <w:p>
            <w:pPr>
              <w:spacing w:after="0"/>
              <w:rPr>
                <w:sz w:val="17"/>
                <w:szCs w:val="17"/>
                <w:color w:val="auto"/>
              </w:rPr>
            </w:pPr>
          </w:p>
        </w:tc>
        <w:tc>
          <w:tcPr>
            <w:tcW w:w="94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540" w:type="dxa"/>
            <w:vAlign w:val="bottom"/>
            <w:shd w:val="clear" w:color="auto" w:fill="DCE2EF"/>
          </w:tcPr>
          <w:p>
            <w:pPr>
              <w:spacing w:after="0"/>
              <w:rPr>
                <w:sz w:val="17"/>
                <w:szCs w:val="17"/>
                <w:color w:val="auto"/>
              </w:rPr>
            </w:pPr>
          </w:p>
        </w:tc>
        <w:tc>
          <w:tcPr>
            <w:tcW w:w="90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480" w:type="dxa"/>
            <w:vAlign w:val="bottom"/>
            <w:shd w:val="clear" w:color="auto" w:fill="DCE2EF"/>
          </w:tcPr>
          <w:p>
            <w:pPr>
              <w:spacing w:after="0"/>
              <w:rPr>
                <w:sz w:val="17"/>
                <w:szCs w:val="17"/>
                <w:color w:val="auto"/>
              </w:rPr>
            </w:pPr>
          </w:p>
        </w:tc>
        <w:tc>
          <w:tcPr>
            <w:tcW w:w="920" w:type="dxa"/>
            <w:vAlign w:val="bottom"/>
            <w:shd w:val="clear" w:color="auto" w:fill="DCE2EF"/>
          </w:tcPr>
          <w:p>
            <w:pPr>
              <w:spacing w:after="0"/>
              <w:rPr>
                <w:sz w:val="17"/>
                <w:szCs w:val="17"/>
                <w:color w:val="auto"/>
              </w:rPr>
            </w:pPr>
          </w:p>
        </w:tc>
        <w:tc>
          <w:tcPr>
            <w:tcW w:w="540" w:type="dxa"/>
            <w:vAlign w:val="bottom"/>
            <w:shd w:val="clear" w:color="auto" w:fill="DCE2EF"/>
          </w:tcPr>
          <w:p>
            <w:pPr>
              <w:spacing w:after="0"/>
              <w:rPr>
                <w:sz w:val="17"/>
                <w:szCs w:val="17"/>
                <w:color w:val="auto"/>
              </w:rPr>
            </w:pPr>
          </w:p>
        </w:tc>
        <w:tc>
          <w:tcPr>
            <w:tcW w:w="440" w:type="dxa"/>
            <w:vAlign w:val="bottom"/>
            <w:shd w:val="clear" w:color="auto" w:fill="DCE2EF"/>
          </w:tcPr>
          <w:p>
            <w:pPr>
              <w:spacing w:after="0"/>
              <w:rPr>
                <w:sz w:val="17"/>
                <w:szCs w:val="17"/>
                <w:color w:val="auto"/>
              </w:rPr>
            </w:pPr>
          </w:p>
        </w:tc>
        <w:tc>
          <w:tcPr>
            <w:tcW w:w="960" w:type="dxa"/>
            <w:vAlign w:val="bottom"/>
            <w:shd w:val="clear" w:color="auto" w:fill="DCE2EF"/>
          </w:tcPr>
          <w:p>
            <w:pPr>
              <w:spacing w:after="0"/>
              <w:rPr>
                <w:sz w:val="17"/>
                <w:szCs w:val="17"/>
                <w:color w:val="auto"/>
              </w:rPr>
            </w:pP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7"/>
        </w:trPr>
        <w:tc>
          <w:tcPr>
            <w:tcW w:w="4840" w:type="dxa"/>
            <w:vAlign w:val="bottom"/>
            <w:shd w:val="clear" w:color="auto" w:fill="DCE2EF"/>
          </w:tcPr>
          <w:p>
            <w:pPr>
              <w:ind w:left="220"/>
              <w:spacing w:after="0"/>
              <w:rPr>
                <w:sz w:val="20"/>
                <w:szCs w:val="20"/>
                <w:color w:val="auto"/>
              </w:rPr>
            </w:pPr>
            <w:r>
              <w:rPr>
                <w:rFonts w:ascii="Arial" w:cs="Arial" w:eastAsia="Arial" w:hAnsi="Arial"/>
                <w:sz w:val="16"/>
                <w:szCs w:val="16"/>
                <w:color w:val="auto"/>
              </w:rPr>
              <w:t>Preferred stock</w:t>
            </w:r>
          </w:p>
        </w:tc>
        <w:tc>
          <w:tcPr>
            <w:tcW w:w="440" w:type="dxa"/>
            <w:vAlign w:val="bottom"/>
            <w:shd w:val="clear" w:color="auto" w:fill="DCE2EF"/>
          </w:tcPr>
          <w:p>
            <w:pPr>
              <w:spacing w:after="0"/>
              <w:rPr>
                <w:sz w:val="18"/>
                <w:szCs w:val="18"/>
                <w:color w:val="auto"/>
              </w:rPr>
            </w:pPr>
          </w:p>
        </w:tc>
        <w:tc>
          <w:tcPr>
            <w:tcW w:w="1040" w:type="dxa"/>
            <w:vAlign w:val="bottom"/>
            <w:gridSpan w:val="2"/>
            <w:shd w:val="clear" w:color="auto" w:fill="DCE2E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DCE2EF"/>
          </w:tcPr>
          <w:p>
            <w:pPr>
              <w:spacing w:after="0"/>
              <w:rPr>
                <w:sz w:val="18"/>
                <w:szCs w:val="18"/>
                <w:color w:val="auto"/>
              </w:rPr>
            </w:pPr>
          </w:p>
        </w:tc>
        <w:tc>
          <w:tcPr>
            <w:tcW w:w="1000" w:type="dxa"/>
            <w:vAlign w:val="bottom"/>
            <w:gridSpan w:val="2"/>
            <w:shd w:val="clear" w:color="auto" w:fill="DCE2E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DCE2EF"/>
          </w:tcPr>
          <w:p>
            <w:pPr>
              <w:spacing w:after="0"/>
              <w:rPr>
                <w:sz w:val="18"/>
                <w:szCs w:val="18"/>
                <w:color w:val="auto"/>
              </w:rPr>
            </w:pPr>
          </w:p>
        </w:tc>
        <w:tc>
          <w:tcPr>
            <w:tcW w:w="920" w:type="dxa"/>
            <w:vAlign w:val="bottom"/>
            <w:shd w:val="clear" w:color="auto" w:fill="DCE2EF"/>
          </w:tcPr>
          <w:p>
            <w:pPr>
              <w:spacing w:after="0"/>
              <w:rPr>
                <w:sz w:val="18"/>
                <w:szCs w:val="18"/>
                <w:color w:val="auto"/>
              </w:rPr>
            </w:pPr>
          </w:p>
        </w:tc>
        <w:tc>
          <w:tcPr>
            <w:tcW w:w="540" w:type="dxa"/>
            <w:vAlign w:val="bottom"/>
            <w:shd w:val="clear" w:color="auto" w:fill="DCE2EF"/>
          </w:tcPr>
          <w:p>
            <w:pPr>
              <w:spacing w:after="0"/>
              <w:rPr>
                <w:sz w:val="18"/>
                <w:szCs w:val="18"/>
                <w:color w:val="auto"/>
              </w:rPr>
            </w:pPr>
          </w:p>
        </w:tc>
        <w:tc>
          <w:tcPr>
            <w:tcW w:w="440" w:type="dxa"/>
            <w:vAlign w:val="bottom"/>
            <w:shd w:val="clear" w:color="auto" w:fill="DCE2EF"/>
          </w:tcPr>
          <w:p>
            <w:pPr>
              <w:spacing w:after="0"/>
              <w:rPr>
                <w:sz w:val="18"/>
                <w:szCs w:val="18"/>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840" w:type="dxa"/>
            <w:vAlign w:val="bottom"/>
          </w:tcPr>
          <w:p>
            <w:pPr>
              <w:ind w:left="220"/>
              <w:spacing w:after="0"/>
              <w:rPr>
                <w:sz w:val="20"/>
                <w:szCs w:val="20"/>
                <w:color w:val="auto"/>
              </w:rPr>
            </w:pPr>
            <w:r>
              <w:rPr>
                <w:rFonts w:ascii="Arial" w:cs="Arial" w:eastAsia="Arial" w:hAnsi="Arial"/>
                <w:sz w:val="16"/>
                <w:szCs w:val="16"/>
                <w:color w:val="auto"/>
              </w:rPr>
              <w:t>Common stock</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(0.1)</w:t>
            </w:r>
          </w:p>
        </w:tc>
        <w:tc>
          <w:tcPr>
            <w:tcW w:w="540" w:type="dxa"/>
            <w:vAlign w:val="bottom"/>
          </w:tcPr>
          <w:p>
            <w:pPr>
              <w:ind w:left="20"/>
              <w:spacing w:after="0"/>
              <w:rPr>
                <w:sz w:val="20"/>
                <w:szCs w:val="20"/>
                <w:color w:val="auto"/>
              </w:rPr>
            </w:pPr>
            <w:r>
              <w:rPr>
                <w:rFonts w:ascii="Arial" w:cs="Arial" w:eastAsia="Arial" w:hAnsi="Arial"/>
                <w:sz w:val="16"/>
                <w:szCs w:val="16"/>
                <w:b w:val="1"/>
                <w:bCs w:val="1"/>
                <w:color w:val="auto"/>
              </w:rPr>
              <w:t>4i</w:t>
            </w: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17"/>
        </w:trPr>
        <w:tc>
          <w:tcPr>
            <w:tcW w:w="4840" w:type="dxa"/>
            <w:vAlign w:val="bottom"/>
            <w:shd w:val="clear" w:color="auto" w:fill="DCE2EF"/>
          </w:tcPr>
          <w:p>
            <w:pPr>
              <w:ind w:left="220"/>
              <w:spacing w:after="0"/>
              <w:rPr>
                <w:sz w:val="20"/>
                <w:szCs w:val="20"/>
                <w:color w:val="auto"/>
              </w:rPr>
            </w:pPr>
            <w:r>
              <w:rPr>
                <w:rFonts w:ascii="Arial" w:cs="Arial" w:eastAsia="Arial" w:hAnsi="Arial"/>
                <w:sz w:val="16"/>
                <w:szCs w:val="16"/>
                <w:color w:val="auto"/>
              </w:rPr>
              <w:t>Additional paid-in capital</w:t>
            </w:r>
          </w:p>
        </w:tc>
        <w:tc>
          <w:tcPr>
            <w:tcW w:w="440" w:type="dxa"/>
            <w:vAlign w:val="bottom"/>
            <w:shd w:val="clear" w:color="auto" w:fill="DCE2EF"/>
          </w:tcPr>
          <w:p>
            <w:pPr>
              <w:spacing w:after="0"/>
              <w:rPr>
                <w:sz w:val="18"/>
                <w:szCs w:val="18"/>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743.6</w:t>
            </w:r>
          </w:p>
        </w:tc>
        <w:tc>
          <w:tcPr>
            <w:tcW w:w="100" w:type="dxa"/>
            <w:vAlign w:val="bottom"/>
            <w:shd w:val="clear" w:color="auto" w:fill="DCE2EF"/>
          </w:tcPr>
          <w:p>
            <w:pPr>
              <w:spacing w:after="0"/>
              <w:rPr>
                <w:sz w:val="18"/>
                <w:szCs w:val="18"/>
                <w:color w:val="auto"/>
              </w:rPr>
            </w:pPr>
          </w:p>
        </w:tc>
        <w:tc>
          <w:tcPr>
            <w:tcW w:w="540" w:type="dxa"/>
            <w:vAlign w:val="bottom"/>
            <w:shd w:val="clear" w:color="auto" w:fill="DCE2EF"/>
          </w:tcPr>
          <w:p>
            <w:pPr>
              <w:spacing w:after="0"/>
              <w:rPr>
                <w:sz w:val="18"/>
                <w:szCs w:val="18"/>
                <w:color w:val="auto"/>
              </w:rPr>
            </w:pPr>
          </w:p>
        </w:tc>
        <w:tc>
          <w:tcPr>
            <w:tcW w:w="1000" w:type="dxa"/>
            <w:vAlign w:val="bottom"/>
            <w:gridSpan w:val="2"/>
            <w:shd w:val="clear" w:color="auto" w:fill="DCE2E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DCE2EF"/>
          </w:tcPr>
          <w:p>
            <w:pPr>
              <w:spacing w:after="0"/>
              <w:rPr>
                <w:sz w:val="18"/>
                <w:szCs w:val="18"/>
                <w:color w:val="auto"/>
              </w:rPr>
            </w:pPr>
          </w:p>
        </w:tc>
        <w:tc>
          <w:tcPr>
            <w:tcW w:w="920" w:type="dxa"/>
            <w:vAlign w:val="bottom"/>
            <w:shd w:val="clear" w:color="auto" w:fill="DCE2EF"/>
          </w:tcPr>
          <w:p>
            <w:pPr>
              <w:spacing w:after="0"/>
              <w:rPr>
                <w:sz w:val="18"/>
                <w:szCs w:val="18"/>
                <w:color w:val="auto"/>
              </w:rPr>
            </w:pPr>
          </w:p>
        </w:tc>
        <w:tc>
          <w:tcPr>
            <w:tcW w:w="540" w:type="dxa"/>
            <w:vAlign w:val="bottom"/>
            <w:shd w:val="clear" w:color="auto" w:fill="DCE2EF"/>
          </w:tcPr>
          <w:p>
            <w:pPr>
              <w:spacing w:after="0"/>
              <w:rPr>
                <w:sz w:val="18"/>
                <w:szCs w:val="18"/>
                <w:color w:val="auto"/>
              </w:rPr>
            </w:pPr>
          </w:p>
        </w:tc>
        <w:tc>
          <w:tcPr>
            <w:tcW w:w="440" w:type="dxa"/>
            <w:vAlign w:val="bottom"/>
            <w:shd w:val="clear" w:color="auto" w:fill="DCE2EF"/>
          </w:tcPr>
          <w:p>
            <w:pPr>
              <w:spacing w:after="0"/>
              <w:rPr>
                <w:sz w:val="18"/>
                <w:szCs w:val="18"/>
                <w:color w:val="auto"/>
              </w:rPr>
            </w:pPr>
          </w:p>
        </w:tc>
        <w:tc>
          <w:tcPr>
            <w:tcW w:w="9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743.6</w:t>
            </w:r>
          </w:p>
        </w:tc>
      </w:tr>
      <w:tr>
        <w:trPr>
          <w:trHeight w:val="213"/>
        </w:trPr>
        <w:tc>
          <w:tcPr>
            <w:tcW w:w="4840" w:type="dxa"/>
            <w:vAlign w:val="bottom"/>
          </w:tcPr>
          <w:p>
            <w:pPr>
              <w:ind w:left="220"/>
              <w:spacing w:after="0"/>
              <w:rPr>
                <w:sz w:val="20"/>
                <w:szCs w:val="20"/>
                <w:color w:val="auto"/>
              </w:rPr>
            </w:pPr>
            <w:r>
              <w:rPr>
                <w:rFonts w:ascii="Arial" w:cs="Arial" w:eastAsia="Arial" w:hAnsi="Arial"/>
                <w:sz w:val="16"/>
                <w:szCs w:val="16"/>
                <w:color w:val="auto"/>
              </w:rPr>
              <w:t>Accumulated other comprehensive loss, net of taxes</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(22.9)</w:t>
            </w:r>
          </w:p>
        </w:tc>
      </w:tr>
      <w:tr>
        <w:trPr>
          <w:trHeight w:val="218"/>
        </w:trPr>
        <w:tc>
          <w:tcPr>
            <w:tcW w:w="4840" w:type="dxa"/>
            <w:vAlign w:val="bottom"/>
            <w:shd w:val="clear" w:color="auto" w:fill="DCE2EF"/>
          </w:tcPr>
          <w:p>
            <w:pPr>
              <w:ind w:left="220"/>
              <w:spacing w:after="0"/>
              <w:rPr>
                <w:sz w:val="20"/>
                <w:szCs w:val="20"/>
                <w:color w:val="auto"/>
              </w:rPr>
            </w:pPr>
            <w:r>
              <w:rPr>
                <w:rFonts w:ascii="Arial" w:cs="Arial" w:eastAsia="Arial" w:hAnsi="Arial"/>
                <w:sz w:val="16"/>
                <w:szCs w:val="16"/>
                <w:color w:val="auto"/>
              </w:rPr>
              <w:t>Retained earnings</w:t>
            </w:r>
          </w:p>
        </w:tc>
        <w:tc>
          <w:tcPr>
            <w:tcW w:w="440" w:type="dxa"/>
            <w:vAlign w:val="bottom"/>
            <w:tcBorders>
              <w:bottom w:val="single" w:sz="8" w:color="auto"/>
            </w:tcBorders>
            <w:shd w:val="clear" w:color="auto" w:fill="DCE2EF"/>
          </w:tcPr>
          <w:p>
            <w:pPr>
              <w:spacing w:after="0"/>
              <w:rPr>
                <w:sz w:val="18"/>
                <w:szCs w:val="18"/>
                <w:color w:val="auto"/>
              </w:rPr>
            </w:pPr>
          </w:p>
        </w:tc>
        <w:tc>
          <w:tcPr>
            <w:tcW w:w="9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859.0</w:t>
            </w:r>
          </w:p>
        </w:tc>
        <w:tc>
          <w:tcPr>
            <w:tcW w:w="100" w:type="dxa"/>
            <w:vAlign w:val="bottom"/>
            <w:shd w:val="clear" w:color="auto" w:fill="DCE2EF"/>
          </w:tcPr>
          <w:p>
            <w:pPr>
              <w:spacing w:after="0"/>
              <w:rPr>
                <w:sz w:val="18"/>
                <w:szCs w:val="18"/>
                <w:color w:val="auto"/>
              </w:rPr>
            </w:pPr>
          </w:p>
        </w:tc>
        <w:tc>
          <w:tcPr>
            <w:tcW w:w="540" w:type="dxa"/>
            <w:vAlign w:val="bottom"/>
            <w:tcBorders>
              <w:bottom w:val="single" w:sz="8" w:color="auto"/>
            </w:tcBorders>
            <w:shd w:val="clear" w:color="auto" w:fill="DCE2EF"/>
          </w:tcPr>
          <w:p>
            <w:pPr>
              <w:spacing w:after="0"/>
              <w:rPr>
                <w:sz w:val="18"/>
                <w:szCs w:val="18"/>
                <w:color w:val="auto"/>
              </w:rPr>
            </w:pPr>
          </w:p>
        </w:tc>
        <w:tc>
          <w:tcPr>
            <w:tcW w:w="9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DCE2EF"/>
          </w:tcPr>
          <w:p>
            <w:pPr>
              <w:spacing w:after="0"/>
              <w:rPr>
                <w:sz w:val="18"/>
                <w:szCs w:val="18"/>
                <w:color w:val="auto"/>
              </w:rPr>
            </w:pPr>
          </w:p>
        </w:tc>
        <w:tc>
          <w:tcPr>
            <w:tcW w:w="480" w:type="dxa"/>
            <w:vAlign w:val="bottom"/>
            <w:tcBorders>
              <w:bottom w:val="single" w:sz="8" w:color="auto"/>
            </w:tcBorders>
            <w:shd w:val="clear" w:color="auto" w:fill="DCE2EF"/>
          </w:tcPr>
          <w:p>
            <w:pPr>
              <w:spacing w:after="0"/>
              <w:rPr>
                <w:sz w:val="18"/>
                <w:szCs w:val="18"/>
                <w:color w:val="auto"/>
              </w:rPr>
            </w:pPr>
          </w:p>
        </w:tc>
        <w:tc>
          <w:tcPr>
            <w:tcW w:w="9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(79.0)</w:t>
            </w:r>
          </w:p>
        </w:tc>
        <w:tc>
          <w:tcPr>
            <w:tcW w:w="540" w:type="dxa"/>
            <w:vAlign w:val="bottom"/>
            <w:shd w:val="clear" w:color="auto" w:fill="DCE2EF"/>
          </w:tcPr>
          <w:p>
            <w:pPr>
              <w:ind w:left="20"/>
              <w:spacing w:after="0"/>
              <w:rPr>
                <w:sz w:val="20"/>
                <w:szCs w:val="20"/>
                <w:color w:val="auto"/>
              </w:rPr>
            </w:pPr>
            <w:r>
              <w:rPr>
                <w:rFonts w:ascii="Arial" w:cs="Arial" w:eastAsia="Arial" w:hAnsi="Arial"/>
                <w:sz w:val="16"/>
                <w:szCs w:val="16"/>
                <w:b w:val="1"/>
                <w:bCs w:val="1"/>
                <w:color w:val="auto"/>
              </w:rPr>
              <w:t>4j</w:t>
            </w:r>
          </w:p>
        </w:tc>
        <w:tc>
          <w:tcPr>
            <w:tcW w:w="440" w:type="dxa"/>
            <w:vAlign w:val="bottom"/>
            <w:tcBorders>
              <w:bottom w:val="single" w:sz="8" w:color="auto"/>
            </w:tcBorders>
            <w:shd w:val="clear" w:color="auto" w:fill="DCE2EF"/>
          </w:tcPr>
          <w:p>
            <w:pPr>
              <w:spacing w:after="0"/>
              <w:rPr>
                <w:sz w:val="18"/>
                <w:szCs w:val="18"/>
                <w:color w:val="auto"/>
              </w:rPr>
            </w:pPr>
          </w:p>
        </w:tc>
        <w:tc>
          <w:tcPr>
            <w:tcW w:w="9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830.9</w:t>
            </w:r>
          </w:p>
        </w:tc>
      </w:tr>
      <w:tr>
        <w:trPr>
          <w:trHeight w:val="207"/>
        </w:trPr>
        <w:tc>
          <w:tcPr>
            <w:tcW w:w="4840" w:type="dxa"/>
            <w:vAlign w:val="bottom"/>
            <w:tcBorders>
              <w:bottom w:val="single" w:sz="8" w:color="DCE2EF"/>
            </w:tcBorders>
          </w:tcPr>
          <w:p>
            <w:pPr>
              <w:ind w:left="220"/>
              <w:spacing w:after="0"/>
              <w:rPr>
                <w:sz w:val="20"/>
                <w:szCs w:val="20"/>
                <w:color w:val="auto"/>
              </w:rPr>
            </w:pPr>
            <w:r>
              <w:rPr>
                <w:rFonts w:ascii="Arial" w:cs="Arial" w:eastAsia="Arial" w:hAnsi="Arial"/>
                <w:sz w:val="16"/>
                <w:szCs w:val="16"/>
                <w:color w:val="auto"/>
              </w:rPr>
              <w:t>Total stockholders’ equity</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1,580.3</w:t>
            </w:r>
          </w:p>
        </w:tc>
        <w:tc>
          <w:tcPr>
            <w:tcW w:w="100" w:type="dxa"/>
            <w:vAlign w:val="bottom"/>
            <w:tcBorders>
              <w:bottom w:val="single" w:sz="8" w:color="DCE2E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w:t>
            </w:r>
          </w:p>
        </w:tc>
        <w:tc>
          <w:tcPr>
            <w:tcW w:w="100" w:type="dxa"/>
            <w:vAlign w:val="bottom"/>
            <w:tcBorders>
              <w:bottom w:val="single" w:sz="8" w:color="DCE2E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w:t>
            </w:r>
          </w:p>
        </w:tc>
        <w:tc>
          <w:tcPr>
            <w:tcW w:w="540" w:type="dxa"/>
            <w:vAlign w:val="bottom"/>
            <w:tcBorders>
              <w:bottom w:val="single" w:sz="8" w:color="DCE2E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1,552.2</w:t>
            </w:r>
          </w:p>
        </w:tc>
      </w:tr>
      <w:tr>
        <w:trPr>
          <w:trHeight w:val="238"/>
        </w:trPr>
        <w:tc>
          <w:tcPr>
            <w:tcW w:w="4840" w:type="dxa"/>
            <w:vAlign w:val="bottom"/>
            <w:tcBorders>
              <w:bottom w:val="single" w:sz="8" w:color="DCE2EF"/>
            </w:tcBorders>
            <w:shd w:val="clear" w:color="auto" w:fill="DCE2E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440" w:type="dxa"/>
            <w:vAlign w:val="bottom"/>
            <w:tcBorders>
              <w:bottom w:val="single" w:sz="8" w:color="auto"/>
            </w:tcBorders>
            <w:shd w:val="clear" w:color="auto" w:fill="DCE2EF"/>
          </w:tcPr>
          <w:p>
            <w:pPr>
              <w:jc w:val="right"/>
              <w:ind w:right="2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3,897.4</w:t>
            </w:r>
          </w:p>
        </w:tc>
        <w:tc>
          <w:tcPr>
            <w:tcW w:w="100" w:type="dxa"/>
            <w:vAlign w:val="bottom"/>
            <w:tcBorders>
              <w:bottom w:val="single" w:sz="8" w:color="DCE2EF"/>
            </w:tcBorders>
            <w:shd w:val="clear" w:color="auto" w:fill="DCE2EF"/>
          </w:tcPr>
          <w:p>
            <w:pPr>
              <w:spacing w:after="0"/>
              <w:rPr>
                <w:sz w:val="20"/>
                <w:szCs w:val="20"/>
                <w:color w:val="auto"/>
              </w:rPr>
            </w:pPr>
          </w:p>
        </w:tc>
        <w:tc>
          <w:tcPr>
            <w:tcW w:w="540" w:type="dxa"/>
            <w:vAlign w:val="bottom"/>
            <w:tcBorders>
              <w:bottom w:val="single" w:sz="8" w:color="auto"/>
            </w:tcBorders>
            <w:shd w:val="clear" w:color="auto" w:fill="DCE2EF"/>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275.9</w:t>
            </w:r>
          </w:p>
        </w:tc>
        <w:tc>
          <w:tcPr>
            <w:tcW w:w="100" w:type="dxa"/>
            <w:vAlign w:val="bottom"/>
            <w:tcBorders>
              <w:bottom w:val="single" w:sz="8" w:color="DCE2EF"/>
            </w:tcBorders>
            <w:shd w:val="clear" w:color="auto" w:fill="DCE2EF"/>
          </w:tcPr>
          <w:p>
            <w:pPr>
              <w:spacing w:after="0"/>
              <w:rPr>
                <w:sz w:val="20"/>
                <w:szCs w:val="20"/>
                <w:color w:val="auto"/>
              </w:rPr>
            </w:pPr>
          </w:p>
        </w:tc>
        <w:tc>
          <w:tcPr>
            <w:tcW w:w="480" w:type="dxa"/>
            <w:vAlign w:val="bottom"/>
            <w:tcBorders>
              <w:bottom w:val="single" w:sz="8" w:color="auto"/>
            </w:tcBorders>
            <w:shd w:val="clear" w:color="auto" w:fill="DCE2EF"/>
          </w:tcPr>
          <w:p>
            <w:pPr>
              <w:jc w:val="right"/>
              <w:ind w:right="2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273.6</w:t>
            </w:r>
          </w:p>
        </w:tc>
        <w:tc>
          <w:tcPr>
            <w:tcW w:w="540" w:type="dxa"/>
            <w:vAlign w:val="bottom"/>
            <w:tcBorders>
              <w:bottom w:val="single" w:sz="8" w:color="DCE2EF"/>
            </w:tcBorders>
            <w:shd w:val="clear" w:color="auto" w:fill="DCE2EF"/>
          </w:tcPr>
          <w:p>
            <w:pPr>
              <w:spacing w:after="0"/>
              <w:rPr>
                <w:sz w:val="20"/>
                <w:szCs w:val="20"/>
                <w:color w:val="auto"/>
              </w:rPr>
            </w:pPr>
          </w:p>
        </w:tc>
        <w:tc>
          <w:tcPr>
            <w:tcW w:w="440" w:type="dxa"/>
            <w:vAlign w:val="bottom"/>
            <w:tcBorders>
              <w:bottom w:val="single" w:sz="8" w:color="auto"/>
            </w:tcBorders>
            <w:shd w:val="clear" w:color="auto" w:fill="DCE2EF"/>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4,446.9</w:t>
            </w:r>
          </w:p>
        </w:tc>
      </w:tr>
      <w:tr>
        <w:trPr>
          <w:trHeight w:val="20"/>
        </w:trPr>
        <w:tc>
          <w:tcPr>
            <w:tcW w:w="4840" w:type="dxa"/>
            <w:vAlign w:val="bottom"/>
            <w:tcBorders>
              <w:top w:val="single" w:sz="8" w:color="DCE2EF"/>
            </w:tcBorders>
          </w:tcPr>
          <w:p>
            <w:pPr>
              <w:spacing w:after="0" w:line="20" w:lineRule="exact"/>
              <w:rPr>
                <w:sz w:val="1"/>
                <w:szCs w:val="1"/>
                <w:color w:val="auto"/>
              </w:rPr>
            </w:pPr>
          </w:p>
        </w:tc>
        <w:tc>
          <w:tcPr>
            <w:tcW w:w="440" w:type="dxa"/>
            <w:vAlign w:val="bottom"/>
            <w:tcBorders>
              <w:top w:val="single" w:sz="8" w:color="DCE2EF"/>
              <w:bottom w:val="single" w:sz="8" w:color="auto"/>
            </w:tcBorders>
          </w:tcPr>
          <w:p>
            <w:pPr>
              <w:spacing w:after="0" w:line="20" w:lineRule="exact"/>
              <w:rPr>
                <w:sz w:val="1"/>
                <w:szCs w:val="1"/>
                <w:color w:val="auto"/>
              </w:rPr>
            </w:pPr>
          </w:p>
        </w:tc>
        <w:tc>
          <w:tcPr>
            <w:tcW w:w="94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540" w:type="dxa"/>
            <w:vAlign w:val="bottom"/>
            <w:tcBorders>
              <w:top w:val="single" w:sz="8" w:color="DCE2EF"/>
              <w:bottom w:val="single" w:sz="8" w:color="auto"/>
            </w:tcBorders>
          </w:tcPr>
          <w:p>
            <w:pPr>
              <w:spacing w:after="0" w:line="20" w:lineRule="exact"/>
              <w:rPr>
                <w:sz w:val="1"/>
                <w:szCs w:val="1"/>
                <w:color w:val="auto"/>
              </w:rPr>
            </w:pPr>
          </w:p>
        </w:tc>
        <w:tc>
          <w:tcPr>
            <w:tcW w:w="900" w:type="dxa"/>
            <w:vAlign w:val="bottom"/>
            <w:tcBorders>
              <w:top w:val="single" w:sz="8" w:color="DCE2EF"/>
              <w:bottom w:val="single" w:sz="8" w:color="auto"/>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480" w:type="dxa"/>
            <w:vAlign w:val="bottom"/>
            <w:tcBorders>
              <w:top w:val="single" w:sz="8" w:color="DCE2EF"/>
              <w:bottom w:val="single" w:sz="8" w:color="auto"/>
            </w:tcBorders>
          </w:tcPr>
          <w:p>
            <w:pPr>
              <w:spacing w:after="0" w:line="20" w:lineRule="exact"/>
              <w:rPr>
                <w:sz w:val="1"/>
                <w:szCs w:val="1"/>
                <w:color w:val="auto"/>
              </w:rPr>
            </w:pPr>
          </w:p>
        </w:tc>
        <w:tc>
          <w:tcPr>
            <w:tcW w:w="920" w:type="dxa"/>
            <w:vAlign w:val="bottom"/>
            <w:tcBorders>
              <w:top w:val="single" w:sz="8" w:color="DCE2EF"/>
              <w:bottom w:val="single" w:sz="8" w:color="auto"/>
            </w:tcBorders>
          </w:tcPr>
          <w:p>
            <w:pPr>
              <w:spacing w:after="0" w:line="20" w:lineRule="exact"/>
              <w:rPr>
                <w:sz w:val="1"/>
                <w:szCs w:val="1"/>
                <w:color w:val="auto"/>
              </w:rPr>
            </w:pPr>
          </w:p>
        </w:tc>
        <w:tc>
          <w:tcPr>
            <w:tcW w:w="540" w:type="dxa"/>
            <w:vAlign w:val="bottom"/>
            <w:tcBorders>
              <w:top w:val="single" w:sz="8" w:color="DCE2EF"/>
            </w:tcBorders>
          </w:tcPr>
          <w:p>
            <w:pPr>
              <w:spacing w:after="0" w:line="20" w:lineRule="exact"/>
              <w:rPr>
                <w:sz w:val="1"/>
                <w:szCs w:val="1"/>
                <w:color w:val="auto"/>
              </w:rPr>
            </w:pPr>
          </w:p>
        </w:tc>
        <w:tc>
          <w:tcPr>
            <w:tcW w:w="440" w:type="dxa"/>
            <w:vAlign w:val="bottom"/>
            <w:tcBorders>
              <w:top w:val="single" w:sz="8" w:color="DCE2EF"/>
              <w:bottom w:val="single" w:sz="8" w:color="auto"/>
            </w:tcBorders>
          </w:tcPr>
          <w:p>
            <w:pPr>
              <w:spacing w:after="0" w:line="20" w:lineRule="exact"/>
              <w:rPr>
                <w:sz w:val="1"/>
                <w:szCs w:val="1"/>
                <w:color w:val="auto"/>
              </w:rPr>
            </w:pPr>
          </w:p>
        </w:tc>
        <w:tc>
          <w:tcPr>
            <w:tcW w:w="960" w:type="dxa"/>
            <w:vAlign w:val="bottom"/>
            <w:tcBorders>
              <w:top w:val="single" w:sz="8" w:color="DCE2E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Pro Forma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8" w:right="33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Exhibit 99.3</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580" w:type="dxa"/>
            <w:vAlign w:val="bottom"/>
            <w:gridSpan w:val="9"/>
          </w:tcPr>
          <w:p>
            <w:pPr>
              <w:jc w:val="right"/>
              <w:spacing w:after="0"/>
              <w:rPr>
                <w:sz w:val="20"/>
                <w:szCs w:val="20"/>
                <w:color w:val="auto"/>
              </w:rPr>
            </w:pPr>
            <w:r>
              <w:rPr>
                <w:rFonts w:ascii="Arial" w:cs="Arial" w:eastAsia="Arial" w:hAnsi="Arial"/>
                <w:sz w:val="18"/>
                <w:szCs w:val="18"/>
                <w:b w:val="1"/>
                <w:bCs w:val="1"/>
                <w:color w:val="0046AD"/>
              </w:rPr>
              <w:t>UNAUDITED PRO FORMA CONDENSED COMBINED STATEMENT OF INCOME</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Able</w:t>
            </w:r>
          </w:p>
        </w:tc>
        <w:tc>
          <w:tcPr>
            <w:tcW w:w="180" w:type="dxa"/>
            <w:vAlign w:val="bottom"/>
          </w:tcPr>
          <w:p>
            <w:pPr>
              <w:spacing w:after="0"/>
              <w:rPr>
                <w:sz w:val="23"/>
                <w:szCs w:val="23"/>
                <w:color w:val="auto"/>
              </w:rPr>
            </w:pPr>
          </w:p>
        </w:tc>
        <w:tc>
          <w:tcPr>
            <w:tcW w:w="130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Pro Forma</w:t>
            </w: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8"/>
              </w:rPr>
              <w:t>ABM</w:t>
            </w:r>
          </w:p>
        </w:tc>
        <w:tc>
          <w:tcPr>
            <w:tcW w:w="160" w:type="dxa"/>
            <w:vAlign w:val="bottom"/>
          </w:tcPr>
          <w:p>
            <w:pPr>
              <w:spacing w:after="0"/>
              <w:rPr>
                <w:sz w:val="14"/>
                <w:szCs w:val="14"/>
                <w:color w:val="auto"/>
              </w:rPr>
            </w:pPr>
          </w:p>
        </w:tc>
        <w:tc>
          <w:tcPr>
            <w:tcW w:w="13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9"/>
              </w:rPr>
              <w:t>Year ended</w:t>
            </w:r>
          </w:p>
        </w:tc>
        <w:tc>
          <w:tcPr>
            <w:tcW w:w="1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4"/>
                <w:szCs w:val="14"/>
                <w:color w:val="auto"/>
              </w:rPr>
            </w:pPr>
          </w:p>
        </w:tc>
        <w:tc>
          <w:tcPr>
            <w:tcW w:w="130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9"/>
              </w:rPr>
              <w:t>Transaction</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Pro Forma</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14"/>
                <w:szCs w:val="14"/>
                <w:color w:val="auto"/>
              </w:rPr>
            </w:pPr>
          </w:p>
        </w:tc>
        <w:tc>
          <w:tcPr>
            <w:tcW w:w="13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9"/>
              </w:rPr>
              <w:t>Year Ended</w:t>
            </w:r>
          </w:p>
        </w:tc>
        <w:tc>
          <w:tcPr>
            <w:tcW w:w="160" w:type="dxa"/>
            <w:vAlign w:val="bottom"/>
          </w:tcPr>
          <w:p>
            <w:pPr>
              <w:spacing w:after="0"/>
              <w:rPr>
                <w:sz w:val="14"/>
                <w:szCs w:val="14"/>
                <w:color w:val="auto"/>
              </w:rPr>
            </w:pPr>
          </w:p>
        </w:tc>
        <w:tc>
          <w:tcPr>
            <w:tcW w:w="130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Accounting</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740" w:type="dxa"/>
            <w:vAlign w:val="bottom"/>
            <w:gridSpan w:val="2"/>
            <w:vMerge w:val="continue"/>
          </w:tcPr>
          <w:p>
            <w:pPr>
              <w:spacing w:after="0"/>
              <w:rPr>
                <w:sz w:val="7"/>
                <w:szCs w:val="7"/>
                <w:color w:val="auto"/>
              </w:rPr>
            </w:pPr>
          </w:p>
        </w:tc>
        <w:tc>
          <w:tcPr>
            <w:tcW w:w="14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October 31, 2020</w:t>
            </w:r>
          </w:p>
        </w:tc>
        <w:tc>
          <w:tcPr>
            <w:tcW w:w="80" w:type="dxa"/>
            <w:vAlign w:val="bottom"/>
            <w:vMerge w:val="restart"/>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rPr>
              <w:t>(as adjusted)</w:t>
            </w:r>
          </w:p>
        </w:tc>
        <w:tc>
          <w:tcPr>
            <w:tcW w:w="80" w:type="dxa"/>
            <w:vAlign w:val="bottom"/>
            <w:vMerge w:val="restart"/>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Adjustments</w:t>
            </w: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Combined</w:t>
            </w:r>
          </w:p>
        </w:tc>
        <w:tc>
          <w:tcPr>
            <w:tcW w:w="0" w:type="dxa"/>
            <w:vAlign w:val="bottom"/>
          </w:tcPr>
          <w:p>
            <w:pPr>
              <w:spacing w:after="0"/>
              <w:rPr>
                <w:sz w:val="1"/>
                <w:szCs w:val="1"/>
                <w:color w:val="auto"/>
              </w:rPr>
            </w:pPr>
          </w:p>
        </w:tc>
      </w:tr>
      <w:tr>
        <w:trPr>
          <w:trHeight w:val="114"/>
        </w:trPr>
        <w:tc>
          <w:tcPr>
            <w:tcW w:w="20" w:type="dxa"/>
            <w:vAlign w:val="bottom"/>
            <w:tcBorders>
              <w:bottom w:val="single" w:sz="8" w:color="DCE2EF"/>
            </w:tcBorders>
          </w:tcPr>
          <w:p>
            <w:pPr>
              <w:spacing w:after="0"/>
              <w:rPr>
                <w:sz w:val="9"/>
                <w:szCs w:val="9"/>
                <w:color w:val="auto"/>
              </w:rPr>
            </w:pPr>
          </w:p>
        </w:tc>
        <w:tc>
          <w:tcPr>
            <w:tcW w:w="740" w:type="dxa"/>
            <w:vAlign w:val="bottom"/>
            <w:tcBorders>
              <w:top w:val="single" w:sz="8" w:color="auto"/>
              <w:bottom w:val="single" w:sz="8" w:color="DCE2EF"/>
            </w:tcBorders>
          </w:tcPr>
          <w:p>
            <w:pPr>
              <w:spacing w:after="0"/>
              <w:rPr>
                <w:sz w:val="9"/>
                <w:szCs w:val="9"/>
                <w:color w:val="auto"/>
              </w:rPr>
            </w:pPr>
          </w:p>
        </w:tc>
        <w:tc>
          <w:tcPr>
            <w:tcW w:w="4000" w:type="dxa"/>
            <w:vAlign w:val="bottom"/>
            <w:tcBorders>
              <w:bottom w:val="single" w:sz="8" w:color="DCE2EF"/>
            </w:tcBorders>
          </w:tcPr>
          <w:p>
            <w:pPr>
              <w:spacing w:after="0"/>
              <w:rPr>
                <w:sz w:val="9"/>
                <w:szCs w:val="9"/>
                <w:color w:val="auto"/>
              </w:rPr>
            </w:pPr>
          </w:p>
        </w:tc>
        <w:tc>
          <w:tcPr>
            <w:tcW w:w="1480" w:type="dxa"/>
            <w:vAlign w:val="bottom"/>
            <w:tcBorders>
              <w:bottom w:val="single" w:sz="8" w:color="auto"/>
            </w:tcBorders>
            <w:gridSpan w:val="2"/>
            <w:vMerge w:val="continue"/>
          </w:tcPr>
          <w:p>
            <w:pPr>
              <w:spacing w:after="0"/>
              <w:rPr>
                <w:sz w:val="9"/>
                <w:szCs w:val="9"/>
                <w:color w:val="auto"/>
              </w:rPr>
            </w:pPr>
          </w:p>
        </w:tc>
        <w:tc>
          <w:tcPr>
            <w:tcW w:w="80" w:type="dxa"/>
            <w:vAlign w:val="bottom"/>
            <w:tcBorders>
              <w:bottom w:val="single" w:sz="8" w:color="DCE2EF"/>
            </w:tcBorders>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vMerge w:val="continue"/>
          </w:tcPr>
          <w:p>
            <w:pPr>
              <w:spacing w:after="0"/>
              <w:rPr>
                <w:sz w:val="9"/>
                <w:szCs w:val="9"/>
                <w:color w:val="auto"/>
              </w:rPr>
            </w:pPr>
          </w:p>
        </w:tc>
        <w:tc>
          <w:tcPr>
            <w:tcW w:w="80" w:type="dxa"/>
            <w:vAlign w:val="bottom"/>
            <w:tcBorders>
              <w:bottom w:val="single" w:sz="8" w:color="DCE2EF"/>
            </w:tcBorders>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vMerge w:val="continue"/>
          </w:tcPr>
          <w:p>
            <w:pPr>
              <w:spacing w:after="0"/>
              <w:rPr>
                <w:sz w:val="9"/>
                <w:szCs w:val="9"/>
                <w:color w:val="auto"/>
              </w:rPr>
            </w:pPr>
          </w:p>
        </w:tc>
        <w:tc>
          <w:tcPr>
            <w:tcW w:w="420" w:type="dxa"/>
            <w:vAlign w:val="bottom"/>
            <w:tcBorders>
              <w:bottom w:val="single" w:sz="8" w:color="DCE2E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DCE2EF"/>
          </w:tcPr>
          <w:p>
            <w:pPr>
              <w:spacing w:after="0"/>
              <w:rPr>
                <w:sz w:val="18"/>
                <w:szCs w:val="18"/>
                <w:color w:val="auto"/>
              </w:rPr>
            </w:pPr>
          </w:p>
        </w:tc>
        <w:tc>
          <w:tcPr>
            <w:tcW w:w="4740" w:type="dxa"/>
            <w:vAlign w:val="bottom"/>
            <w:gridSpan w:val="2"/>
            <w:shd w:val="clear" w:color="auto" w:fill="DCE2EF"/>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5,987.6</w:t>
            </w:r>
          </w:p>
        </w:tc>
        <w:tc>
          <w:tcPr>
            <w:tcW w:w="80" w:type="dxa"/>
            <w:vAlign w:val="bottom"/>
            <w:shd w:val="clear" w:color="auto" w:fill="DCE2EF"/>
          </w:tcPr>
          <w:p>
            <w:pPr>
              <w:spacing w:after="0"/>
              <w:rPr>
                <w:sz w:val="18"/>
                <w:szCs w:val="18"/>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1,090.5</w:t>
            </w:r>
          </w:p>
        </w:tc>
        <w:tc>
          <w:tcPr>
            <w:tcW w:w="8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300" w:type="dxa"/>
            <w:vAlign w:val="bottom"/>
            <w:shd w:val="clear" w:color="auto" w:fill="DCE2EF"/>
          </w:tcPr>
          <w:p>
            <w:pPr>
              <w:spacing w:after="0"/>
              <w:rPr>
                <w:sz w:val="18"/>
                <w:szCs w:val="18"/>
                <w:color w:val="auto"/>
              </w:rPr>
            </w:pPr>
          </w:p>
        </w:tc>
        <w:tc>
          <w:tcPr>
            <w:tcW w:w="640" w:type="dxa"/>
            <w:vAlign w:val="bottom"/>
            <w:gridSpan w:val="2"/>
            <w:shd w:val="clear" w:color="auto" w:fill="DCE2E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7,078.2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5,157.0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975.4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6,132.3</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474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shd w:val="clear" w:color="auto" w:fill="DCE2EF"/>
          </w:tcPr>
          <w:p>
            <w:pPr>
              <w:spacing w:after="0"/>
              <w:rPr>
                <w:sz w:val="19"/>
                <w:szCs w:val="19"/>
                <w:color w:val="auto"/>
              </w:rPr>
            </w:pPr>
          </w:p>
        </w:tc>
        <w:tc>
          <w:tcPr>
            <w:tcW w:w="12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506.1</w:t>
            </w:r>
          </w:p>
        </w:tc>
        <w:tc>
          <w:tcPr>
            <w:tcW w:w="8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62.9</w:t>
            </w:r>
          </w:p>
        </w:tc>
        <w:tc>
          <w:tcPr>
            <w:tcW w:w="8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0.4</w:t>
            </w:r>
          </w:p>
        </w:tc>
        <w:tc>
          <w:tcPr>
            <w:tcW w:w="640" w:type="dxa"/>
            <w:vAlign w:val="bottom"/>
            <w:gridSpan w:val="2"/>
            <w:shd w:val="clear" w:color="auto" w:fill="DCE2EF"/>
          </w:tcPr>
          <w:p>
            <w:pPr>
              <w:ind w:left="20"/>
              <w:spacing w:after="0"/>
              <w:rPr>
                <w:sz w:val="20"/>
                <w:szCs w:val="20"/>
                <w:color w:val="auto"/>
              </w:rPr>
            </w:pPr>
            <w:r>
              <w:rPr>
                <w:rFonts w:ascii="Arial" w:cs="Arial" w:eastAsia="Arial" w:hAnsi="Arial"/>
                <w:sz w:val="16"/>
                <w:szCs w:val="16"/>
                <w:b w:val="1"/>
                <w:bCs w:val="1"/>
                <w:color w:val="auto"/>
              </w:rPr>
              <w:t>4l</w:t>
            </w:r>
          </w:p>
        </w:tc>
        <w:tc>
          <w:tcPr>
            <w:tcW w:w="12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569.4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6"/>
                <w:szCs w:val="16"/>
                <w:color w:val="auto"/>
              </w:rPr>
              <w:t>Restructuring and related expenses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474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shd w:val="clear" w:color="auto" w:fill="DCE2EF"/>
          </w:tcPr>
          <w:p>
            <w:pPr>
              <w:spacing w:after="0"/>
              <w:rPr>
                <w:sz w:val="19"/>
                <w:szCs w:val="19"/>
                <w:color w:val="auto"/>
              </w:rPr>
            </w:pPr>
          </w:p>
        </w:tc>
        <w:tc>
          <w:tcPr>
            <w:tcW w:w="12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48.4</w:t>
            </w:r>
          </w:p>
        </w:tc>
        <w:tc>
          <w:tcPr>
            <w:tcW w:w="8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35.6</w:t>
            </w:r>
          </w:p>
        </w:tc>
        <w:tc>
          <w:tcPr>
            <w:tcW w:w="640" w:type="dxa"/>
            <w:vAlign w:val="bottom"/>
            <w:gridSpan w:val="2"/>
            <w:shd w:val="clear" w:color="auto" w:fill="DCE2EF"/>
          </w:tcPr>
          <w:p>
            <w:pPr>
              <w:ind w:left="20"/>
              <w:spacing w:after="0"/>
              <w:rPr>
                <w:sz w:val="20"/>
                <w:szCs w:val="20"/>
                <w:color w:val="auto"/>
              </w:rPr>
            </w:pPr>
            <w:r>
              <w:rPr>
                <w:rFonts w:ascii="Arial" w:cs="Arial" w:eastAsia="Arial" w:hAnsi="Arial"/>
                <w:sz w:val="16"/>
                <w:szCs w:val="16"/>
                <w:b w:val="1"/>
                <w:bCs w:val="1"/>
                <w:color w:val="auto"/>
              </w:rPr>
              <w:t>4m</w:t>
            </w:r>
          </w:p>
        </w:tc>
        <w:tc>
          <w:tcPr>
            <w:tcW w:w="12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6"/>
                <w:szCs w:val="16"/>
                <w:color w:val="auto"/>
              </w:rPr>
              <w:t>Impairment loss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172.8</w:t>
            </w:r>
          </w:p>
        </w:tc>
        <w:tc>
          <w:tcPr>
            <w:tcW w:w="0" w:type="dxa"/>
            <w:vAlign w:val="bottom"/>
          </w:tcPr>
          <w:p>
            <w:pPr>
              <w:spacing w:after="0"/>
              <w:rPr>
                <w:sz w:val="1"/>
                <w:szCs w:val="1"/>
                <w:color w:val="auto"/>
              </w:rPr>
            </w:pPr>
          </w:p>
        </w:tc>
      </w:tr>
      <w:tr>
        <w:trPr>
          <w:trHeight w:val="213"/>
        </w:trPr>
        <w:tc>
          <w:tcPr>
            <w:tcW w:w="20" w:type="dxa"/>
            <w:vAlign w:val="bottom"/>
            <w:tcBorders>
              <w:top w:val="single" w:sz="8" w:color="DCE2EF"/>
            </w:tcBorders>
            <w:shd w:val="clear" w:color="auto" w:fill="DCE2EF"/>
          </w:tcPr>
          <w:p>
            <w:pPr>
              <w:spacing w:after="0"/>
              <w:rPr>
                <w:sz w:val="18"/>
                <w:szCs w:val="18"/>
                <w:color w:val="auto"/>
              </w:rPr>
            </w:pPr>
          </w:p>
        </w:tc>
        <w:tc>
          <w:tcPr>
            <w:tcW w:w="4740" w:type="dxa"/>
            <w:vAlign w:val="bottom"/>
            <w:tcBorders>
              <w:top w:val="single" w:sz="8" w:color="DCE2EF"/>
            </w:tcBorders>
            <w:gridSpan w:val="2"/>
            <w:shd w:val="clear" w:color="auto" w:fill="DCE2EF"/>
          </w:tcPr>
          <w:p>
            <w:pPr>
              <w:spacing w:after="0"/>
              <w:rPr>
                <w:sz w:val="20"/>
                <w:szCs w:val="20"/>
                <w:color w:val="auto"/>
              </w:rPr>
            </w:pPr>
            <w:r>
              <w:rPr>
                <w:rFonts w:ascii="Arial" w:cs="Arial" w:eastAsia="Arial" w:hAnsi="Arial"/>
                <w:sz w:val="16"/>
                <w:szCs w:val="16"/>
                <w:b w:val="1"/>
                <w:bCs w:val="1"/>
                <w:color w:val="auto"/>
              </w:rPr>
              <w:t>Operating profit</w:t>
            </w:r>
          </w:p>
        </w:tc>
        <w:tc>
          <w:tcPr>
            <w:tcW w:w="200" w:type="dxa"/>
            <w:vAlign w:val="bottom"/>
            <w:tcBorders>
              <w:top w:val="single" w:sz="8" w:color="auto"/>
            </w:tcBorders>
            <w:shd w:val="clear" w:color="auto" w:fill="DCE2EF"/>
          </w:tcPr>
          <w:p>
            <w:pPr>
              <w:spacing w:after="0"/>
              <w:rPr>
                <w:sz w:val="18"/>
                <w:szCs w:val="18"/>
                <w:color w:val="auto"/>
              </w:rPr>
            </w:pPr>
          </w:p>
        </w:tc>
        <w:tc>
          <w:tcPr>
            <w:tcW w:w="128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95.7</w:t>
            </w:r>
          </w:p>
        </w:tc>
        <w:tc>
          <w:tcPr>
            <w:tcW w:w="80" w:type="dxa"/>
            <w:vAlign w:val="bottom"/>
            <w:tcBorders>
              <w:top w:val="single" w:sz="8" w:color="DCE2EF"/>
            </w:tcBorders>
            <w:shd w:val="clear" w:color="auto" w:fill="DCE2EF"/>
          </w:tcPr>
          <w:p>
            <w:pPr>
              <w:spacing w:after="0"/>
              <w:rPr>
                <w:sz w:val="18"/>
                <w:szCs w:val="18"/>
                <w:color w:val="auto"/>
              </w:rPr>
            </w:pPr>
          </w:p>
        </w:tc>
        <w:tc>
          <w:tcPr>
            <w:tcW w:w="160" w:type="dxa"/>
            <w:vAlign w:val="bottom"/>
            <w:tcBorders>
              <w:top w:val="single" w:sz="8" w:color="auto"/>
            </w:tcBorders>
            <w:shd w:val="clear" w:color="auto" w:fill="DCE2EF"/>
          </w:tcPr>
          <w:p>
            <w:pPr>
              <w:spacing w:after="0"/>
              <w:rPr>
                <w:sz w:val="18"/>
                <w:szCs w:val="18"/>
                <w:color w:val="auto"/>
              </w:rPr>
            </w:pPr>
          </w:p>
        </w:tc>
        <w:tc>
          <w:tcPr>
            <w:tcW w:w="130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50.9</w:t>
            </w:r>
          </w:p>
        </w:tc>
        <w:tc>
          <w:tcPr>
            <w:tcW w:w="80" w:type="dxa"/>
            <w:vAlign w:val="bottom"/>
            <w:tcBorders>
              <w:top w:val="single" w:sz="8" w:color="DCE2EF"/>
            </w:tcBorders>
            <w:shd w:val="clear" w:color="auto" w:fill="DCE2EF"/>
          </w:tcPr>
          <w:p>
            <w:pPr>
              <w:spacing w:after="0"/>
              <w:rPr>
                <w:sz w:val="18"/>
                <w:szCs w:val="18"/>
                <w:color w:val="auto"/>
              </w:rPr>
            </w:pPr>
          </w:p>
        </w:tc>
        <w:tc>
          <w:tcPr>
            <w:tcW w:w="180" w:type="dxa"/>
            <w:vAlign w:val="bottom"/>
            <w:tcBorders>
              <w:top w:val="single" w:sz="8" w:color="auto"/>
            </w:tcBorders>
            <w:shd w:val="clear" w:color="auto" w:fill="DCE2EF"/>
          </w:tcPr>
          <w:p>
            <w:pPr>
              <w:spacing w:after="0"/>
              <w:rPr>
                <w:sz w:val="18"/>
                <w:szCs w:val="18"/>
                <w:color w:val="auto"/>
              </w:rPr>
            </w:pPr>
          </w:p>
        </w:tc>
        <w:tc>
          <w:tcPr>
            <w:tcW w:w="130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(36.0)</w:t>
            </w:r>
          </w:p>
        </w:tc>
        <w:tc>
          <w:tcPr>
            <w:tcW w:w="420" w:type="dxa"/>
            <w:vAlign w:val="bottom"/>
            <w:tcBorders>
              <w:top w:val="single" w:sz="8" w:color="DCE2EF"/>
            </w:tcBorders>
            <w:shd w:val="clear" w:color="auto" w:fill="DCE2EF"/>
          </w:tcPr>
          <w:p>
            <w:pPr>
              <w:spacing w:after="0"/>
              <w:rPr>
                <w:sz w:val="18"/>
                <w:szCs w:val="18"/>
                <w:color w:val="auto"/>
              </w:rPr>
            </w:pPr>
          </w:p>
        </w:tc>
        <w:tc>
          <w:tcPr>
            <w:tcW w:w="220" w:type="dxa"/>
            <w:vAlign w:val="bottom"/>
            <w:tcBorders>
              <w:top w:val="single" w:sz="8" w:color="auto"/>
            </w:tcBorders>
            <w:shd w:val="clear" w:color="auto" w:fill="DCE2EF"/>
          </w:tcPr>
          <w:p>
            <w:pPr>
              <w:spacing w:after="0"/>
              <w:rPr>
                <w:sz w:val="18"/>
                <w:szCs w:val="18"/>
                <w:color w:val="auto"/>
              </w:rPr>
            </w:pPr>
          </w:p>
        </w:tc>
        <w:tc>
          <w:tcPr>
            <w:tcW w:w="126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110.6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6"/>
                <w:szCs w:val="16"/>
                <w:color w:val="auto"/>
              </w:rPr>
              <w:t>Income from unconsolidated affiliates, net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8"/>
        </w:trPr>
        <w:tc>
          <w:tcPr>
            <w:tcW w:w="20" w:type="dxa"/>
            <w:vAlign w:val="bottom"/>
            <w:shd w:val="clear" w:color="auto" w:fill="DCE2EF"/>
          </w:tcPr>
          <w:p>
            <w:pPr>
              <w:spacing w:after="0"/>
              <w:rPr>
                <w:sz w:val="18"/>
                <w:szCs w:val="18"/>
                <w:color w:val="auto"/>
              </w:rPr>
            </w:pPr>
          </w:p>
        </w:tc>
        <w:tc>
          <w:tcPr>
            <w:tcW w:w="474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DCE2EF"/>
          </w:tcPr>
          <w:p>
            <w:pPr>
              <w:spacing w:after="0"/>
              <w:rPr>
                <w:sz w:val="18"/>
                <w:szCs w:val="18"/>
                <w:color w:val="auto"/>
              </w:rPr>
            </w:pPr>
          </w:p>
        </w:tc>
        <w:tc>
          <w:tcPr>
            <w:tcW w:w="12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(44.6)</w:t>
            </w:r>
          </w:p>
        </w:tc>
        <w:tc>
          <w:tcPr>
            <w:tcW w:w="8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940" w:type="dxa"/>
            <w:vAlign w:val="bottom"/>
            <w:gridSpan w:val="3"/>
            <w:shd w:val="clear" w:color="auto" w:fill="DCE2EF"/>
          </w:tcPr>
          <w:p>
            <w:pPr>
              <w:jc w:val="right"/>
              <w:ind w:right="339"/>
              <w:spacing w:after="0"/>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b w:val="1"/>
                <w:bCs w:val="1"/>
                <w:color w:val="auto"/>
              </w:rPr>
              <w:t>4n</w:t>
            </w:r>
          </w:p>
        </w:tc>
        <w:tc>
          <w:tcPr>
            <w:tcW w:w="12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6"/>
                <w:szCs w:val="16"/>
                <w:color w:val="auto"/>
              </w:rPr>
              <w:t>Income from continuing operations before income taxes</w:t>
            </w: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53.3</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49.7</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(39.9)</w:t>
            </w:r>
          </w:p>
        </w:tc>
        <w:tc>
          <w:tcPr>
            <w:tcW w:w="4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18"/>
        </w:trPr>
        <w:tc>
          <w:tcPr>
            <w:tcW w:w="20" w:type="dxa"/>
            <w:vAlign w:val="bottom"/>
            <w:shd w:val="clear" w:color="auto" w:fill="DCE2EF"/>
          </w:tcPr>
          <w:p>
            <w:pPr>
              <w:spacing w:after="0"/>
              <w:rPr>
                <w:sz w:val="18"/>
                <w:szCs w:val="18"/>
                <w:color w:val="auto"/>
              </w:rPr>
            </w:pPr>
          </w:p>
        </w:tc>
        <w:tc>
          <w:tcPr>
            <w:tcW w:w="474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Income tax provision</w:t>
            </w:r>
          </w:p>
        </w:tc>
        <w:tc>
          <w:tcPr>
            <w:tcW w:w="200" w:type="dxa"/>
            <w:vAlign w:val="bottom"/>
            <w:shd w:val="clear" w:color="auto" w:fill="DCE2EF"/>
          </w:tcPr>
          <w:p>
            <w:pPr>
              <w:spacing w:after="0"/>
              <w:rPr>
                <w:sz w:val="18"/>
                <w:szCs w:val="18"/>
                <w:color w:val="auto"/>
              </w:rPr>
            </w:pPr>
          </w:p>
        </w:tc>
        <w:tc>
          <w:tcPr>
            <w:tcW w:w="12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(53.1)</w:t>
            </w:r>
          </w:p>
        </w:tc>
        <w:tc>
          <w:tcPr>
            <w:tcW w:w="8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940" w:type="dxa"/>
            <w:vAlign w:val="bottom"/>
            <w:gridSpan w:val="3"/>
            <w:shd w:val="clear" w:color="auto" w:fill="DCE2EF"/>
          </w:tcPr>
          <w:p>
            <w:pPr>
              <w:jc w:val="right"/>
              <w:ind w:right="339"/>
              <w:spacing w:after="0"/>
              <w:rPr>
                <w:sz w:val="20"/>
                <w:szCs w:val="20"/>
                <w:color w:val="auto"/>
              </w:rPr>
            </w:pPr>
            <w:r>
              <w:rPr>
                <w:rFonts w:ascii="Arial" w:cs="Arial" w:eastAsia="Arial" w:hAnsi="Arial"/>
                <w:sz w:val="16"/>
                <w:szCs w:val="16"/>
                <w:color w:val="auto"/>
              </w:rPr>
              <w:t xml:space="preserve">(21.9) </w:t>
            </w:r>
            <w:r>
              <w:rPr>
                <w:rFonts w:ascii="Arial" w:cs="Arial" w:eastAsia="Arial" w:hAnsi="Arial"/>
                <w:sz w:val="16"/>
                <w:szCs w:val="16"/>
                <w:b w:val="1"/>
                <w:bCs w:val="1"/>
                <w:color w:val="auto"/>
              </w:rPr>
              <w:t>4o</w:t>
            </w:r>
          </w:p>
        </w:tc>
        <w:tc>
          <w:tcPr>
            <w:tcW w:w="12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6"/>
                <w:szCs w:val="16"/>
                <w:b w:val="1"/>
                <w:bCs w:val="1"/>
                <w:color w:val="auto"/>
              </w:rPr>
              <w:t>Income (loss) from continuing operations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48.0</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(61.9)</w:t>
            </w:r>
          </w:p>
        </w:tc>
        <w:tc>
          <w:tcPr>
            <w:tcW w:w="4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740" w:type="dxa"/>
            <w:vAlign w:val="bottom"/>
            <w:tcBorders>
              <w:bottom w:val="single" w:sz="8" w:color="DCE2EF"/>
            </w:tcBorders>
          </w:tcPr>
          <w:p>
            <w:pPr>
              <w:spacing w:after="0" w:line="20" w:lineRule="exact"/>
              <w:rPr>
                <w:sz w:val="1"/>
                <w:szCs w:val="1"/>
                <w:color w:val="auto"/>
              </w:rPr>
            </w:pPr>
          </w:p>
        </w:tc>
        <w:tc>
          <w:tcPr>
            <w:tcW w:w="400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DCE2EF"/>
          </w:tcPr>
          <w:p>
            <w:pPr>
              <w:spacing w:after="0"/>
              <w:rPr>
                <w:sz w:val="11"/>
                <w:szCs w:val="11"/>
                <w:color w:val="auto"/>
              </w:rPr>
            </w:pPr>
          </w:p>
        </w:tc>
        <w:tc>
          <w:tcPr>
            <w:tcW w:w="4740" w:type="dxa"/>
            <w:vAlign w:val="bottom"/>
            <w:gridSpan w:val="2"/>
            <w:shd w:val="clear" w:color="auto" w:fill="DCE2EF"/>
          </w:tcPr>
          <w:p>
            <w:pPr>
              <w:spacing w:after="0" w:line="129" w:lineRule="exact"/>
              <w:rPr>
                <w:sz w:val="20"/>
                <w:szCs w:val="20"/>
                <w:color w:val="auto"/>
              </w:rPr>
            </w:pPr>
            <w:r>
              <w:rPr>
                <w:rFonts w:ascii="Arial" w:cs="Arial" w:eastAsia="Arial" w:hAnsi="Arial"/>
                <w:sz w:val="14"/>
                <w:szCs w:val="14"/>
                <w:b w:val="1"/>
                <w:bCs w:val="1"/>
                <w:color w:val="auto"/>
              </w:rPr>
              <w:t>Income (loss) from continuing operations per common</w:t>
            </w:r>
          </w:p>
        </w:tc>
        <w:tc>
          <w:tcPr>
            <w:tcW w:w="200" w:type="dxa"/>
            <w:vAlign w:val="bottom"/>
            <w:shd w:val="clear" w:color="auto" w:fill="DCE2EF"/>
          </w:tcPr>
          <w:p>
            <w:pPr>
              <w:spacing w:after="0"/>
              <w:rPr>
                <w:sz w:val="11"/>
                <w:szCs w:val="11"/>
                <w:color w:val="auto"/>
              </w:rPr>
            </w:pPr>
          </w:p>
        </w:tc>
        <w:tc>
          <w:tcPr>
            <w:tcW w:w="1280" w:type="dxa"/>
            <w:vAlign w:val="bottom"/>
            <w:shd w:val="clear" w:color="auto" w:fill="DCE2EF"/>
          </w:tcPr>
          <w:p>
            <w:pPr>
              <w:spacing w:after="0"/>
              <w:rPr>
                <w:sz w:val="11"/>
                <w:szCs w:val="11"/>
                <w:color w:val="auto"/>
              </w:rPr>
            </w:pPr>
          </w:p>
        </w:tc>
        <w:tc>
          <w:tcPr>
            <w:tcW w:w="80" w:type="dxa"/>
            <w:vAlign w:val="bottom"/>
            <w:shd w:val="clear" w:color="auto" w:fill="DCE2EF"/>
          </w:tcPr>
          <w:p>
            <w:pPr>
              <w:spacing w:after="0"/>
              <w:rPr>
                <w:sz w:val="11"/>
                <w:szCs w:val="11"/>
                <w:color w:val="auto"/>
              </w:rPr>
            </w:pPr>
          </w:p>
        </w:tc>
        <w:tc>
          <w:tcPr>
            <w:tcW w:w="160" w:type="dxa"/>
            <w:vAlign w:val="bottom"/>
            <w:shd w:val="clear" w:color="auto" w:fill="DCE2EF"/>
          </w:tcPr>
          <w:p>
            <w:pPr>
              <w:spacing w:after="0"/>
              <w:rPr>
                <w:sz w:val="11"/>
                <w:szCs w:val="11"/>
                <w:color w:val="auto"/>
              </w:rPr>
            </w:pPr>
          </w:p>
        </w:tc>
        <w:tc>
          <w:tcPr>
            <w:tcW w:w="1300" w:type="dxa"/>
            <w:vAlign w:val="bottom"/>
            <w:shd w:val="clear" w:color="auto" w:fill="DCE2EF"/>
          </w:tcPr>
          <w:p>
            <w:pPr>
              <w:spacing w:after="0"/>
              <w:rPr>
                <w:sz w:val="11"/>
                <w:szCs w:val="11"/>
                <w:color w:val="auto"/>
              </w:rPr>
            </w:pPr>
          </w:p>
        </w:tc>
        <w:tc>
          <w:tcPr>
            <w:tcW w:w="80" w:type="dxa"/>
            <w:vAlign w:val="bottom"/>
            <w:shd w:val="clear" w:color="auto" w:fill="DCE2EF"/>
          </w:tcPr>
          <w:p>
            <w:pPr>
              <w:spacing w:after="0"/>
              <w:rPr>
                <w:sz w:val="11"/>
                <w:szCs w:val="11"/>
                <w:color w:val="auto"/>
              </w:rPr>
            </w:pPr>
          </w:p>
        </w:tc>
        <w:tc>
          <w:tcPr>
            <w:tcW w:w="180" w:type="dxa"/>
            <w:vAlign w:val="bottom"/>
            <w:shd w:val="clear" w:color="auto" w:fill="DCE2EF"/>
          </w:tcPr>
          <w:p>
            <w:pPr>
              <w:spacing w:after="0"/>
              <w:rPr>
                <w:sz w:val="11"/>
                <w:szCs w:val="11"/>
                <w:color w:val="auto"/>
              </w:rPr>
            </w:pPr>
          </w:p>
        </w:tc>
        <w:tc>
          <w:tcPr>
            <w:tcW w:w="1300" w:type="dxa"/>
            <w:vAlign w:val="bottom"/>
            <w:shd w:val="clear" w:color="auto" w:fill="DCE2EF"/>
          </w:tcPr>
          <w:p>
            <w:pPr>
              <w:spacing w:after="0"/>
              <w:rPr>
                <w:sz w:val="11"/>
                <w:szCs w:val="11"/>
                <w:color w:val="auto"/>
              </w:rPr>
            </w:pPr>
          </w:p>
        </w:tc>
        <w:tc>
          <w:tcPr>
            <w:tcW w:w="420" w:type="dxa"/>
            <w:vAlign w:val="bottom"/>
            <w:shd w:val="clear" w:color="auto" w:fill="DCE2EF"/>
          </w:tcPr>
          <w:p>
            <w:pPr>
              <w:spacing w:after="0"/>
              <w:rPr>
                <w:sz w:val="11"/>
                <w:szCs w:val="11"/>
                <w:color w:val="auto"/>
              </w:rPr>
            </w:pPr>
          </w:p>
        </w:tc>
        <w:tc>
          <w:tcPr>
            <w:tcW w:w="220" w:type="dxa"/>
            <w:vAlign w:val="bottom"/>
            <w:shd w:val="clear" w:color="auto" w:fill="DCE2EF"/>
          </w:tcPr>
          <w:p>
            <w:pPr>
              <w:spacing w:after="0"/>
              <w:rPr>
                <w:sz w:val="11"/>
                <w:szCs w:val="11"/>
                <w:color w:val="auto"/>
              </w:rPr>
            </w:pPr>
          </w:p>
        </w:tc>
        <w:tc>
          <w:tcPr>
            <w:tcW w:w="1260" w:type="dxa"/>
            <w:vAlign w:val="bottom"/>
            <w:shd w:val="clear" w:color="auto" w:fill="DCE2E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DCE2EF"/>
          </w:tcPr>
          <w:p>
            <w:pPr>
              <w:spacing w:after="0"/>
              <w:rPr>
                <w:sz w:val="18"/>
                <w:szCs w:val="18"/>
                <w:color w:val="auto"/>
              </w:rPr>
            </w:pPr>
          </w:p>
        </w:tc>
        <w:tc>
          <w:tcPr>
            <w:tcW w:w="4740" w:type="dxa"/>
            <w:vAlign w:val="bottom"/>
            <w:gridSpan w:val="2"/>
            <w:shd w:val="clear" w:color="auto" w:fill="DCE2EF"/>
          </w:tcPr>
          <w:p>
            <w:pPr>
              <w:ind w:left="160"/>
              <w:spacing w:after="0"/>
              <w:rPr>
                <w:sz w:val="20"/>
                <w:szCs w:val="20"/>
                <w:color w:val="auto"/>
              </w:rPr>
            </w:pPr>
            <w:r>
              <w:rPr>
                <w:rFonts w:ascii="Arial" w:cs="Arial" w:eastAsia="Arial" w:hAnsi="Arial"/>
                <w:sz w:val="16"/>
                <w:szCs w:val="16"/>
                <w:b w:val="1"/>
                <w:bCs w:val="1"/>
                <w:color w:val="auto"/>
              </w:rPr>
              <w:t>share</w:t>
            </w:r>
          </w:p>
        </w:tc>
        <w:tc>
          <w:tcPr>
            <w:tcW w:w="200" w:type="dxa"/>
            <w:vAlign w:val="bottom"/>
            <w:shd w:val="clear" w:color="auto" w:fill="DCE2EF"/>
          </w:tcPr>
          <w:p>
            <w:pPr>
              <w:spacing w:after="0"/>
              <w:rPr>
                <w:sz w:val="18"/>
                <w:szCs w:val="18"/>
                <w:color w:val="auto"/>
              </w:rPr>
            </w:pPr>
          </w:p>
        </w:tc>
        <w:tc>
          <w:tcPr>
            <w:tcW w:w="1280" w:type="dxa"/>
            <w:vAlign w:val="bottom"/>
            <w:shd w:val="clear" w:color="auto" w:fill="DCE2EF"/>
          </w:tcPr>
          <w:p>
            <w:pPr>
              <w:spacing w:after="0"/>
              <w:rPr>
                <w:sz w:val="18"/>
                <w:szCs w:val="18"/>
                <w:color w:val="auto"/>
              </w:rPr>
            </w:pPr>
          </w:p>
        </w:tc>
        <w:tc>
          <w:tcPr>
            <w:tcW w:w="8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300" w:type="dxa"/>
            <w:vAlign w:val="bottom"/>
            <w:shd w:val="clear" w:color="auto" w:fill="DCE2EF"/>
          </w:tcPr>
          <w:p>
            <w:pPr>
              <w:spacing w:after="0"/>
              <w:rPr>
                <w:sz w:val="18"/>
                <w:szCs w:val="18"/>
                <w:color w:val="auto"/>
              </w:rPr>
            </w:pPr>
          </w:p>
        </w:tc>
        <w:tc>
          <w:tcPr>
            <w:tcW w:w="8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300" w:type="dxa"/>
            <w:vAlign w:val="bottom"/>
            <w:shd w:val="clear" w:color="auto" w:fill="DCE2EF"/>
          </w:tcPr>
          <w:p>
            <w:pPr>
              <w:spacing w:after="0"/>
              <w:rPr>
                <w:sz w:val="18"/>
                <w:szCs w:val="18"/>
                <w:color w:val="auto"/>
              </w:rPr>
            </w:pPr>
          </w:p>
        </w:tc>
        <w:tc>
          <w:tcPr>
            <w:tcW w:w="420" w:type="dxa"/>
            <w:vAlign w:val="bottom"/>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1260" w:type="dxa"/>
            <w:vAlign w:val="bottom"/>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gridSpan w:val="2"/>
          </w:tcPr>
          <w:p>
            <w:pPr>
              <w:ind w:left="34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(0.20)</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4740" w:type="dxa"/>
            <w:vAlign w:val="bottom"/>
            <w:gridSpan w:val="2"/>
            <w:shd w:val="clear" w:color="auto" w:fill="DCE2EF"/>
          </w:tcPr>
          <w:p>
            <w:pPr>
              <w:ind w:left="34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DCE2E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DCE2EF"/>
          </w:tcPr>
          <w:p>
            <w:pPr>
              <w:spacing w:after="0"/>
              <w:rPr>
                <w:sz w:val="19"/>
                <w:szCs w:val="19"/>
                <w:color w:val="auto"/>
              </w:rPr>
            </w:pPr>
          </w:p>
        </w:tc>
        <w:tc>
          <w:tcPr>
            <w:tcW w:w="1300" w:type="dxa"/>
            <w:vAlign w:val="bottom"/>
            <w:shd w:val="clear" w:color="auto" w:fill="DCE2EF"/>
          </w:tcPr>
          <w:p>
            <w:pPr>
              <w:spacing w:after="0"/>
              <w:rPr>
                <w:sz w:val="19"/>
                <w:szCs w:val="19"/>
                <w:color w:val="auto"/>
              </w:rPr>
            </w:pPr>
          </w:p>
        </w:tc>
        <w:tc>
          <w:tcPr>
            <w:tcW w:w="8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1300" w:type="dxa"/>
            <w:vAlign w:val="bottom"/>
            <w:shd w:val="clear" w:color="auto" w:fill="DCE2EF"/>
          </w:tcPr>
          <w:p>
            <w:pPr>
              <w:spacing w:after="0"/>
              <w:rPr>
                <w:sz w:val="19"/>
                <w:szCs w:val="19"/>
                <w:color w:val="auto"/>
              </w:rPr>
            </w:pPr>
          </w:p>
        </w:tc>
        <w:tc>
          <w:tcPr>
            <w:tcW w:w="640" w:type="dxa"/>
            <w:vAlign w:val="bottom"/>
            <w:gridSpan w:val="2"/>
            <w:shd w:val="clear" w:color="auto" w:fill="DCE2E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4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rPr>
              <w:t>Weighted-average common and common equivalent shares</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40" w:type="dxa"/>
            <w:vAlign w:val="bottom"/>
            <w:gridSpan w:val="2"/>
          </w:tcPr>
          <w:p>
            <w:pPr>
              <w:ind w:left="160"/>
              <w:spacing w:after="0"/>
              <w:rPr>
                <w:sz w:val="20"/>
                <w:szCs w:val="20"/>
                <w:color w:val="auto"/>
              </w:rPr>
            </w:pPr>
            <w:r>
              <w:rPr>
                <w:rFonts w:ascii="Arial" w:cs="Arial" w:eastAsia="Arial" w:hAnsi="Arial"/>
                <w:sz w:val="16"/>
                <w:szCs w:val="16"/>
                <w:b w:val="1"/>
                <w:bCs w:val="1"/>
                <w:color w:val="auto"/>
              </w:rPr>
              <w:t>outstanding</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DCE2EF"/>
          </w:tcPr>
          <w:p>
            <w:pPr>
              <w:spacing w:after="0"/>
              <w:rPr>
                <w:sz w:val="18"/>
                <w:szCs w:val="18"/>
                <w:color w:val="auto"/>
              </w:rPr>
            </w:pPr>
          </w:p>
        </w:tc>
        <w:tc>
          <w:tcPr>
            <w:tcW w:w="4740" w:type="dxa"/>
            <w:vAlign w:val="bottom"/>
            <w:gridSpan w:val="2"/>
            <w:shd w:val="clear" w:color="auto" w:fill="DCE2EF"/>
          </w:tcPr>
          <w:p>
            <w:pPr>
              <w:ind w:left="340"/>
              <w:spacing w:after="0"/>
              <w:rPr>
                <w:sz w:val="20"/>
                <w:szCs w:val="20"/>
                <w:color w:val="auto"/>
              </w:rPr>
            </w:pPr>
            <w:r>
              <w:rPr>
                <w:rFonts w:ascii="Arial" w:cs="Arial" w:eastAsia="Arial" w:hAnsi="Arial"/>
                <w:sz w:val="16"/>
                <w:szCs w:val="16"/>
                <w:color w:val="auto"/>
              </w:rPr>
              <w:t>Basic</w:t>
            </w:r>
          </w:p>
        </w:tc>
        <w:tc>
          <w:tcPr>
            <w:tcW w:w="200" w:type="dxa"/>
            <w:vAlign w:val="bottom"/>
            <w:shd w:val="clear" w:color="auto" w:fill="DCE2EF"/>
          </w:tcPr>
          <w:p>
            <w:pPr>
              <w:spacing w:after="0"/>
              <w:rPr>
                <w:sz w:val="18"/>
                <w:szCs w:val="18"/>
                <w:color w:val="auto"/>
              </w:rPr>
            </w:pPr>
          </w:p>
        </w:tc>
        <w:tc>
          <w:tcPr>
            <w:tcW w:w="12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66.9</w:t>
            </w:r>
          </w:p>
        </w:tc>
        <w:tc>
          <w:tcPr>
            <w:tcW w:w="8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300" w:type="dxa"/>
            <w:vAlign w:val="bottom"/>
            <w:shd w:val="clear" w:color="auto" w:fill="DCE2EF"/>
          </w:tcPr>
          <w:p>
            <w:pPr>
              <w:spacing w:after="0"/>
              <w:rPr>
                <w:sz w:val="18"/>
                <w:szCs w:val="18"/>
                <w:color w:val="auto"/>
              </w:rPr>
            </w:pPr>
          </w:p>
        </w:tc>
        <w:tc>
          <w:tcPr>
            <w:tcW w:w="8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300" w:type="dxa"/>
            <w:vAlign w:val="bottom"/>
            <w:shd w:val="clear" w:color="auto" w:fill="DCE2EF"/>
          </w:tcPr>
          <w:p>
            <w:pPr>
              <w:spacing w:after="0"/>
              <w:rPr>
                <w:sz w:val="18"/>
                <w:szCs w:val="18"/>
                <w:color w:val="auto"/>
              </w:rPr>
            </w:pPr>
          </w:p>
        </w:tc>
        <w:tc>
          <w:tcPr>
            <w:tcW w:w="420" w:type="dxa"/>
            <w:vAlign w:val="bottom"/>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tcPr>
          <w:p>
            <w:pPr>
              <w:ind w:left="340"/>
              <w:spacing w:after="0"/>
              <w:rPr>
                <w:sz w:val="20"/>
                <w:szCs w:val="20"/>
                <w:color w:val="auto"/>
              </w:rPr>
            </w:pPr>
            <w:r>
              <w:rPr>
                <w:rFonts w:ascii="Arial" w:cs="Arial" w:eastAsia="Arial" w:hAnsi="Arial"/>
                <w:sz w:val="16"/>
                <w:szCs w:val="16"/>
                <w:color w:val="auto"/>
              </w:rPr>
              <w:t>Diluted</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66.9</w:t>
            </w:r>
          </w:p>
        </w:tc>
        <w:tc>
          <w:tcPr>
            <w:tcW w:w="0" w:type="dxa"/>
            <w:vAlign w:val="bottom"/>
          </w:tcPr>
          <w:p>
            <w:pPr>
              <w:spacing w:after="0"/>
              <w:rPr>
                <w:sz w:val="1"/>
                <w:szCs w:val="1"/>
                <w:color w:val="auto"/>
              </w:rPr>
            </w:pPr>
          </w:p>
        </w:tc>
      </w:tr>
    </w:tbl>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Pro Forma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8"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Exhibit 99.3</w:t>
            </w:r>
          </w:p>
        </w:tc>
        <w:tc>
          <w:tcPr>
            <w:tcW w:w="0" w:type="dxa"/>
            <w:vAlign w:val="bottom"/>
          </w:tcPr>
          <w:p>
            <w:pPr>
              <w:spacing w:after="0"/>
              <w:rPr>
                <w:sz w:val="1"/>
                <w:szCs w:val="1"/>
                <w:color w:val="auto"/>
              </w:rPr>
            </w:pPr>
          </w:p>
        </w:tc>
      </w:tr>
      <w:tr>
        <w:trPr>
          <w:trHeight w:val="769"/>
        </w:trPr>
        <w:tc>
          <w:tcPr>
            <w:tcW w:w="20" w:type="dxa"/>
            <w:vAlign w:val="bottom"/>
          </w:tcPr>
          <w:p>
            <w:pPr>
              <w:spacing w:after="0"/>
              <w:rPr>
                <w:sz w:val="24"/>
                <w:szCs w:val="24"/>
                <w:color w:val="auto"/>
              </w:rPr>
            </w:pPr>
          </w:p>
        </w:tc>
        <w:tc>
          <w:tcPr>
            <w:tcW w:w="9320" w:type="dxa"/>
            <w:vAlign w:val="bottom"/>
            <w:gridSpan w:val="10"/>
          </w:tcPr>
          <w:p>
            <w:pPr>
              <w:ind w:left="2280"/>
              <w:spacing w:after="0"/>
              <w:rPr>
                <w:sz w:val="20"/>
                <w:szCs w:val="20"/>
                <w:color w:val="auto"/>
              </w:rPr>
            </w:pPr>
            <w:r>
              <w:rPr>
                <w:rFonts w:ascii="Arial" w:cs="Arial" w:eastAsia="Arial" w:hAnsi="Arial"/>
                <w:sz w:val="18"/>
                <w:szCs w:val="18"/>
                <w:b w:val="1"/>
                <w:bCs w:val="1"/>
                <w:color w:val="0046AD"/>
              </w:rPr>
              <w:t>UNAUDITED PRO FORMA CONDENSED COMBINED STATEMENT OF INCOME</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8"/>
              </w:rPr>
              <w:t>ABM</w:t>
            </w:r>
          </w:p>
        </w:tc>
        <w:tc>
          <w:tcPr>
            <w:tcW w:w="120" w:type="dxa"/>
            <w:vAlign w:val="bottom"/>
          </w:tcPr>
          <w:p>
            <w:pPr>
              <w:spacing w:after="0"/>
              <w:rPr>
                <w:sz w:val="24"/>
                <w:szCs w:val="24"/>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7"/>
              </w:rPr>
              <w:t>Able</w:t>
            </w:r>
          </w:p>
        </w:tc>
        <w:tc>
          <w:tcPr>
            <w:tcW w:w="180" w:type="dxa"/>
            <w:vAlign w:val="bottom"/>
          </w:tcPr>
          <w:p>
            <w:pPr>
              <w:spacing w:after="0"/>
              <w:rPr>
                <w:sz w:val="24"/>
                <w:szCs w:val="24"/>
                <w:color w:val="auto"/>
              </w:rPr>
            </w:pPr>
          </w:p>
        </w:tc>
        <w:tc>
          <w:tcPr>
            <w:tcW w:w="130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Pro Forma</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rPr>
              <w:t>Nine Months</w:t>
            </w:r>
          </w:p>
        </w:tc>
        <w:tc>
          <w:tcPr>
            <w:tcW w:w="1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Nine Months</w:t>
            </w:r>
          </w:p>
        </w:tc>
        <w:tc>
          <w:tcPr>
            <w:tcW w:w="120" w:type="dxa"/>
            <w:vAlign w:val="bottom"/>
          </w:tcPr>
          <w:p>
            <w:pPr>
              <w:spacing w:after="0"/>
              <w:rPr>
                <w:sz w:val="14"/>
                <w:szCs w:val="14"/>
                <w:color w:val="auto"/>
              </w:rPr>
            </w:pPr>
          </w:p>
        </w:tc>
        <w:tc>
          <w:tcPr>
            <w:tcW w:w="142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rPr>
              <w:t>Ended June 30,</w:t>
            </w:r>
          </w:p>
        </w:tc>
        <w:tc>
          <w:tcPr>
            <w:tcW w:w="180" w:type="dxa"/>
            <w:vAlign w:val="bottom"/>
          </w:tcPr>
          <w:p>
            <w:pPr>
              <w:spacing w:after="0"/>
              <w:rPr>
                <w:sz w:val="14"/>
                <w:szCs w:val="14"/>
                <w:color w:val="auto"/>
              </w:rPr>
            </w:pPr>
          </w:p>
        </w:tc>
        <w:tc>
          <w:tcPr>
            <w:tcW w:w="130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9"/>
              </w:rPr>
              <w:t>Transaction</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Pro Forma</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140" w:type="dxa"/>
            <w:vAlign w:val="bottom"/>
          </w:tcPr>
          <w:p>
            <w:pPr>
              <w:spacing w:after="0"/>
              <w:rPr>
                <w:sz w:val="14"/>
                <w:szCs w:val="14"/>
                <w:color w:val="auto"/>
              </w:rPr>
            </w:pPr>
          </w:p>
        </w:tc>
        <w:tc>
          <w:tcPr>
            <w:tcW w:w="142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Ended July 31,</w:t>
            </w:r>
          </w:p>
        </w:tc>
        <w:tc>
          <w:tcPr>
            <w:tcW w:w="12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Accounting</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7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rPr>
              <w:t>(as adjusted)</w:t>
            </w:r>
          </w:p>
        </w:tc>
        <w:tc>
          <w:tcPr>
            <w:tcW w:w="80" w:type="dxa"/>
            <w:vAlign w:val="bottom"/>
            <w:vMerge w:val="restart"/>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Adjustments</w:t>
            </w: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Combined</w:t>
            </w:r>
          </w:p>
        </w:tc>
        <w:tc>
          <w:tcPr>
            <w:tcW w:w="0" w:type="dxa"/>
            <w:vAlign w:val="bottom"/>
          </w:tcPr>
          <w:p>
            <w:pPr>
              <w:spacing w:after="0"/>
              <w:rPr>
                <w:sz w:val="1"/>
                <w:szCs w:val="1"/>
                <w:color w:val="auto"/>
              </w:rPr>
            </w:pPr>
          </w:p>
        </w:tc>
      </w:tr>
      <w:tr>
        <w:trPr>
          <w:trHeight w:val="114"/>
        </w:trPr>
        <w:tc>
          <w:tcPr>
            <w:tcW w:w="20" w:type="dxa"/>
            <w:vAlign w:val="bottom"/>
            <w:tcBorders>
              <w:bottom w:val="single" w:sz="8" w:color="DCE2EF"/>
            </w:tcBorders>
          </w:tcPr>
          <w:p>
            <w:pPr>
              <w:spacing w:after="0"/>
              <w:rPr>
                <w:sz w:val="9"/>
                <w:szCs w:val="9"/>
                <w:color w:val="auto"/>
              </w:rPr>
            </w:pPr>
          </w:p>
        </w:tc>
        <w:tc>
          <w:tcPr>
            <w:tcW w:w="2480" w:type="dxa"/>
            <w:vAlign w:val="bottom"/>
            <w:tcBorders>
              <w:top w:val="single" w:sz="8" w:color="auto"/>
              <w:bottom w:val="single" w:sz="8" w:color="DCE2EF"/>
            </w:tcBorders>
          </w:tcPr>
          <w:p>
            <w:pPr>
              <w:spacing w:after="0"/>
              <w:rPr>
                <w:sz w:val="9"/>
                <w:szCs w:val="9"/>
                <w:color w:val="auto"/>
              </w:rPr>
            </w:pPr>
          </w:p>
        </w:tc>
        <w:tc>
          <w:tcPr>
            <w:tcW w:w="2260" w:type="dxa"/>
            <w:vAlign w:val="bottom"/>
            <w:tcBorders>
              <w:bottom w:val="single" w:sz="8" w:color="DCE2E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vMerge w:val="continue"/>
          </w:tcPr>
          <w:p>
            <w:pPr>
              <w:spacing w:after="0"/>
              <w:rPr>
                <w:sz w:val="9"/>
                <w:szCs w:val="9"/>
                <w:color w:val="auto"/>
              </w:rPr>
            </w:pPr>
          </w:p>
        </w:tc>
        <w:tc>
          <w:tcPr>
            <w:tcW w:w="80" w:type="dxa"/>
            <w:vAlign w:val="bottom"/>
            <w:tcBorders>
              <w:bottom w:val="single" w:sz="8" w:color="DCE2E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vMerge w:val="continue"/>
          </w:tcPr>
          <w:p>
            <w:pPr>
              <w:spacing w:after="0"/>
              <w:rPr>
                <w:sz w:val="9"/>
                <w:szCs w:val="9"/>
                <w:color w:val="auto"/>
              </w:rPr>
            </w:pPr>
          </w:p>
        </w:tc>
        <w:tc>
          <w:tcPr>
            <w:tcW w:w="80" w:type="dxa"/>
            <w:vAlign w:val="bottom"/>
            <w:tcBorders>
              <w:bottom w:val="single" w:sz="8" w:color="DCE2EF"/>
            </w:tcBorders>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vMerge w:val="continue"/>
          </w:tcPr>
          <w:p>
            <w:pPr>
              <w:spacing w:after="0"/>
              <w:rPr>
                <w:sz w:val="9"/>
                <w:szCs w:val="9"/>
                <w:color w:val="auto"/>
              </w:rPr>
            </w:pPr>
          </w:p>
        </w:tc>
        <w:tc>
          <w:tcPr>
            <w:tcW w:w="420" w:type="dxa"/>
            <w:vAlign w:val="bottom"/>
            <w:tcBorders>
              <w:bottom w:val="single" w:sz="8" w:color="DCE2E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DCE2EF"/>
          </w:tcPr>
          <w:p>
            <w:pPr>
              <w:spacing w:after="0"/>
              <w:rPr>
                <w:sz w:val="18"/>
                <w:szCs w:val="18"/>
                <w:color w:val="auto"/>
              </w:rPr>
            </w:pPr>
          </w:p>
        </w:tc>
        <w:tc>
          <w:tcPr>
            <w:tcW w:w="474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Revenues</w:t>
            </w:r>
          </w:p>
        </w:tc>
        <w:tc>
          <w:tcPr>
            <w:tcW w:w="14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4,533.0</w:t>
            </w:r>
          </w:p>
        </w:tc>
        <w:tc>
          <w:tcPr>
            <w:tcW w:w="80" w:type="dxa"/>
            <w:vAlign w:val="bottom"/>
            <w:shd w:val="clear" w:color="auto" w:fill="DCE2EF"/>
          </w:tcPr>
          <w:p>
            <w:pPr>
              <w:spacing w:after="0"/>
              <w:rPr>
                <w:sz w:val="18"/>
                <w:szCs w:val="18"/>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805.4</w:t>
            </w:r>
          </w:p>
        </w:tc>
        <w:tc>
          <w:tcPr>
            <w:tcW w:w="8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300" w:type="dxa"/>
            <w:vAlign w:val="bottom"/>
            <w:shd w:val="clear" w:color="auto" w:fill="DCE2EF"/>
          </w:tcPr>
          <w:p>
            <w:pPr>
              <w:spacing w:after="0"/>
              <w:rPr>
                <w:sz w:val="18"/>
                <w:szCs w:val="18"/>
                <w:color w:val="auto"/>
              </w:rPr>
            </w:pPr>
          </w:p>
        </w:tc>
        <w:tc>
          <w:tcPr>
            <w:tcW w:w="640" w:type="dxa"/>
            <w:vAlign w:val="bottom"/>
            <w:gridSpan w:val="2"/>
            <w:shd w:val="clear" w:color="auto" w:fill="DCE2EF"/>
          </w:tcPr>
          <w:p>
            <w:pPr>
              <w:ind w:left="4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5,338.4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3,812.0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713.2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4,525.2</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474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shd w:val="clear" w:color="auto" w:fill="DCE2EF"/>
          </w:tcPr>
          <w:p>
            <w:pPr>
              <w:spacing w:after="0"/>
              <w:rPr>
                <w:sz w:val="19"/>
                <w:szCs w:val="19"/>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538.3</w:t>
            </w:r>
          </w:p>
        </w:tc>
        <w:tc>
          <w:tcPr>
            <w:tcW w:w="8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46.0</w:t>
            </w:r>
          </w:p>
        </w:tc>
        <w:tc>
          <w:tcPr>
            <w:tcW w:w="8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(2.4)</w:t>
            </w:r>
          </w:p>
        </w:tc>
        <w:tc>
          <w:tcPr>
            <w:tcW w:w="640" w:type="dxa"/>
            <w:vAlign w:val="bottom"/>
            <w:gridSpan w:val="2"/>
            <w:shd w:val="clear" w:color="auto" w:fill="DCE2EF"/>
          </w:tcPr>
          <w:p>
            <w:pPr>
              <w:ind w:left="20"/>
              <w:spacing w:after="0"/>
              <w:rPr>
                <w:sz w:val="20"/>
                <w:szCs w:val="20"/>
                <w:color w:val="auto"/>
              </w:rPr>
            </w:pPr>
            <w:r>
              <w:rPr>
                <w:rFonts w:ascii="Arial" w:cs="Arial" w:eastAsia="Arial" w:hAnsi="Arial"/>
                <w:sz w:val="16"/>
                <w:szCs w:val="16"/>
                <w:b w:val="1"/>
                <w:bCs w:val="1"/>
                <w:color w:val="auto"/>
              </w:rPr>
              <w:t>4l</w:t>
            </w:r>
          </w:p>
        </w:tc>
        <w:tc>
          <w:tcPr>
            <w:tcW w:w="12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581.9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6"/>
                <w:szCs w:val="16"/>
                <w:color w:val="auto"/>
              </w:rPr>
              <w:t>Restructuring and related expenses</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474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Amortization of intangible assets</w:t>
            </w:r>
          </w:p>
        </w:tc>
        <w:tc>
          <w:tcPr>
            <w:tcW w:w="140" w:type="dxa"/>
            <w:vAlign w:val="bottom"/>
            <w:shd w:val="clear" w:color="auto" w:fill="DCE2EF"/>
          </w:tcPr>
          <w:p>
            <w:pPr>
              <w:spacing w:after="0"/>
              <w:rPr>
                <w:sz w:val="19"/>
                <w:szCs w:val="19"/>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32.1</w:t>
            </w:r>
          </w:p>
        </w:tc>
        <w:tc>
          <w:tcPr>
            <w:tcW w:w="8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24.3</w:t>
            </w:r>
          </w:p>
        </w:tc>
        <w:tc>
          <w:tcPr>
            <w:tcW w:w="640" w:type="dxa"/>
            <w:vAlign w:val="bottom"/>
            <w:gridSpan w:val="2"/>
            <w:shd w:val="clear" w:color="auto" w:fill="DCE2EF"/>
          </w:tcPr>
          <w:p>
            <w:pPr>
              <w:ind w:left="20"/>
              <w:spacing w:after="0"/>
              <w:rPr>
                <w:sz w:val="20"/>
                <w:szCs w:val="20"/>
                <w:color w:val="auto"/>
              </w:rPr>
            </w:pPr>
            <w:r>
              <w:rPr>
                <w:rFonts w:ascii="Arial" w:cs="Arial" w:eastAsia="Arial" w:hAnsi="Arial"/>
                <w:sz w:val="16"/>
                <w:szCs w:val="16"/>
                <w:b w:val="1"/>
                <w:bCs w:val="1"/>
                <w:color w:val="auto"/>
              </w:rPr>
              <w:t>4m</w:t>
            </w:r>
          </w:p>
        </w:tc>
        <w:tc>
          <w:tcPr>
            <w:tcW w:w="12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58.1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6"/>
                <w:szCs w:val="16"/>
                <w:color w:val="auto"/>
              </w:rPr>
              <w:t>Impairment loss</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Borders>
              <w:top w:val="single" w:sz="8" w:color="DCE2EF"/>
            </w:tcBorders>
            <w:shd w:val="clear" w:color="auto" w:fill="DCE2EF"/>
          </w:tcPr>
          <w:p>
            <w:pPr>
              <w:spacing w:after="0"/>
              <w:rPr>
                <w:sz w:val="18"/>
                <w:szCs w:val="18"/>
                <w:color w:val="auto"/>
              </w:rPr>
            </w:pPr>
          </w:p>
        </w:tc>
        <w:tc>
          <w:tcPr>
            <w:tcW w:w="4740" w:type="dxa"/>
            <w:vAlign w:val="bottom"/>
            <w:tcBorders>
              <w:top w:val="single" w:sz="8" w:color="DCE2EF"/>
            </w:tcBorders>
            <w:gridSpan w:val="2"/>
            <w:shd w:val="clear" w:color="auto" w:fill="DCE2EF"/>
          </w:tcPr>
          <w:p>
            <w:pPr>
              <w:spacing w:after="0"/>
              <w:rPr>
                <w:sz w:val="20"/>
                <w:szCs w:val="20"/>
                <w:color w:val="auto"/>
              </w:rPr>
            </w:pPr>
            <w:r>
              <w:rPr>
                <w:rFonts w:ascii="Arial" w:cs="Arial" w:eastAsia="Arial" w:hAnsi="Arial"/>
                <w:sz w:val="16"/>
                <w:szCs w:val="16"/>
                <w:b w:val="1"/>
                <w:bCs w:val="1"/>
                <w:color w:val="auto"/>
              </w:rPr>
              <w:t>Operating profit</w:t>
            </w:r>
          </w:p>
        </w:tc>
        <w:tc>
          <w:tcPr>
            <w:tcW w:w="140" w:type="dxa"/>
            <w:vAlign w:val="bottom"/>
            <w:tcBorders>
              <w:top w:val="single" w:sz="8" w:color="auto"/>
            </w:tcBorders>
            <w:shd w:val="clear" w:color="auto" w:fill="DCE2EF"/>
          </w:tcPr>
          <w:p>
            <w:pPr>
              <w:spacing w:after="0"/>
              <w:rPr>
                <w:sz w:val="18"/>
                <w:szCs w:val="18"/>
                <w:color w:val="auto"/>
              </w:rPr>
            </w:pPr>
          </w:p>
        </w:tc>
        <w:tc>
          <w:tcPr>
            <w:tcW w:w="134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150.6</w:t>
            </w:r>
          </w:p>
        </w:tc>
        <w:tc>
          <w:tcPr>
            <w:tcW w:w="80" w:type="dxa"/>
            <w:vAlign w:val="bottom"/>
            <w:tcBorders>
              <w:top w:val="single" w:sz="8" w:color="DCE2EF"/>
            </w:tcBorders>
            <w:shd w:val="clear" w:color="auto" w:fill="DCE2EF"/>
          </w:tcPr>
          <w:p>
            <w:pPr>
              <w:spacing w:after="0"/>
              <w:rPr>
                <w:sz w:val="18"/>
                <w:szCs w:val="18"/>
                <w:color w:val="auto"/>
              </w:rPr>
            </w:pPr>
          </w:p>
        </w:tc>
        <w:tc>
          <w:tcPr>
            <w:tcW w:w="120" w:type="dxa"/>
            <w:vAlign w:val="bottom"/>
            <w:tcBorders>
              <w:top w:val="single" w:sz="8" w:color="auto"/>
            </w:tcBorders>
            <w:shd w:val="clear" w:color="auto" w:fill="DCE2EF"/>
          </w:tcPr>
          <w:p>
            <w:pPr>
              <w:spacing w:after="0"/>
              <w:rPr>
                <w:sz w:val="18"/>
                <w:szCs w:val="18"/>
                <w:color w:val="auto"/>
              </w:rPr>
            </w:pPr>
          </w:p>
        </w:tc>
        <w:tc>
          <w:tcPr>
            <w:tcW w:w="134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44.4</w:t>
            </w:r>
          </w:p>
        </w:tc>
        <w:tc>
          <w:tcPr>
            <w:tcW w:w="80" w:type="dxa"/>
            <w:vAlign w:val="bottom"/>
            <w:tcBorders>
              <w:top w:val="single" w:sz="8" w:color="DCE2EF"/>
            </w:tcBorders>
            <w:shd w:val="clear" w:color="auto" w:fill="DCE2EF"/>
          </w:tcPr>
          <w:p>
            <w:pPr>
              <w:spacing w:after="0"/>
              <w:rPr>
                <w:sz w:val="18"/>
                <w:szCs w:val="18"/>
                <w:color w:val="auto"/>
              </w:rPr>
            </w:pPr>
          </w:p>
        </w:tc>
        <w:tc>
          <w:tcPr>
            <w:tcW w:w="180" w:type="dxa"/>
            <w:vAlign w:val="bottom"/>
            <w:tcBorders>
              <w:top w:val="single" w:sz="8" w:color="auto"/>
            </w:tcBorders>
            <w:shd w:val="clear" w:color="auto" w:fill="DCE2EF"/>
          </w:tcPr>
          <w:p>
            <w:pPr>
              <w:spacing w:after="0"/>
              <w:rPr>
                <w:sz w:val="18"/>
                <w:szCs w:val="18"/>
                <w:color w:val="auto"/>
              </w:rPr>
            </w:pPr>
          </w:p>
        </w:tc>
        <w:tc>
          <w:tcPr>
            <w:tcW w:w="130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(21.8)</w:t>
            </w:r>
          </w:p>
        </w:tc>
        <w:tc>
          <w:tcPr>
            <w:tcW w:w="420" w:type="dxa"/>
            <w:vAlign w:val="bottom"/>
            <w:tcBorders>
              <w:top w:val="single" w:sz="8" w:color="DCE2EF"/>
            </w:tcBorders>
            <w:shd w:val="clear" w:color="auto" w:fill="DCE2EF"/>
          </w:tcPr>
          <w:p>
            <w:pPr>
              <w:spacing w:after="0"/>
              <w:rPr>
                <w:sz w:val="18"/>
                <w:szCs w:val="18"/>
                <w:color w:val="auto"/>
              </w:rPr>
            </w:pPr>
          </w:p>
        </w:tc>
        <w:tc>
          <w:tcPr>
            <w:tcW w:w="220" w:type="dxa"/>
            <w:vAlign w:val="bottom"/>
            <w:tcBorders>
              <w:top w:val="single" w:sz="8" w:color="auto"/>
            </w:tcBorders>
            <w:shd w:val="clear" w:color="auto" w:fill="DCE2EF"/>
          </w:tcPr>
          <w:p>
            <w:pPr>
              <w:spacing w:after="0"/>
              <w:rPr>
                <w:sz w:val="18"/>
                <w:szCs w:val="18"/>
                <w:color w:val="auto"/>
              </w:rPr>
            </w:pPr>
          </w:p>
        </w:tc>
        <w:tc>
          <w:tcPr>
            <w:tcW w:w="1260" w:type="dxa"/>
            <w:vAlign w:val="bottom"/>
            <w:tcBorders>
              <w:top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173.2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6"/>
                <w:szCs w:val="16"/>
                <w:color w:val="auto"/>
              </w:rPr>
              <w:t>Income from unconsolidated affiliates, net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8"/>
        </w:trPr>
        <w:tc>
          <w:tcPr>
            <w:tcW w:w="20" w:type="dxa"/>
            <w:vAlign w:val="bottom"/>
            <w:shd w:val="clear" w:color="auto" w:fill="DCE2EF"/>
          </w:tcPr>
          <w:p>
            <w:pPr>
              <w:spacing w:after="0"/>
              <w:rPr>
                <w:sz w:val="18"/>
                <w:szCs w:val="18"/>
                <w:color w:val="auto"/>
              </w:rPr>
            </w:pPr>
          </w:p>
        </w:tc>
        <w:tc>
          <w:tcPr>
            <w:tcW w:w="474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DCE2EF"/>
          </w:tcPr>
          <w:p>
            <w:pPr>
              <w:spacing w:after="0"/>
              <w:rPr>
                <w:sz w:val="18"/>
                <w:szCs w:val="18"/>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(22.6)</w:t>
            </w:r>
          </w:p>
        </w:tc>
        <w:tc>
          <w:tcPr>
            <w:tcW w:w="8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(0.8)</w:t>
            </w:r>
          </w:p>
        </w:tc>
        <w:tc>
          <w:tcPr>
            <w:tcW w:w="8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(3.1)</w:t>
            </w:r>
          </w:p>
        </w:tc>
        <w:tc>
          <w:tcPr>
            <w:tcW w:w="640" w:type="dxa"/>
            <w:vAlign w:val="bottom"/>
            <w:gridSpan w:val="2"/>
            <w:shd w:val="clear" w:color="auto" w:fill="DCE2EF"/>
          </w:tcPr>
          <w:p>
            <w:pPr>
              <w:ind w:left="20"/>
              <w:spacing w:after="0"/>
              <w:rPr>
                <w:sz w:val="20"/>
                <w:szCs w:val="20"/>
                <w:color w:val="auto"/>
              </w:rPr>
            </w:pPr>
            <w:r>
              <w:rPr>
                <w:rFonts w:ascii="Arial" w:cs="Arial" w:eastAsia="Arial" w:hAnsi="Arial"/>
                <w:sz w:val="16"/>
                <w:szCs w:val="16"/>
                <w:b w:val="1"/>
                <w:bCs w:val="1"/>
                <w:color w:val="auto"/>
              </w:rPr>
              <w:t>4n</w:t>
            </w:r>
          </w:p>
        </w:tc>
        <w:tc>
          <w:tcPr>
            <w:tcW w:w="12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6"/>
                <w:szCs w:val="16"/>
                <w:color w:val="auto"/>
              </w:rPr>
              <w:t>Income from continuing operations before income taxes</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129.4</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43.6</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4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148.2</w:t>
            </w:r>
          </w:p>
        </w:tc>
        <w:tc>
          <w:tcPr>
            <w:tcW w:w="0" w:type="dxa"/>
            <w:vAlign w:val="bottom"/>
          </w:tcPr>
          <w:p>
            <w:pPr>
              <w:spacing w:after="0"/>
              <w:rPr>
                <w:sz w:val="1"/>
                <w:szCs w:val="1"/>
                <w:color w:val="auto"/>
              </w:rPr>
            </w:pPr>
          </w:p>
        </w:tc>
      </w:tr>
      <w:tr>
        <w:trPr>
          <w:trHeight w:val="218"/>
        </w:trPr>
        <w:tc>
          <w:tcPr>
            <w:tcW w:w="20" w:type="dxa"/>
            <w:vAlign w:val="bottom"/>
            <w:shd w:val="clear" w:color="auto" w:fill="DCE2EF"/>
          </w:tcPr>
          <w:p>
            <w:pPr>
              <w:spacing w:after="0"/>
              <w:rPr>
                <w:sz w:val="18"/>
                <w:szCs w:val="18"/>
                <w:color w:val="auto"/>
              </w:rPr>
            </w:pPr>
          </w:p>
        </w:tc>
        <w:tc>
          <w:tcPr>
            <w:tcW w:w="474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Income tax provision</w:t>
            </w:r>
          </w:p>
        </w:tc>
        <w:tc>
          <w:tcPr>
            <w:tcW w:w="140" w:type="dxa"/>
            <w:vAlign w:val="bottom"/>
            <w:tcBorders>
              <w:bottom w:val="single" w:sz="8" w:color="auto"/>
            </w:tcBorders>
            <w:shd w:val="clear" w:color="auto" w:fill="DCE2EF"/>
          </w:tcPr>
          <w:p>
            <w:pPr>
              <w:spacing w:after="0"/>
              <w:rPr>
                <w:sz w:val="18"/>
                <w:szCs w:val="18"/>
                <w:color w:val="auto"/>
              </w:rPr>
            </w:pPr>
          </w:p>
        </w:tc>
        <w:tc>
          <w:tcPr>
            <w:tcW w:w="13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(37.4)</w:t>
            </w:r>
          </w:p>
        </w:tc>
        <w:tc>
          <w:tcPr>
            <w:tcW w:w="80" w:type="dxa"/>
            <w:vAlign w:val="bottom"/>
            <w:shd w:val="clear" w:color="auto" w:fill="DCE2EF"/>
          </w:tcPr>
          <w:p>
            <w:pPr>
              <w:spacing w:after="0"/>
              <w:rPr>
                <w:sz w:val="18"/>
                <w:szCs w:val="18"/>
                <w:color w:val="auto"/>
              </w:rPr>
            </w:pPr>
          </w:p>
        </w:tc>
        <w:tc>
          <w:tcPr>
            <w:tcW w:w="120" w:type="dxa"/>
            <w:vAlign w:val="bottom"/>
            <w:tcBorders>
              <w:bottom w:val="single" w:sz="8" w:color="auto"/>
            </w:tcBorders>
            <w:shd w:val="clear" w:color="auto" w:fill="DCE2EF"/>
          </w:tcPr>
          <w:p>
            <w:pPr>
              <w:spacing w:after="0"/>
              <w:rPr>
                <w:sz w:val="18"/>
                <w:szCs w:val="18"/>
                <w:color w:val="auto"/>
              </w:rPr>
            </w:pPr>
          </w:p>
        </w:tc>
        <w:tc>
          <w:tcPr>
            <w:tcW w:w="13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DCE2EF"/>
          </w:tcPr>
          <w:p>
            <w:pPr>
              <w:spacing w:after="0"/>
              <w:rPr>
                <w:sz w:val="18"/>
                <w:szCs w:val="18"/>
                <w:color w:val="auto"/>
              </w:rPr>
            </w:pPr>
          </w:p>
        </w:tc>
        <w:tc>
          <w:tcPr>
            <w:tcW w:w="180" w:type="dxa"/>
            <w:vAlign w:val="bottom"/>
            <w:tcBorders>
              <w:bottom w:val="single" w:sz="8" w:color="auto"/>
            </w:tcBorders>
            <w:shd w:val="clear" w:color="auto" w:fill="DCE2EF"/>
          </w:tcPr>
          <w:p>
            <w:pPr>
              <w:spacing w:after="0"/>
              <w:rPr>
                <w:sz w:val="18"/>
                <w:szCs w:val="18"/>
                <w:color w:val="auto"/>
              </w:rPr>
            </w:pPr>
          </w:p>
        </w:tc>
        <w:tc>
          <w:tcPr>
            <w:tcW w:w="13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(17.5)</w:t>
            </w:r>
          </w:p>
        </w:tc>
        <w:tc>
          <w:tcPr>
            <w:tcW w:w="420" w:type="dxa"/>
            <w:vAlign w:val="bottom"/>
            <w:shd w:val="clear" w:color="auto" w:fill="DCE2EF"/>
          </w:tcPr>
          <w:p>
            <w:pPr>
              <w:ind w:left="20"/>
              <w:spacing w:after="0"/>
              <w:rPr>
                <w:sz w:val="20"/>
                <w:szCs w:val="20"/>
                <w:color w:val="auto"/>
              </w:rPr>
            </w:pPr>
            <w:r>
              <w:rPr>
                <w:rFonts w:ascii="Arial" w:cs="Arial" w:eastAsia="Arial" w:hAnsi="Arial"/>
                <w:sz w:val="16"/>
                <w:szCs w:val="16"/>
                <w:b w:val="1"/>
                <w:bCs w:val="1"/>
                <w:color w:val="auto"/>
              </w:rPr>
              <w:t>4o</w:t>
            </w:r>
          </w:p>
        </w:tc>
        <w:tc>
          <w:tcPr>
            <w:tcW w:w="220" w:type="dxa"/>
            <w:vAlign w:val="bottom"/>
            <w:tcBorders>
              <w:bottom w:val="single" w:sz="8" w:color="auto"/>
            </w:tcBorders>
            <w:shd w:val="clear" w:color="auto" w:fill="DCE2EF"/>
          </w:tcPr>
          <w:p>
            <w:pPr>
              <w:spacing w:after="0"/>
              <w:rPr>
                <w:sz w:val="18"/>
                <w:szCs w:val="18"/>
                <w:color w:val="auto"/>
              </w:rPr>
            </w:pPr>
          </w:p>
        </w:tc>
        <w:tc>
          <w:tcPr>
            <w:tcW w:w="12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6"/>
                <w:szCs w:val="16"/>
                <w:b w:val="1"/>
                <w:bCs w:val="1"/>
                <w:color w:val="auto"/>
              </w:rPr>
              <w:t>Income from continuing operations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92.0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42.0</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(42.4)</w:t>
            </w:r>
          </w:p>
        </w:tc>
        <w:tc>
          <w:tcPr>
            <w:tcW w:w="6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91.6</w:t>
            </w:r>
          </w:p>
        </w:tc>
        <w:tc>
          <w:tcPr>
            <w:tcW w:w="0" w:type="dxa"/>
            <w:vAlign w:val="bottom"/>
          </w:tcPr>
          <w:p>
            <w:pPr>
              <w:spacing w:after="0"/>
              <w:rPr>
                <w:sz w:val="1"/>
                <w:szCs w:val="1"/>
                <w:color w:val="auto"/>
              </w:rPr>
            </w:pPr>
          </w:p>
        </w:tc>
      </w:tr>
      <w:tr>
        <w:trPr>
          <w:trHeight w:val="20"/>
        </w:trPr>
        <w:tc>
          <w:tcPr>
            <w:tcW w:w="20" w:type="dxa"/>
            <w:vAlign w:val="bottom"/>
            <w:tcBorders>
              <w:bottom w:val="single" w:sz="8" w:color="DCE2EF"/>
            </w:tcBorders>
          </w:tcPr>
          <w:p>
            <w:pPr>
              <w:spacing w:after="0" w:line="20" w:lineRule="exact"/>
              <w:rPr>
                <w:sz w:val="1"/>
                <w:szCs w:val="1"/>
                <w:color w:val="auto"/>
              </w:rPr>
            </w:pPr>
          </w:p>
        </w:tc>
        <w:tc>
          <w:tcPr>
            <w:tcW w:w="2480" w:type="dxa"/>
            <w:vAlign w:val="bottom"/>
            <w:tcBorders>
              <w:bottom w:val="single" w:sz="8" w:color="DCE2EF"/>
            </w:tcBorders>
          </w:tcPr>
          <w:p>
            <w:pPr>
              <w:spacing w:after="0" w:line="20" w:lineRule="exact"/>
              <w:rPr>
                <w:sz w:val="1"/>
                <w:szCs w:val="1"/>
                <w:color w:val="auto"/>
              </w:rPr>
            </w:pPr>
          </w:p>
        </w:tc>
        <w:tc>
          <w:tcPr>
            <w:tcW w:w="2260" w:type="dxa"/>
            <w:vAlign w:val="bottom"/>
            <w:tcBorders>
              <w:bottom w:val="single" w:sz="8" w:color="DCE2E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bottom w:val="single" w:sz="8" w:color="DCE2E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DCE2EF"/>
          </w:tcPr>
          <w:p>
            <w:pPr>
              <w:spacing w:after="0"/>
              <w:rPr>
                <w:sz w:val="15"/>
                <w:szCs w:val="15"/>
                <w:color w:val="auto"/>
              </w:rPr>
            </w:pPr>
          </w:p>
        </w:tc>
        <w:tc>
          <w:tcPr>
            <w:tcW w:w="474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Income from continuing operations per common share</w:t>
            </w:r>
          </w:p>
        </w:tc>
        <w:tc>
          <w:tcPr>
            <w:tcW w:w="140" w:type="dxa"/>
            <w:vAlign w:val="bottom"/>
            <w:shd w:val="clear" w:color="auto" w:fill="DCE2EF"/>
          </w:tcPr>
          <w:p>
            <w:pPr>
              <w:spacing w:after="0"/>
              <w:rPr>
                <w:sz w:val="15"/>
                <w:szCs w:val="15"/>
                <w:color w:val="auto"/>
              </w:rPr>
            </w:pPr>
          </w:p>
        </w:tc>
        <w:tc>
          <w:tcPr>
            <w:tcW w:w="134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134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180" w:type="dxa"/>
            <w:vAlign w:val="bottom"/>
            <w:shd w:val="clear" w:color="auto" w:fill="DCE2EF"/>
          </w:tcPr>
          <w:p>
            <w:pPr>
              <w:spacing w:after="0"/>
              <w:rPr>
                <w:sz w:val="15"/>
                <w:szCs w:val="15"/>
                <w:color w:val="auto"/>
              </w:rPr>
            </w:pPr>
          </w:p>
        </w:tc>
        <w:tc>
          <w:tcPr>
            <w:tcW w:w="1300" w:type="dxa"/>
            <w:vAlign w:val="bottom"/>
            <w:shd w:val="clear" w:color="auto" w:fill="DCE2EF"/>
          </w:tcPr>
          <w:p>
            <w:pPr>
              <w:spacing w:after="0"/>
              <w:rPr>
                <w:sz w:val="15"/>
                <w:szCs w:val="15"/>
                <w:color w:val="auto"/>
              </w:rPr>
            </w:pPr>
          </w:p>
        </w:tc>
        <w:tc>
          <w:tcPr>
            <w:tcW w:w="420" w:type="dxa"/>
            <w:vAlign w:val="bottom"/>
            <w:shd w:val="clear" w:color="auto" w:fill="DCE2EF"/>
          </w:tcPr>
          <w:p>
            <w:pPr>
              <w:spacing w:after="0"/>
              <w:rPr>
                <w:sz w:val="15"/>
                <w:szCs w:val="15"/>
                <w:color w:val="auto"/>
              </w:rPr>
            </w:pPr>
          </w:p>
        </w:tc>
        <w:tc>
          <w:tcPr>
            <w:tcW w:w="220" w:type="dxa"/>
            <w:vAlign w:val="bottom"/>
            <w:shd w:val="clear" w:color="auto" w:fill="DCE2EF"/>
          </w:tcPr>
          <w:p>
            <w:pPr>
              <w:spacing w:after="0"/>
              <w:rPr>
                <w:sz w:val="15"/>
                <w:szCs w:val="15"/>
                <w:color w:val="auto"/>
              </w:rPr>
            </w:pPr>
          </w:p>
        </w:tc>
        <w:tc>
          <w:tcPr>
            <w:tcW w:w="1260" w:type="dxa"/>
            <w:vAlign w:val="bottom"/>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gridSpan w:val="2"/>
          </w:tcPr>
          <w:p>
            <w:pPr>
              <w:ind w:left="340"/>
              <w:spacing w:after="0"/>
              <w:rPr>
                <w:sz w:val="20"/>
                <w:szCs w:val="20"/>
                <w:color w:val="auto"/>
              </w:rPr>
            </w:pPr>
            <w:r>
              <w:rPr>
                <w:rFonts w:ascii="Arial" w:cs="Arial" w:eastAsia="Arial" w:hAnsi="Arial"/>
                <w:sz w:val="16"/>
                <w:szCs w:val="16"/>
                <w:color w:val="auto"/>
              </w:rPr>
              <w:t>Basic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9"/>
        </w:trPr>
        <w:tc>
          <w:tcPr>
            <w:tcW w:w="20" w:type="dxa"/>
            <w:vAlign w:val="bottom"/>
            <w:shd w:val="clear" w:color="auto" w:fill="DCE2EF"/>
          </w:tcPr>
          <w:p>
            <w:pPr>
              <w:spacing w:after="0"/>
              <w:rPr>
                <w:sz w:val="19"/>
                <w:szCs w:val="19"/>
                <w:color w:val="auto"/>
              </w:rPr>
            </w:pPr>
          </w:p>
        </w:tc>
        <w:tc>
          <w:tcPr>
            <w:tcW w:w="4740" w:type="dxa"/>
            <w:vAlign w:val="bottom"/>
            <w:gridSpan w:val="2"/>
            <w:shd w:val="clear" w:color="auto" w:fill="DCE2EF"/>
          </w:tcPr>
          <w:p>
            <w:pPr>
              <w:ind w:left="340"/>
              <w:spacing w:after="0"/>
              <w:rPr>
                <w:sz w:val="20"/>
                <w:szCs w:val="20"/>
                <w:color w:val="auto"/>
              </w:rPr>
            </w:pPr>
            <w:r>
              <w:rPr>
                <w:rFonts w:ascii="Arial" w:cs="Arial" w:eastAsia="Arial" w:hAnsi="Arial"/>
                <w:sz w:val="16"/>
                <w:szCs w:val="16"/>
                <w:color w:val="auto"/>
              </w:rPr>
              <w:t>Diluted</w:t>
            </w:r>
          </w:p>
        </w:tc>
        <w:tc>
          <w:tcPr>
            <w:tcW w:w="14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1.36</w:t>
            </w:r>
          </w:p>
        </w:tc>
        <w:tc>
          <w:tcPr>
            <w:tcW w:w="8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1340" w:type="dxa"/>
            <w:vAlign w:val="bottom"/>
            <w:shd w:val="clear" w:color="auto" w:fill="DCE2EF"/>
          </w:tcPr>
          <w:p>
            <w:pPr>
              <w:spacing w:after="0"/>
              <w:rPr>
                <w:sz w:val="19"/>
                <w:szCs w:val="19"/>
                <w:color w:val="auto"/>
              </w:rPr>
            </w:pPr>
          </w:p>
        </w:tc>
        <w:tc>
          <w:tcPr>
            <w:tcW w:w="8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1300" w:type="dxa"/>
            <w:vAlign w:val="bottom"/>
            <w:shd w:val="clear" w:color="auto" w:fill="DCE2EF"/>
          </w:tcPr>
          <w:p>
            <w:pPr>
              <w:spacing w:after="0"/>
              <w:rPr>
                <w:sz w:val="19"/>
                <w:szCs w:val="19"/>
                <w:color w:val="auto"/>
              </w:rPr>
            </w:pPr>
          </w:p>
        </w:tc>
        <w:tc>
          <w:tcPr>
            <w:tcW w:w="640" w:type="dxa"/>
            <w:vAlign w:val="bottom"/>
            <w:gridSpan w:val="2"/>
            <w:shd w:val="clear" w:color="auto" w:fill="DCE2EF"/>
          </w:tcPr>
          <w:p>
            <w:pPr>
              <w:ind w:left="4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4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rPr>
              <w:t>Weighted-average common and common equivalent shares</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40" w:type="dxa"/>
            <w:vAlign w:val="bottom"/>
            <w:gridSpan w:val="2"/>
          </w:tcPr>
          <w:p>
            <w:pPr>
              <w:ind w:left="160"/>
              <w:spacing w:after="0"/>
              <w:rPr>
                <w:sz w:val="20"/>
                <w:szCs w:val="20"/>
                <w:color w:val="auto"/>
              </w:rPr>
            </w:pPr>
            <w:r>
              <w:rPr>
                <w:rFonts w:ascii="Arial" w:cs="Arial" w:eastAsia="Arial" w:hAnsi="Arial"/>
                <w:sz w:val="16"/>
                <w:szCs w:val="16"/>
                <w:b w:val="1"/>
                <w:bCs w:val="1"/>
                <w:color w:val="auto"/>
              </w:rPr>
              <w:t>outstanding</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DCE2EF"/>
          </w:tcPr>
          <w:p>
            <w:pPr>
              <w:spacing w:after="0"/>
              <w:rPr>
                <w:sz w:val="18"/>
                <w:szCs w:val="18"/>
                <w:color w:val="auto"/>
              </w:rPr>
            </w:pPr>
          </w:p>
        </w:tc>
        <w:tc>
          <w:tcPr>
            <w:tcW w:w="4740" w:type="dxa"/>
            <w:vAlign w:val="bottom"/>
            <w:gridSpan w:val="2"/>
            <w:shd w:val="clear" w:color="auto" w:fill="DCE2EF"/>
          </w:tcPr>
          <w:p>
            <w:pPr>
              <w:ind w:left="340"/>
              <w:spacing w:after="0"/>
              <w:rPr>
                <w:sz w:val="20"/>
                <w:szCs w:val="20"/>
                <w:color w:val="auto"/>
              </w:rPr>
            </w:pPr>
            <w:r>
              <w:rPr>
                <w:rFonts w:ascii="Arial" w:cs="Arial" w:eastAsia="Arial" w:hAnsi="Arial"/>
                <w:sz w:val="16"/>
                <w:szCs w:val="16"/>
                <w:color w:val="auto"/>
              </w:rPr>
              <w:t>Basic</w:t>
            </w:r>
          </w:p>
        </w:tc>
        <w:tc>
          <w:tcPr>
            <w:tcW w:w="140" w:type="dxa"/>
            <w:vAlign w:val="bottom"/>
            <w:shd w:val="clear" w:color="auto" w:fill="DCE2EF"/>
          </w:tcPr>
          <w:p>
            <w:pPr>
              <w:spacing w:after="0"/>
              <w:rPr>
                <w:sz w:val="18"/>
                <w:szCs w:val="18"/>
                <w:color w:val="auto"/>
              </w:rPr>
            </w:pPr>
          </w:p>
        </w:tc>
        <w:tc>
          <w:tcPr>
            <w:tcW w:w="13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67.3</w:t>
            </w:r>
          </w:p>
        </w:tc>
        <w:tc>
          <w:tcPr>
            <w:tcW w:w="8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340" w:type="dxa"/>
            <w:vAlign w:val="bottom"/>
            <w:shd w:val="clear" w:color="auto" w:fill="DCE2EF"/>
          </w:tcPr>
          <w:p>
            <w:pPr>
              <w:spacing w:after="0"/>
              <w:rPr>
                <w:sz w:val="18"/>
                <w:szCs w:val="18"/>
                <w:color w:val="auto"/>
              </w:rPr>
            </w:pPr>
          </w:p>
        </w:tc>
        <w:tc>
          <w:tcPr>
            <w:tcW w:w="8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300" w:type="dxa"/>
            <w:vAlign w:val="bottom"/>
            <w:shd w:val="clear" w:color="auto" w:fill="DCE2EF"/>
          </w:tcPr>
          <w:p>
            <w:pPr>
              <w:spacing w:after="0"/>
              <w:rPr>
                <w:sz w:val="18"/>
                <w:szCs w:val="18"/>
                <w:color w:val="auto"/>
              </w:rPr>
            </w:pPr>
          </w:p>
        </w:tc>
        <w:tc>
          <w:tcPr>
            <w:tcW w:w="420" w:type="dxa"/>
            <w:vAlign w:val="bottom"/>
            <w:shd w:val="clear" w:color="auto" w:fill="DCE2EF"/>
          </w:tcPr>
          <w:p>
            <w:pPr>
              <w:spacing w:after="0"/>
              <w:rPr>
                <w:sz w:val="18"/>
                <w:szCs w:val="18"/>
                <w:color w:val="auto"/>
              </w:rPr>
            </w:pPr>
          </w:p>
        </w:tc>
        <w:tc>
          <w:tcPr>
            <w:tcW w:w="220" w:type="dxa"/>
            <w:vAlign w:val="bottom"/>
            <w:shd w:val="clear" w:color="auto" w:fill="DCE2EF"/>
          </w:tcPr>
          <w:p>
            <w:pPr>
              <w:spacing w:after="0"/>
              <w:rPr>
                <w:sz w:val="18"/>
                <w:szCs w:val="18"/>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tcPr>
          <w:p>
            <w:pPr>
              <w:ind w:left="340"/>
              <w:spacing w:after="0"/>
              <w:rPr>
                <w:sz w:val="20"/>
                <w:szCs w:val="20"/>
                <w:color w:val="auto"/>
              </w:rPr>
            </w:pPr>
            <w:r>
              <w:rPr>
                <w:rFonts w:ascii="Arial" w:cs="Arial" w:eastAsia="Arial" w:hAnsi="Arial"/>
                <w:sz w:val="16"/>
                <w:szCs w:val="16"/>
                <w:color w:val="auto"/>
              </w:rPr>
              <w:t>Diluted</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67.8</w:t>
            </w:r>
          </w:p>
        </w:tc>
        <w:tc>
          <w:tcPr>
            <w:tcW w:w="0" w:type="dxa"/>
            <w:vAlign w:val="bottom"/>
          </w:tcPr>
          <w:p>
            <w:pPr>
              <w:spacing w:after="0"/>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Pro Forma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18"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NOTES TO UNAUDITED PRO FORMA CONDENSED COMBINED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 BASIS OF PRESENTATION</w:t>
      </w:r>
    </w:p>
    <w:p>
      <w:pPr>
        <w:spacing w:after="0" w:line="27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Pro Forma Financial Statements have been prepared based on the aforementioned historical financial statements and the assumptions and pro forma adjustments as described in Note 4. The pro forma adjustments are based upon available information and methodologies that are factually supportable and directly attributable to the transactions referred to below. Additionally, the pro forma adjustments represent management’s estimates based on information available as of the date of this filing and are subject to change as additional information becomes available and additional analyses are performed. Management considers this basis of presentation to be reasonable under the circumstances.</w:t>
      </w:r>
    </w:p>
    <w:p>
      <w:pPr>
        <w:spacing w:after="0" w:line="23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The acquisition was accounted for under the acquisition method of accounting in accordance with Accounting Standards Codification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Under ASC Topic 805, all assets and liabilities assumed in a business combination are recognized and measured at their assumed acquisition date fair value, while transaction costs associated with the business combination are expended as incurred. The excess purchase price consideration over the fair value of assets acquired and liabilities assumed is allocated to goodwill.</w:t>
      </w:r>
    </w:p>
    <w:p>
      <w:pPr>
        <w:spacing w:after="0" w:line="23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Company has completed a preliminary review of Able’s accounting policies and identified one material change required to conform with the Company’s accounting policy, which is the adoption of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The pro forma transaction accounting adjustments as described in Note 4 include a conforming adjustment for this policy change. Additionally, the Pro Forma Financial Statements adjust Able’s presentation results to conform to the Company’s presentation. Refer to Note 2.</w:t>
      </w:r>
    </w:p>
    <w:p>
      <w:pPr>
        <w:spacing w:after="0" w:line="2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accrued estimated certain direct and incremental acquisition expenses totaling $19.8 million in connection with the Acquisition. In addition, Able accrued $11.0 million of additional direct and incremental acquisition expenses. All of the $30.8 million of estimated acquisition expenses to be incurred are included in the unaudited pro forma condensed combined balance sheet and excluded from the unaudited pro forma condensed combined statements of income. These costs will not affect the statement operations beyond twelve months after the Closing Date.</w:t>
      </w:r>
    </w:p>
    <w:p>
      <w:pPr>
        <w:spacing w:after="0" w:line="23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round amounts in the Pro Forma Financial Statements to millions and calculate per-share data from the underlying whole-dollar amounts. Thus, certain amounts may not foot, crossfoot, or recalculate based on reported numbers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18"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2. RECLASSIFICATION ADJUSTMENTS</w:t>
      </w:r>
    </w:p>
    <w:p>
      <w:pPr>
        <w:spacing w:after="0" w:line="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Certain reclassifications were made to Able’s historical financial information to conform to ABM’s presentation that have not been presented in the tables above, but instead are reflected in the Able historical columns. See table below for a summary of the amounts and line items impacted by such reclassifications: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Adjustments made to Able’s historical unaudited balance sheet as of June 30, 2021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gridSpan w:val="2"/>
          </w:tcPr>
          <w:p>
            <w:pPr>
              <w:ind w:left="180"/>
              <w:spacing w:after="0"/>
              <w:rPr>
                <w:sz w:val="20"/>
                <w:szCs w:val="20"/>
                <w:color w:val="auto"/>
              </w:rPr>
            </w:pPr>
            <w:r>
              <w:rPr>
                <w:rFonts w:ascii="Arial" w:cs="Arial" w:eastAsia="Arial" w:hAnsi="Arial"/>
                <w:sz w:val="16"/>
                <w:szCs w:val="16"/>
                <w:b w:val="1"/>
                <w:bCs w:val="1"/>
                <w:color w:val="auto"/>
              </w:rPr>
              <w:t>Able Combined Balance Sheet</w:t>
            </w:r>
          </w:p>
        </w:tc>
        <w:tc>
          <w:tcPr>
            <w:tcW w:w="2900" w:type="dxa"/>
            <w:vAlign w:val="bottom"/>
            <w:gridSpan w:val="2"/>
          </w:tcPr>
          <w:p>
            <w:pPr>
              <w:ind w:left="220"/>
              <w:spacing w:after="0"/>
              <w:rPr>
                <w:sz w:val="20"/>
                <w:szCs w:val="20"/>
                <w:color w:val="auto"/>
              </w:rPr>
            </w:pPr>
            <w:r>
              <w:rPr>
                <w:rFonts w:ascii="Arial" w:cs="Arial" w:eastAsia="Arial" w:hAnsi="Arial"/>
                <w:sz w:val="16"/>
                <w:szCs w:val="16"/>
                <w:b w:val="1"/>
                <w:bCs w:val="1"/>
                <w:color w:val="auto"/>
              </w:rPr>
              <w:t>ABM Consolidated Condensed</w:t>
            </w:r>
          </w:p>
        </w:tc>
        <w:tc>
          <w:tcPr>
            <w:tcW w:w="160" w:type="dxa"/>
            <w:vAlign w:val="bottom"/>
          </w:tcPr>
          <w:p>
            <w:pPr>
              <w:spacing w:after="0"/>
              <w:rPr>
                <w:sz w:val="16"/>
                <w:szCs w:val="16"/>
                <w:color w:val="auto"/>
              </w:rPr>
            </w:pPr>
          </w:p>
        </w:tc>
        <w:tc>
          <w:tcPr>
            <w:tcW w:w="162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Able, before</w:t>
            </w: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Able, after</w:t>
            </w:r>
          </w:p>
        </w:tc>
        <w:tc>
          <w:tcPr>
            <w:tcW w:w="0" w:type="dxa"/>
            <w:vAlign w:val="bottom"/>
          </w:tcPr>
          <w:p>
            <w:pPr>
              <w:spacing w:after="0"/>
              <w:rPr>
                <w:sz w:val="1"/>
                <w:szCs w:val="1"/>
                <w:color w:val="auto"/>
              </w:rPr>
            </w:pPr>
          </w:p>
        </w:tc>
      </w:tr>
      <w:tr>
        <w:trPr>
          <w:trHeight w:val="108"/>
        </w:trPr>
        <w:tc>
          <w:tcPr>
            <w:tcW w:w="2780" w:type="dxa"/>
            <w:vAlign w:val="bottom"/>
            <w:gridSpan w:val="2"/>
            <w:vMerge w:val="restart"/>
          </w:tcPr>
          <w:p>
            <w:pPr>
              <w:ind w:left="960"/>
              <w:spacing w:after="0"/>
              <w:rPr>
                <w:sz w:val="20"/>
                <w:szCs w:val="20"/>
                <w:color w:val="auto"/>
              </w:rPr>
            </w:pPr>
            <w:r>
              <w:rPr>
                <w:rFonts w:ascii="Arial" w:cs="Arial" w:eastAsia="Arial" w:hAnsi="Arial"/>
                <w:sz w:val="16"/>
                <w:szCs w:val="16"/>
                <w:b w:val="1"/>
                <w:bCs w:val="1"/>
                <w:color w:val="auto"/>
              </w:rPr>
              <w:t>Line Items</w:t>
            </w:r>
          </w:p>
        </w:tc>
        <w:tc>
          <w:tcPr>
            <w:tcW w:w="2900" w:type="dxa"/>
            <w:vAlign w:val="bottom"/>
            <w:gridSpan w:val="2"/>
            <w:vMerge w:val="restart"/>
          </w:tcPr>
          <w:p>
            <w:pPr>
              <w:ind w:left="420"/>
              <w:spacing w:after="0"/>
              <w:rPr>
                <w:sz w:val="20"/>
                <w:szCs w:val="20"/>
                <w:color w:val="auto"/>
              </w:rPr>
            </w:pPr>
            <w:r>
              <w:rPr>
                <w:rFonts w:ascii="Arial" w:cs="Arial" w:eastAsia="Arial" w:hAnsi="Arial"/>
                <w:sz w:val="16"/>
                <w:szCs w:val="16"/>
                <w:b w:val="1"/>
                <w:bCs w:val="1"/>
                <w:color w:val="auto"/>
              </w:rPr>
              <w:t>Balance Sheet Line Items</w:t>
            </w:r>
          </w:p>
        </w:tc>
        <w:tc>
          <w:tcPr>
            <w:tcW w:w="16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780" w:type="dxa"/>
            <w:vAlign w:val="bottom"/>
            <w:gridSpan w:val="2"/>
            <w:vMerge w:val="continue"/>
          </w:tcPr>
          <w:p>
            <w:pPr>
              <w:spacing w:after="0"/>
              <w:rPr>
                <w:sz w:val="9"/>
                <w:szCs w:val="9"/>
                <w:color w:val="auto"/>
              </w:rPr>
            </w:pPr>
          </w:p>
        </w:tc>
        <w:tc>
          <w:tcPr>
            <w:tcW w:w="29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reclassifications</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15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Reclassifications</w:t>
            </w: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reclassifications</w:t>
            </w:r>
          </w:p>
        </w:tc>
        <w:tc>
          <w:tcPr>
            <w:tcW w:w="0" w:type="dxa"/>
            <w:vAlign w:val="bottom"/>
          </w:tcPr>
          <w:p>
            <w:pPr>
              <w:spacing w:after="0"/>
              <w:rPr>
                <w:sz w:val="1"/>
                <w:szCs w:val="1"/>
                <w:color w:val="auto"/>
              </w:rPr>
            </w:pPr>
          </w:p>
        </w:tc>
      </w:tr>
      <w:tr>
        <w:trPr>
          <w:trHeight w:val="109"/>
        </w:trPr>
        <w:tc>
          <w:tcPr>
            <w:tcW w:w="2700" w:type="dxa"/>
            <w:vAlign w:val="bottom"/>
            <w:tcBorders>
              <w:bottom w:val="single" w:sz="8" w:color="auto"/>
            </w:tcBorders>
          </w:tcPr>
          <w:p>
            <w:pPr>
              <w:spacing w:after="0"/>
              <w:rPr>
                <w:sz w:val="9"/>
                <w:szCs w:val="9"/>
                <w:color w:val="auto"/>
              </w:rPr>
            </w:pPr>
          </w:p>
        </w:tc>
        <w:tc>
          <w:tcPr>
            <w:tcW w:w="80" w:type="dxa"/>
            <w:vAlign w:val="bottom"/>
            <w:tcBorders>
              <w:bottom w:val="single" w:sz="8" w:color="DCE2EF"/>
            </w:tcBorders>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c>
          <w:tcPr>
            <w:tcW w:w="120" w:type="dxa"/>
            <w:vAlign w:val="bottom"/>
            <w:tcBorders>
              <w:bottom w:val="single" w:sz="8" w:color="DCE2E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DCE2EF"/>
            </w:tcBorders>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vMerge w:val="continue"/>
          </w:tcPr>
          <w:p>
            <w:pPr>
              <w:spacing w:after="0"/>
              <w:rPr>
                <w:sz w:val="9"/>
                <w:szCs w:val="9"/>
                <w:color w:val="auto"/>
              </w:rPr>
            </w:pPr>
          </w:p>
        </w:tc>
        <w:tc>
          <w:tcPr>
            <w:tcW w:w="360" w:type="dxa"/>
            <w:vAlign w:val="bottom"/>
            <w:tcBorders>
              <w:bottom w:val="single" w:sz="8" w:color="DCE2E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780" w:type="dxa"/>
            <w:vAlign w:val="bottom"/>
            <w:gridSpan w:val="2"/>
            <w:shd w:val="clear" w:color="auto" w:fill="DCE2EF"/>
          </w:tcPr>
          <w:p>
            <w:pPr>
              <w:ind w:left="20"/>
              <w:spacing w:after="0"/>
              <w:rPr>
                <w:sz w:val="20"/>
                <w:szCs w:val="20"/>
                <w:color w:val="auto"/>
              </w:rPr>
            </w:pPr>
            <w:r>
              <w:rPr>
                <w:rFonts w:ascii="Arial" w:cs="Arial" w:eastAsia="Arial" w:hAnsi="Arial"/>
                <w:sz w:val="16"/>
                <w:szCs w:val="16"/>
                <w:color w:val="auto"/>
              </w:rPr>
              <w:t>Cash</w:t>
            </w:r>
          </w:p>
        </w:tc>
        <w:tc>
          <w:tcPr>
            <w:tcW w:w="2900" w:type="dxa"/>
            <w:vAlign w:val="bottom"/>
            <w:gridSpan w:val="2"/>
            <w:shd w:val="clear" w:color="auto" w:fill="DCE2EF"/>
          </w:tcPr>
          <w:p>
            <w:pPr>
              <w:ind w:left="2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104.5</w:t>
            </w:r>
          </w:p>
        </w:tc>
        <w:tc>
          <w:tcPr>
            <w:tcW w:w="100" w:type="dxa"/>
            <w:vAlign w:val="bottom"/>
            <w:shd w:val="clear" w:color="auto" w:fill="DCE2EF"/>
          </w:tcPr>
          <w:p>
            <w:pPr>
              <w:spacing w:after="0"/>
              <w:rPr>
                <w:sz w:val="18"/>
                <w:szCs w:val="18"/>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DCE2EF"/>
          </w:tcPr>
          <w:p>
            <w:pPr>
              <w:jc w:val="right"/>
              <w:ind w:right="40"/>
              <w:spacing w:after="0"/>
              <w:rPr>
                <w:sz w:val="20"/>
                <w:szCs w:val="20"/>
                <w:color w:val="auto"/>
              </w:rPr>
            </w:pPr>
            <w:r>
              <w:rPr>
                <w:rFonts w:ascii="Arial" w:cs="Arial" w:eastAsia="Arial" w:hAnsi="Arial"/>
                <w:sz w:val="16"/>
                <w:szCs w:val="16"/>
                <w:color w:val="auto"/>
              </w:rPr>
              <w:t>$</w:t>
            </w:r>
          </w:p>
        </w:tc>
        <w:tc>
          <w:tcPr>
            <w:tcW w:w="15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104.5</w:t>
            </w:r>
          </w:p>
        </w:tc>
        <w:tc>
          <w:tcPr>
            <w:tcW w:w="0" w:type="dxa"/>
            <w:vAlign w:val="bottom"/>
          </w:tcPr>
          <w:p>
            <w:pPr>
              <w:spacing w:after="0"/>
              <w:rPr>
                <w:sz w:val="1"/>
                <w:szCs w:val="1"/>
                <w:color w:val="auto"/>
              </w:rPr>
            </w:pPr>
          </w:p>
        </w:tc>
      </w:tr>
      <w:tr>
        <w:trPr>
          <w:trHeight w:val="215"/>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Restricted cash</w:t>
            </w: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3"/>
          </w:tcPr>
          <w:p>
            <w:pPr>
              <w:jc w:val="right"/>
              <w:ind w:right="420"/>
              <w:spacing w:after="0"/>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b w:val="1"/>
                <w:bCs w:val="1"/>
                <w:color w:val="auto"/>
              </w:rPr>
              <w:t>a</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8"/>
        </w:trPr>
        <w:tc>
          <w:tcPr>
            <w:tcW w:w="270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2900" w:type="dxa"/>
            <w:vAlign w:val="bottom"/>
            <w:gridSpan w:val="2"/>
            <w:shd w:val="clear" w:color="auto" w:fill="DCE2EF"/>
          </w:tcPr>
          <w:p>
            <w:pPr>
              <w:ind w:left="20"/>
              <w:spacing w:after="0" w:line="178" w:lineRule="exact"/>
              <w:rPr>
                <w:sz w:val="20"/>
                <w:szCs w:val="20"/>
                <w:color w:val="auto"/>
              </w:rPr>
            </w:pPr>
            <w:r>
              <w:rPr>
                <w:rFonts w:ascii="Arial" w:cs="Arial" w:eastAsia="Arial" w:hAnsi="Arial"/>
                <w:sz w:val="16"/>
                <w:szCs w:val="16"/>
                <w:color w:val="auto"/>
              </w:rPr>
              <w:t>Trade accounts receivable, net of</w:t>
            </w:r>
          </w:p>
        </w:tc>
        <w:tc>
          <w:tcPr>
            <w:tcW w:w="160" w:type="dxa"/>
            <w:vAlign w:val="bottom"/>
            <w:shd w:val="clear" w:color="auto" w:fill="DCE2EF"/>
          </w:tcPr>
          <w:p>
            <w:pPr>
              <w:spacing w:after="0"/>
              <w:rPr>
                <w:sz w:val="15"/>
                <w:szCs w:val="15"/>
                <w:color w:val="auto"/>
              </w:rPr>
            </w:pPr>
          </w:p>
        </w:tc>
        <w:tc>
          <w:tcPr>
            <w:tcW w:w="152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60" w:type="dxa"/>
            <w:vAlign w:val="bottom"/>
            <w:shd w:val="clear" w:color="auto" w:fill="DCE2EF"/>
          </w:tcPr>
          <w:p>
            <w:pPr>
              <w:spacing w:after="0"/>
              <w:rPr>
                <w:sz w:val="15"/>
                <w:szCs w:val="15"/>
                <w:color w:val="auto"/>
              </w:rPr>
            </w:pPr>
          </w:p>
        </w:tc>
        <w:tc>
          <w:tcPr>
            <w:tcW w:w="1580" w:type="dxa"/>
            <w:vAlign w:val="bottom"/>
            <w:shd w:val="clear" w:color="auto" w:fill="DCE2EF"/>
          </w:tcPr>
          <w:p>
            <w:pPr>
              <w:spacing w:after="0"/>
              <w:rPr>
                <w:sz w:val="15"/>
                <w:szCs w:val="15"/>
                <w:color w:val="auto"/>
              </w:rPr>
            </w:pPr>
          </w:p>
        </w:tc>
        <w:tc>
          <w:tcPr>
            <w:tcW w:w="360" w:type="dxa"/>
            <w:vAlign w:val="bottom"/>
            <w:shd w:val="clear" w:color="auto" w:fill="DCE2EF"/>
          </w:tcPr>
          <w:p>
            <w:pPr>
              <w:spacing w:after="0"/>
              <w:rPr>
                <w:sz w:val="15"/>
                <w:szCs w:val="15"/>
                <w:color w:val="auto"/>
              </w:rPr>
            </w:pPr>
          </w:p>
        </w:tc>
        <w:tc>
          <w:tcPr>
            <w:tcW w:w="160" w:type="dxa"/>
            <w:vAlign w:val="bottom"/>
            <w:shd w:val="clear" w:color="auto" w:fill="DCE2EF"/>
          </w:tcPr>
          <w:p>
            <w:pPr>
              <w:spacing w:after="0"/>
              <w:rPr>
                <w:sz w:val="15"/>
                <w:szCs w:val="15"/>
                <w:color w:val="auto"/>
              </w:rPr>
            </w:pPr>
          </w:p>
        </w:tc>
        <w:tc>
          <w:tcPr>
            <w:tcW w:w="1520" w:type="dxa"/>
            <w:vAlign w:val="bottom"/>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780" w:type="dxa"/>
            <w:vAlign w:val="bottom"/>
            <w:gridSpan w:val="2"/>
            <w:shd w:val="clear" w:color="auto" w:fill="DCE2EF"/>
          </w:tcPr>
          <w:p>
            <w:pPr>
              <w:ind w:left="20"/>
              <w:spacing w:after="0"/>
              <w:rPr>
                <w:sz w:val="20"/>
                <w:szCs w:val="20"/>
                <w:color w:val="auto"/>
              </w:rPr>
            </w:pPr>
            <w:r>
              <w:rPr>
                <w:rFonts w:ascii="Arial" w:cs="Arial" w:eastAsia="Arial" w:hAnsi="Arial"/>
                <w:sz w:val="16"/>
                <w:szCs w:val="16"/>
                <w:color w:val="auto"/>
              </w:rPr>
              <w:t>Accounts receivable, net</w:t>
            </w:r>
          </w:p>
        </w:tc>
        <w:tc>
          <w:tcPr>
            <w:tcW w:w="2900" w:type="dxa"/>
            <w:vAlign w:val="bottom"/>
            <w:gridSpan w:val="2"/>
            <w:shd w:val="clear" w:color="auto" w:fill="DCE2EF"/>
          </w:tcPr>
          <w:p>
            <w:pPr>
              <w:ind w:left="20"/>
              <w:spacing w:after="0"/>
              <w:rPr>
                <w:sz w:val="20"/>
                <w:szCs w:val="20"/>
                <w:color w:val="auto"/>
              </w:rPr>
            </w:pPr>
            <w:r>
              <w:rPr>
                <w:rFonts w:ascii="Arial" w:cs="Arial" w:eastAsia="Arial" w:hAnsi="Arial"/>
                <w:sz w:val="16"/>
                <w:szCs w:val="16"/>
                <w:color w:val="auto"/>
              </w:rPr>
              <w:t>allowances</w:t>
            </w:r>
          </w:p>
        </w:tc>
        <w:tc>
          <w:tcPr>
            <w:tcW w:w="160" w:type="dxa"/>
            <w:vAlign w:val="bottom"/>
            <w:shd w:val="clear" w:color="auto" w:fill="DCE2EF"/>
          </w:tcPr>
          <w:p>
            <w:pPr>
              <w:spacing w:after="0"/>
              <w:rPr>
                <w:sz w:val="17"/>
                <w:szCs w:val="17"/>
                <w:color w:val="auto"/>
              </w:rPr>
            </w:pPr>
          </w:p>
        </w:tc>
        <w:tc>
          <w:tcPr>
            <w:tcW w:w="15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146.0</w:t>
            </w:r>
          </w:p>
        </w:tc>
        <w:tc>
          <w:tcPr>
            <w:tcW w:w="10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15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146.0</w:t>
            </w:r>
          </w:p>
        </w:tc>
        <w:tc>
          <w:tcPr>
            <w:tcW w:w="0" w:type="dxa"/>
            <w:vAlign w:val="bottom"/>
          </w:tcPr>
          <w:p>
            <w:pPr>
              <w:spacing w:after="0"/>
              <w:rPr>
                <w:sz w:val="1"/>
                <w:szCs w:val="1"/>
                <w:color w:val="auto"/>
              </w:rPr>
            </w:pPr>
          </w:p>
        </w:tc>
      </w:tr>
      <w:tr>
        <w:trPr>
          <w:trHeight w:val="177"/>
        </w:trPr>
        <w:tc>
          <w:tcPr>
            <w:tcW w:w="278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Miscellaneous deposits and other</w:t>
            </w:r>
          </w:p>
        </w:tc>
        <w:tc>
          <w:tcPr>
            <w:tcW w:w="2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20" w:type="dxa"/>
            <w:vAlign w:val="bottom"/>
            <w:gridSpan w:val="2"/>
            <w:vMerge w:val="restart"/>
          </w:tcPr>
          <w:p>
            <w:pPr>
              <w:jc w:val="right"/>
              <w:ind w:right="420"/>
              <w:spacing w:after="0"/>
              <w:rPr>
                <w:sz w:val="20"/>
                <w:szCs w:val="20"/>
                <w:color w:val="auto"/>
              </w:rPr>
            </w:pPr>
            <w:r>
              <w:rPr>
                <w:rFonts w:ascii="Arial" w:cs="Arial" w:eastAsia="Arial" w:hAnsi="Arial"/>
                <w:sz w:val="16"/>
                <w:szCs w:val="16"/>
                <w:b w:val="1"/>
                <w:bCs w:val="1"/>
                <w:color w:val="auto"/>
                <w:w w:val="89"/>
              </w:rPr>
              <w:t>a</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assets</w:t>
            </w:r>
          </w:p>
        </w:tc>
        <w:tc>
          <w:tcPr>
            <w:tcW w:w="2900" w:type="dxa"/>
            <w:vAlign w:val="bottom"/>
            <w:gridSpan w:val="2"/>
          </w:tcPr>
          <w:p>
            <w:pPr>
              <w:ind w:left="20"/>
              <w:spacing w:after="0"/>
              <w:rPr>
                <w:sz w:val="20"/>
                <w:szCs w:val="20"/>
                <w:color w:val="auto"/>
              </w:rPr>
            </w:pPr>
            <w:r>
              <w:rPr>
                <w:rFonts w:ascii="Arial" w:cs="Arial" w:eastAsia="Arial" w:hAnsi="Arial"/>
                <w:sz w:val="16"/>
                <w:szCs w:val="16"/>
                <w:color w:val="auto"/>
              </w:rPr>
              <w:t>Other current assets</w:t>
            </w: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5.6</w:t>
            </w:r>
          </w:p>
        </w:tc>
        <w:tc>
          <w:tcPr>
            <w:tcW w:w="520" w:type="dxa"/>
            <w:vAlign w:val="bottom"/>
            <w:gridSpan w:val="2"/>
            <w:vMerge w:val="continue"/>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80"/>
        </w:trPr>
        <w:tc>
          <w:tcPr>
            <w:tcW w:w="270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2900" w:type="dxa"/>
            <w:vAlign w:val="bottom"/>
            <w:gridSpan w:val="2"/>
            <w:shd w:val="clear" w:color="auto" w:fill="DCE2EF"/>
          </w:tcPr>
          <w:p>
            <w:pPr>
              <w:ind w:left="20"/>
              <w:spacing w:after="0" w:line="181" w:lineRule="exact"/>
              <w:rPr>
                <w:sz w:val="20"/>
                <w:szCs w:val="20"/>
                <w:color w:val="auto"/>
              </w:rPr>
            </w:pPr>
            <w:r>
              <w:rPr>
                <w:rFonts w:ascii="Arial" w:cs="Arial" w:eastAsia="Arial" w:hAnsi="Arial"/>
                <w:sz w:val="16"/>
                <w:szCs w:val="16"/>
                <w:color w:val="auto"/>
              </w:rPr>
              <w:t>Property, plant and equipment, net of</w:t>
            </w:r>
          </w:p>
        </w:tc>
        <w:tc>
          <w:tcPr>
            <w:tcW w:w="160" w:type="dxa"/>
            <w:vAlign w:val="bottom"/>
            <w:shd w:val="clear" w:color="auto" w:fill="DCE2EF"/>
          </w:tcPr>
          <w:p>
            <w:pPr>
              <w:spacing w:after="0"/>
              <w:rPr>
                <w:sz w:val="15"/>
                <w:szCs w:val="15"/>
                <w:color w:val="auto"/>
              </w:rPr>
            </w:pPr>
          </w:p>
        </w:tc>
        <w:tc>
          <w:tcPr>
            <w:tcW w:w="152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60" w:type="dxa"/>
            <w:vAlign w:val="bottom"/>
            <w:shd w:val="clear" w:color="auto" w:fill="DCE2EF"/>
          </w:tcPr>
          <w:p>
            <w:pPr>
              <w:spacing w:after="0"/>
              <w:rPr>
                <w:sz w:val="15"/>
                <w:szCs w:val="15"/>
                <w:color w:val="auto"/>
              </w:rPr>
            </w:pPr>
          </w:p>
        </w:tc>
        <w:tc>
          <w:tcPr>
            <w:tcW w:w="1580" w:type="dxa"/>
            <w:vAlign w:val="bottom"/>
            <w:shd w:val="clear" w:color="auto" w:fill="DCE2EF"/>
          </w:tcPr>
          <w:p>
            <w:pPr>
              <w:spacing w:after="0"/>
              <w:rPr>
                <w:sz w:val="15"/>
                <w:szCs w:val="15"/>
                <w:color w:val="auto"/>
              </w:rPr>
            </w:pPr>
          </w:p>
        </w:tc>
        <w:tc>
          <w:tcPr>
            <w:tcW w:w="360" w:type="dxa"/>
            <w:vAlign w:val="bottom"/>
            <w:shd w:val="clear" w:color="auto" w:fill="DCE2EF"/>
          </w:tcPr>
          <w:p>
            <w:pPr>
              <w:spacing w:after="0"/>
              <w:rPr>
                <w:sz w:val="15"/>
                <w:szCs w:val="15"/>
                <w:color w:val="auto"/>
              </w:rPr>
            </w:pPr>
          </w:p>
        </w:tc>
        <w:tc>
          <w:tcPr>
            <w:tcW w:w="160" w:type="dxa"/>
            <w:vAlign w:val="bottom"/>
            <w:shd w:val="clear" w:color="auto" w:fill="DCE2EF"/>
          </w:tcPr>
          <w:p>
            <w:pPr>
              <w:spacing w:after="0"/>
              <w:rPr>
                <w:sz w:val="15"/>
                <w:szCs w:val="15"/>
                <w:color w:val="auto"/>
              </w:rPr>
            </w:pPr>
          </w:p>
        </w:tc>
        <w:tc>
          <w:tcPr>
            <w:tcW w:w="1520" w:type="dxa"/>
            <w:vAlign w:val="bottom"/>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780" w:type="dxa"/>
            <w:vAlign w:val="bottom"/>
            <w:gridSpan w:val="2"/>
            <w:shd w:val="clear" w:color="auto" w:fill="DCE2EF"/>
          </w:tcPr>
          <w:p>
            <w:pPr>
              <w:ind w:left="20"/>
              <w:spacing w:after="0"/>
              <w:rPr>
                <w:sz w:val="20"/>
                <w:szCs w:val="20"/>
                <w:color w:val="auto"/>
              </w:rPr>
            </w:pPr>
            <w:r>
              <w:rPr>
                <w:rFonts w:ascii="Arial" w:cs="Arial" w:eastAsia="Arial" w:hAnsi="Arial"/>
                <w:sz w:val="16"/>
                <w:szCs w:val="16"/>
                <w:color w:val="auto"/>
              </w:rPr>
              <w:t>Property and equipment, net</w:t>
            </w:r>
          </w:p>
        </w:tc>
        <w:tc>
          <w:tcPr>
            <w:tcW w:w="2900" w:type="dxa"/>
            <w:vAlign w:val="bottom"/>
            <w:gridSpan w:val="2"/>
            <w:shd w:val="clear" w:color="auto" w:fill="DCE2EF"/>
          </w:tcPr>
          <w:p>
            <w:pPr>
              <w:ind w:left="20"/>
              <w:spacing w:after="0"/>
              <w:rPr>
                <w:sz w:val="20"/>
                <w:szCs w:val="20"/>
                <w:color w:val="auto"/>
              </w:rPr>
            </w:pPr>
            <w:r>
              <w:rPr>
                <w:rFonts w:ascii="Arial" w:cs="Arial" w:eastAsia="Arial" w:hAnsi="Arial"/>
                <w:sz w:val="16"/>
                <w:szCs w:val="16"/>
                <w:color w:val="auto"/>
              </w:rPr>
              <w:t>accumulated depreciation</w:t>
            </w:r>
          </w:p>
        </w:tc>
        <w:tc>
          <w:tcPr>
            <w:tcW w:w="160" w:type="dxa"/>
            <w:vAlign w:val="bottom"/>
            <w:shd w:val="clear" w:color="auto" w:fill="DCE2EF"/>
          </w:tcPr>
          <w:p>
            <w:pPr>
              <w:spacing w:after="0"/>
              <w:rPr>
                <w:sz w:val="17"/>
                <w:szCs w:val="17"/>
                <w:color w:val="auto"/>
              </w:rPr>
            </w:pPr>
          </w:p>
        </w:tc>
        <w:tc>
          <w:tcPr>
            <w:tcW w:w="15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DCE2EF"/>
          </w:tcPr>
          <w:p>
            <w:pPr>
              <w:spacing w:after="0"/>
              <w:rPr>
                <w:sz w:val="17"/>
                <w:szCs w:val="17"/>
                <w:color w:val="auto"/>
              </w:rPr>
            </w:pPr>
          </w:p>
        </w:tc>
        <w:tc>
          <w:tcPr>
            <w:tcW w:w="160" w:type="dxa"/>
            <w:vAlign w:val="bottom"/>
            <w:shd w:val="clear" w:color="auto" w:fill="DCE2EF"/>
          </w:tcPr>
          <w:p>
            <w:pPr>
              <w:spacing w:after="0"/>
              <w:rPr>
                <w:sz w:val="17"/>
                <w:szCs w:val="17"/>
                <w:color w:val="auto"/>
              </w:rPr>
            </w:pPr>
          </w:p>
        </w:tc>
        <w:tc>
          <w:tcPr>
            <w:tcW w:w="15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77"/>
        </w:trPr>
        <w:tc>
          <w:tcPr>
            <w:tcW w:w="2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0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Other intangible assets, net of</w:t>
            </w: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gridSpan w:val="3"/>
            <w:vMerge w:val="restart"/>
          </w:tcPr>
          <w:p>
            <w:pPr>
              <w:jc w:val="right"/>
              <w:ind w:right="400"/>
              <w:spacing w:after="0"/>
              <w:rPr>
                <w:sz w:val="20"/>
                <w:szCs w:val="20"/>
                <w:color w:val="auto"/>
              </w:rPr>
            </w:pPr>
            <w:r>
              <w:rPr>
                <w:rFonts w:ascii="Arial" w:cs="Arial" w:eastAsia="Arial" w:hAnsi="Arial"/>
                <w:sz w:val="16"/>
                <w:szCs w:val="16"/>
                <w:color w:val="auto"/>
              </w:rPr>
              <w:t xml:space="preserve">(5.0) </w:t>
            </w:r>
            <w:r>
              <w:rPr>
                <w:rFonts w:ascii="Arial" w:cs="Arial" w:eastAsia="Arial" w:hAnsi="Arial"/>
                <w:sz w:val="16"/>
                <w:szCs w:val="16"/>
                <w:b w:val="1"/>
                <w:bCs w:val="1"/>
                <w:color w:val="auto"/>
              </w:rPr>
              <w:t>b</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Intangible assets, net</w:t>
            </w:r>
          </w:p>
        </w:tc>
        <w:tc>
          <w:tcPr>
            <w:tcW w:w="2900" w:type="dxa"/>
            <w:vAlign w:val="bottom"/>
            <w:gridSpan w:val="2"/>
          </w:tcPr>
          <w:p>
            <w:pPr>
              <w:ind w:left="20"/>
              <w:spacing w:after="0"/>
              <w:rPr>
                <w:sz w:val="20"/>
                <w:szCs w:val="20"/>
                <w:color w:val="auto"/>
              </w:rPr>
            </w:pPr>
            <w:r>
              <w:rPr>
                <w:rFonts w:ascii="Arial" w:cs="Arial" w:eastAsia="Arial" w:hAnsi="Arial"/>
                <w:sz w:val="16"/>
                <w:szCs w:val="16"/>
                <w:color w:val="auto"/>
              </w:rPr>
              <w:t>accumulated amortization</w:t>
            </w: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3"/>
            <w:vMerge w:val="continue"/>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9"/>
        </w:trPr>
        <w:tc>
          <w:tcPr>
            <w:tcW w:w="2700" w:type="dxa"/>
            <w:vAlign w:val="bottom"/>
            <w:shd w:val="clear" w:color="auto" w:fill="DCE2EF"/>
          </w:tcPr>
          <w:p>
            <w:pPr>
              <w:spacing w:after="0"/>
              <w:rPr>
                <w:sz w:val="19"/>
                <w:szCs w:val="19"/>
                <w:color w:val="auto"/>
              </w:rPr>
            </w:pPr>
          </w:p>
        </w:tc>
        <w:tc>
          <w:tcPr>
            <w:tcW w:w="80" w:type="dxa"/>
            <w:vAlign w:val="bottom"/>
            <w:shd w:val="clear" w:color="auto" w:fill="DCE2EF"/>
          </w:tcPr>
          <w:p>
            <w:pPr>
              <w:spacing w:after="0"/>
              <w:rPr>
                <w:sz w:val="19"/>
                <w:szCs w:val="19"/>
                <w:color w:val="auto"/>
              </w:rPr>
            </w:pPr>
          </w:p>
        </w:tc>
        <w:tc>
          <w:tcPr>
            <w:tcW w:w="2900" w:type="dxa"/>
            <w:vAlign w:val="bottom"/>
            <w:gridSpan w:val="2"/>
            <w:shd w:val="clear" w:color="auto" w:fill="DCE2EF"/>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DCE2EF"/>
          </w:tcPr>
          <w:p>
            <w:pPr>
              <w:spacing w:after="0"/>
              <w:rPr>
                <w:sz w:val="19"/>
                <w:szCs w:val="19"/>
                <w:color w:val="auto"/>
              </w:rPr>
            </w:pPr>
          </w:p>
        </w:tc>
        <w:tc>
          <w:tcPr>
            <w:tcW w:w="15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5.0</w:t>
            </w:r>
          </w:p>
        </w:tc>
        <w:tc>
          <w:tcPr>
            <w:tcW w:w="520" w:type="dxa"/>
            <w:vAlign w:val="bottom"/>
            <w:gridSpan w:val="2"/>
            <w:shd w:val="clear" w:color="auto" w:fill="DCE2EF"/>
          </w:tcPr>
          <w:p>
            <w:pPr>
              <w:jc w:val="right"/>
              <w:ind w:right="400"/>
              <w:spacing w:after="0"/>
              <w:rPr>
                <w:sz w:val="20"/>
                <w:szCs w:val="20"/>
                <w:color w:val="auto"/>
              </w:rPr>
            </w:pPr>
            <w:r>
              <w:rPr>
                <w:rFonts w:ascii="Arial" w:cs="Arial" w:eastAsia="Arial" w:hAnsi="Arial"/>
                <w:sz w:val="16"/>
                <w:szCs w:val="16"/>
                <w:b w:val="1"/>
                <w:bCs w:val="1"/>
                <w:color w:val="auto"/>
              </w:rPr>
              <w:t>b</w:t>
            </w:r>
          </w:p>
        </w:tc>
        <w:tc>
          <w:tcPr>
            <w:tcW w:w="15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5"/>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Accounts payable</w:t>
            </w:r>
          </w:p>
        </w:tc>
        <w:tc>
          <w:tcPr>
            <w:tcW w:w="2900" w:type="dxa"/>
            <w:vAlign w:val="bottom"/>
            <w:gridSpan w:val="2"/>
          </w:tcPr>
          <w:p>
            <w:pPr>
              <w:ind w:left="20"/>
              <w:spacing w:after="0"/>
              <w:rPr>
                <w:sz w:val="20"/>
                <w:szCs w:val="20"/>
                <w:color w:val="auto"/>
              </w:rPr>
            </w:pPr>
            <w:r>
              <w:rPr>
                <w:rFonts w:ascii="Arial" w:cs="Arial" w:eastAsia="Arial" w:hAnsi="Arial"/>
                <w:sz w:val="16"/>
                <w:szCs w:val="16"/>
                <w:color w:val="auto"/>
              </w:rPr>
              <w:t>Trade accounts payable</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2.7</w:t>
            </w:r>
          </w:p>
        </w:tc>
        <w:tc>
          <w:tcPr>
            <w:tcW w:w="5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89"/>
              </w:rPr>
              <w:t>c</w:t>
            </w:r>
          </w:p>
        </w:tc>
        <w:tc>
          <w:tcPr>
            <w:tcW w:w="1520" w:type="dxa"/>
            <w:vAlign w:val="bottom"/>
          </w:tcPr>
          <w:p>
            <w:pPr>
              <w:jc w:val="right"/>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17"/>
        </w:trPr>
        <w:tc>
          <w:tcPr>
            <w:tcW w:w="2780" w:type="dxa"/>
            <w:vAlign w:val="bottom"/>
            <w:gridSpan w:val="2"/>
            <w:shd w:val="clear" w:color="auto" w:fill="DCE2EF"/>
          </w:tcPr>
          <w:p>
            <w:pPr>
              <w:ind w:left="20"/>
              <w:spacing w:after="0"/>
              <w:rPr>
                <w:sz w:val="20"/>
                <w:szCs w:val="20"/>
                <w:color w:val="auto"/>
              </w:rPr>
            </w:pPr>
            <w:r>
              <w:rPr>
                <w:rFonts w:ascii="Arial" w:cs="Arial" w:eastAsia="Arial" w:hAnsi="Arial"/>
                <w:sz w:val="16"/>
                <w:szCs w:val="16"/>
                <w:color w:val="auto"/>
              </w:rPr>
              <w:t>Accrued liabilities</w:t>
            </w:r>
          </w:p>
        </w:tc>
        <w:tc>
          <w:tcPr>
            <w:tcW w:w="278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5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80.5</w:t>
            </w:r>
          </w:p>
        </w:tc>
        <w:tc>
          <w:tcPr>
            <w:tcW w:w="10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2100" w:type="dxa"/>
            <w:vAlign w:val="bottom"/>
            <w:gridSpan w:val="3"/>
            <w:shd w:val="clear" w:color="auto" w:fill="DCE2EF"/>
          </w:tcPr>
          <w:p>
            <w:pPr>
              <w:jc w:val="right"/>
              <w:ind w:right="420"/>
              <w:spacing w:after="0"/>
              <w:rPr>
                <w:sz w:val="20"/>
                <w:szCs w:val="20"/>
                <w:color w:val="auto"/>
              </w:rPr>
            </w:pPr>
            <w:r>
              <w:rPr>
                <w:rFonts w:ascii="Arial" w:cs="Arial" w:eastAsia="Arial" w:hAnsi="Arial"/>
                <w:sz w:val="16"/>
                <w:szCs w:val="16"/>
                <w:color w:val="auto"/>
              </w:rPr>
              <w:t xml:space="preserve">(80.5) </w:t>
            </w:r>
            <w:r>
              <w:rPr>
                <w:rFonts w:ascii="Arial" w:cs="Arial" w:eastAsia="Arial" w:hAnsi="Arial"/>
                <w:sz w:val="16"/>
                <w:szCs w:val="16"/>
                <w:b w:val="1"/>
                <w:bCs w:val="1"/>
                <w:color w:val="auto"/>
              </w:rPr>
              <w:t>c</w:t>
            </w:r>
          </w:p>
        </w:tc>
        <w:tc>
          <w:tcPr>
            <w:tcW w:w="15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Arial" w:cs="Arial" w:eastAsia="Arial" w:hAnsi="Arial"/>
                <w:sz w:val="16"/>
                <w:szCs w:val="16"/>
                <w:color w:val="auto"/>
              </w:rPr>
              <w:t>Insurance claims</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18.1</w:t>
            </w:r>
          </w:p>
        </w:tc>
        <w:tc>
          <w:tcPr>
            <w:tcW w:w="5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89"/>
              </w:rPr>
              <w:t>c</w:t>
            </w:r>
          </w:p>
        </w:tc>
        <w:tc>
          <w:tcPr>
            <w:tcW w:w="1520" w:type="dxa"/>
            <w:vAlign w:val="bottom"/>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17"/>
        </w:trPr>
        <w:tc>
          <w:tcPr>
            <w:tcW w:w="2700" w:type="dxa"/>
            <w:vAlign w:val="bottom"/>
            <w:shd w:val="clear" w:color="auto" w:fill="DCE2EF"/>
          </w:tcPr>
          <w:p>
            <w:pPr>
              <w:spacing w:after="0"/>
              <w:rPr>
                <w:sz w:val="18"/>
                <w:szCs w:val="18"/>
                <w:color w:val="auto"/>
              </w:rPr>
            </w:pPr>
          </w:p>
        </w:tc>
        <w:tc>
          <w:tcPr>
            <w:tcW w:w="80" w:type="dxa"/>
            <w:vAlign w:val="bottom"/>
            <w:shd w:val="clear" w:color="auto" w:fill="DCE2EF"/>
          </w:tcPr>
          <w:p>
            <w:pPr>
              <w:spacing w:after="0"/>
              <w:rPr>
                <w:sz w:val="18"/>
                <w:szCs w:val="18"/>
                <w:color w:val="auto"/>
              </w:rPr>
            </w:pPr>
          </w:p>
        </w:tc>
        <w:tc>
          <w:tcPr>
            <w:tcW w:w="2900" w:type="dxa"/>
            <w:vAlign w:val="bottom"/>
            <w:gridSpan w:val="2"/>
            <w:shd w:val="clear" w:color="auto" w:fill="DCE2EF"/>
          </w:tcPr>
          <w:p>
            <w:pPr>
              <w:ind w:left="20"/>
              <w:spacing w:after="0"/>
              <w:rPr>
                <w:sz w:val="20"/>
                <w:szCs w:val="20"/>
                <w:color w:val="auto"/>
              </w:rPr>
            </w:pPr>
            <w:r>
              <w:rPr>
                <w:rFonts w:ascii="Arial" w:cs="Arial" w:eastAsia="Arial" w:hAnsi="Arial"/>
                <w:sz w:val="16"/>
                <w:szCs w:val="16"/>
                <w:color w:val="auto"/>
              </w:rPr>
              <w:t>Other accrued liabilities</w:t>
            </w:r>
          </w:p>
        </w:tc>
        <w:tc>
          <w:tcPr>
            <w:tcW w:w="160" w:type="dxa"/>
            <w:vAlign w:val="bottom"/>
            <w:shd w:val="clear" w:color="auto" w:fill="DCE2EF"/>
          </w:tcPr>
          <w:p>
            <w:pPr>
              <w:spacing w:after="0"/>
              <w:rPr>
                <w:sz w:val="18"/>
                <w:szCs w:val="18"/>
                <w:color w:val="auto"/>
              </w:rPr>
            </w:pPr>
          </w:p>
        </w:tc>
        <w:tc>
          <w:tcPr>
            <w:tcW w:w="15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59.6</w:t>
            </w:r>
          </w:p>
        </w:tc>
        <w:tc>
          <w:tcPr>
            <w:tcW w:w="520" w:type="dxa"/>
            <w:vAlign w:val="bottom"/>
            <w:gridSpan w:val="2"/>
            <w:shd w:val="clear" w:color="auto" w:fill="DCE2EF"/>
          </w:tcPr>
          <w:p>
            <w:pPr>
              <w:jc w:val="right"/>
              <w:ind w:right="420"/>
              <w:spacing w:after="0"/>
              <w:rPr>
                <w:sz w:val="20"/>
                <w:szCs w:val="20"/>
                <w:color w:val="auto"/>
              </w:rPr>
            </w:pPr>
            <w:r>
              <w:rPr>
                <w:rFonts w:ascii="Arial" w:cs="Arial" w:eastAsia="Arial" w:hAnsi="Arial"/>
                <w:sz w:val="16"/>
                <w:szCs w:val="16"/>
                <w:b w:val="1"/>
                <w:bCs w:val="1"/>
                <w:color w:val="auto"/>
                <w:w w:val="89"/>
              </w:rPr>
              <w:t>c</w:t>
            </w:r>
          </w:p>
        </w:tc>
        <w:tc>
          <w:tcPr>
            <w:tcW w:w="15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59.6</w:t>
            </w:r>
          </w:p>
        </w:tc>
        <w:tc>
          <w:tcPr>
            <w:tcW w:w="0" w:type="dxa"/>
            <w:vAlign w:val="bottom"/>
          </w:tcPr>
          <w:p>
            <w:pPr>
              <w:spacing w:after="0"/>
              <w:rPr>
                <w:sz w:val="1"/>
                <w:szCs w:val="1"/>
                <w:color w:val="auto"/>
              </w:rPr>
            </w:pPr>
          </w:p>
        </w:tc>
      </w:tr>
      <w:tr>
        <w:trPr>
          <w:trHeight w:val="215"/>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Payroll taxes, net of current portion</w:t>
            </w: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3"/>
          </w:tcPr>
          <w:p>
            <w:pPr>
              <w:jc w:val="right"/>
              <w:ind w:right="400"/>
              <w:spacing w:after="0"/>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b w:val="1"/>
                <w:bCs w:val="1"/>
                <w:color w:val="auto"/>
              </w:rPr>
              <w:t>d</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700" w:type="dxa"/>
            <w:vAlign w:val="bottom"/>
            <w:shd w:val="clear" w:color="auto" w:fill="DCE2EF"/>
          </w:tcPr>
          <w:p>
            <w:pPr>
              <w:spacing w:after="0"/>
              <w:rPr>
                <w:sz w:val="18"/>
                <w:szCs w:val="18"/>
                <w:color w:val="auto"/>
              </w:rPr>
            </w:pPr>
          </w:p>
        </w:tc>
        <w:tc>
          <w:tcPr>
            <w:tcW w:w="80" w:type="dxa"/>
            <w:vAlign w:val="bottom"/>
            <w:shd w:val="clear" w:color="auto" w:fill="DCE2EF"/>
          </w:tcPr>
          <w:p>
            <w:pPr>
              <w:spacing w:after="0"/>
              <w:rPr>
                <w:sz w:val="18"/>
                <w:szCs w:val="18"/>
                <w:color w:val="auto"/>
              </w:rPr>
            </w:pPr>
          </w:p>
        </w:tc>
        <w:tc>
          <w:tcPr>
            <w:tcW w:w="2900" w:type="dxa"/>
            <w:vAlign w:val="bottom"/>
            <w:gridSpan w:val="2"/>
            <w:shd w:val="clear" w:color="auto" w:fill="DCE2EF"/>
          </w:tcPr>
          <w:p>
            <w:pPr>
              <w:ind w:left="20"/>
              <w:spacing w:after="0"/>
              <w:rPr>
                <w:sz w:val="20"/>
                <w:szCs w:val="20"/>
                <w:color w:val="auto"/>
              </w:rPr>
            </w:pPr>
            <w:r>
              <w:rPr>
                <w:rFonts w:ascii="Arial" w:cs="Arial" w:eastAsia="Arial" w:hAnsi="Arial"/>
                <w:sz w:val="16"/>
                <w:szCs w:val="16"/>
                <w:color w:val="auto"/>
              </w:rPr>
              <w:t>Other noncurrent liabilities</w:t>
            </w:r>
          </w:p>
        </w:tc>
        <w:tc>
          <w:tcPr>
            <w:tcW w:w="160" w:type="dxa"/>
            <w:vAlign w:val="bottom"/>
            <w:shd w:val="clear" w:color="auto" w:fill="DCE2EF"/>
          </w:tcPr>
          <w:p>
            <w:pPr>
              <w:spacing w:after="0"/>
              <w:rPr>
                <w:sz w:val="18"/>
                <w:szCs w:val="18"/>
                <w:color w:val="auto"/>
              </w:rPr>
            </w:pPr>
          </w:p>
        </w:tc>
        <w:tc>
          <w:tcPr>
            <w:tcW w:w="152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6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42.1</w:t>
            </w:r>
          </w:p>
        </w:tc>
        <w:tc>
          <w:tcPr>
            <w:tcW w:w="520" w:type="dxa"/>
            <w:vAlign w:val="bottom"/>
            <w:gridSpan w:val="2"/>
            <w:shd w:val="clear" w:color="auto" w:fill="DCE2EF"/>
          </w:tcPr>
          <w:p>
            <w:pPr>
              <w:jc w:val="right"/>
              <w:ind w:right="400"/>
              <w:spacing w:after="0"/>
              <w:rPr>
                <w:sz w:val="20"/>
                <w:szCs w:val="20"/>
                <w:color w:val="auto"/>
              </w:rPr>
            </w:pPr>
            <w:r>
              <w:rPr>
                <w:rFonts w:ascii="Arial" w:cs="Arial" w:eastAsia="Arial" w:hAnsi="Arial"/>
                <w:sz w:val="16"/>
                <w:szCs w:val="16"/>
                <w:b w:val="1"/>
                <w:bCs w:val="1"/>
                <w:color w:val="auto"/>
              </w:rPr>
              <w:t>d</w:t>
            </w:r>
          </w:p>
        </w:tc>
        <w:tc>
          <w:tcPr>
            <w:tcW w:w="15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177"/>
        </w:trPr>
        <w:tc>
          <w:tcPr>
            <w:tcW w:w="278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Workers’ compensations and</w:t>
            </w:r>
          </w:p>
        </w:tc>
        <w:tc>
          <w:tcPr>
            <w:tcW w:w="2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general liabilities loss reserve</w:t>
            </w:r>
          </w:p>
        </w:tc>
        <w:tc>
          <w:tcPr>
            <w:tcW w:w="2900" w:type="dxa"/>
            <w:vAlign w:val="bottom"/>
            <w:gridSpan w:val="2"/>
          </w:tcPr>
          <w:p>
            <w:pPr>
              <w:ind w:left="20"/>
              <w:spacing w:after="0"/>
              <w:rPr>
                <w:sz w:val="20"/>
                <w:szCs w:val="20"/>
                <w:color w:val="auto"/>
              </w:rPr>
            </w:pPr>
            <w:r>
              <w:rPr>
                <w:rFonts w:ascii="Arial" w:cs="Arial" w:eastAsia="Arial" w:hAnsi="Arial"/>
                <w:sz w:val="16"/>
                <w:szCs w:val="16"/>
                <w:color w:val="auto"/>
              </w:rPr>
              <w:t>Noncurrent insurance claims</w:t>
            </w: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76.9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76.9</w:t>
            </w:r>
          </w:p>
        </w:tc>
        <w:tc>
          <w:tcPr>
            <w:tcW w:w="0" w:type="dxa"/>
            <w:vAlign w:val="bottom"/>
          </w:tcPr>
          <w:p>
            <w:pPr>
              <w:spacing w:after="0"/>
              <w:rPr>
                <w:sz w:val="1"/>
                <w:szCs w:val="1"/>
                <w:color w:val="auto"/>
              </w:rPr>
            </w:pPr>
          </w:p>
        </w:tc>
      </w:tr>
      <w:tr>
        <w:trPr>
          <w:trHeight w:val="219"/>
        </w:trPr>
        <w:tc>
          <w:tcPr>
            <w:tcW w:w="2780" w:type="dxa"/>
            <w:vAlign w:val="bottom"/>
            <w:gridSpan w:val="2"/>
            <w:shd w:val="clear" w:color="auto" w:fill="DCE2EF"/>
          </w:tcPr>
          <w:p>
            <w:pPr>
              <w:ind w:left="20"/>
              <w:spacing w:after="0"/>
              <w:rPr>
                <w:sz w:val="20"/>
                <w:szCs w:val="20"/>
                <w:color w:val="auto"/>
              </w:rPr>
            </w:pPr>
            <w:r>
              <w:rPr>
                <w:rFonts w:ascii="Arial" w:cs="Arial" w:eastAsia="Arial" w:hAnsi="Arial"/>
                <w:sz w:val="16"/>
                <w:szCs w:val="16"/>
                <w:color w:val="auto"/>
              </w:rPr>
              <w:t>Deferred compensation plan liability</w:t>
            </w:r>
          </w:p>
        </w:tc>
        <w:tc>
          <w:tcPr>
            <w:tcW w:w="278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15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2100" w:type="dxa"/>
            <w:vAlign w:val="bottom"/>
            <w:gridSpan w:val="3"/>
            <w:shd w:val="clear" w:color="auto" w:fill="DCE2EF"/>
          </w:tcPr>
          <w:p>
            <w:pPr>
              <w:jc w:val="right"/>
              <w:ind w:right="400"/>
              <w:spacing w:after="0"/>
              <w:rPr>
                <w:sz w:val="20"/>
                <w:szCs w:val="20"/>
                <w:color w:val="auto"/>
              </w:rPr>
            </w:pPr>
            <w:r>
              <w:rPr>
                <w:rFonts w:ascii="Arial" w:cs="Arial" w:eastAsia="Arial" w:hAnsi="Arial"/>
                <w:sz w:val="16"/>
                <w:szCs w:val="16"/>
                <w:color w:val="auto"/>
              </w:rPr>
              <w:t xml:space="preserve">(29.6) </w:t>
            </w:r>
            <w:r>
              <w:rPr>
                <w:rFonts w:ascii="Arial" w:cs="Arial" w:eastAsia="Arial" w:hAnsi="Arial"/>
                <w:sz w:val="16"/>
                <w:szCs w:val="16"/>
                <w:b w:val="1"/>
                <w:bCs w:val="1"/>
                <w:color w:val="auto"/>
              </w:rPr>
              <w:t>d</w:t>
            </w:r>
          </w:p>
        </w:tc>
        <w:tc>
          <w:tcPr>
            <w:tcW w:w="15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Common Stock</w:t>
            </w:r>
          </w:p>
        </w:tc>
        <w:tc>
          <w:tcPr>
            <w:tcW w:w="2900" w:type="dxa"/>
            <w:vAlign w:val="bottom"/>
            <w:gridSpan w:val="2"/>
          </w:tcPr>
          <w:p>
            <w:pPr>
              <w:ind w:left="20"/>
              <w:spacing w:after="0"/>
              <w:rPr>
                <w:sz w:val="20"/>
                <w:szCs w:val="20"/>
                <w:color w:val="auto"/>
              </w:rPr>
            </w:pPr>
            <w:r>
              <w:rPr>
                <w:rFonts w:ascii="Arial" w:cs="Arial" w:eastAsia="Arial" w:hAnsi="Arial"/>
                <w:sz w:val="16"/>
                <w:szCs w:val="16"/>
                <w:color w:val="auto"/>
              </w:rPr>
              <w:t>Common Stock</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9"/>
        </w:trPr>
        <w:tc>
          <w:tcPr>
            <w:tcW w:w="2780" w:type="dxa"/>
            <w:vAlign w:val="bottom"/>
            <w:gridSpan w:val="2"/>
            <w:shd w:val="clear" w:color="auto" w:fill="DCE2EF"/>
          </w:tcPr>
          <w:p>
            <w:pPr>
              <w:ind w:left="20"/>
              <w:spacing w:after="0"/>
              <w:rPr>
                <w:sz w:val="20"/>
                <w:szCs w:val="20"/>
                <w:color w:val="auto"/>
              </w:rPr>
            </w:pPr>
            <w:r>
              <w:rPr>
                <w:rFonts w:ascii="Arial" w:cs="Arial" w:eastAsia="Arial" w:hAnsi="Arial"/>
                <w:sz w:val="16"/>
                <w:szCs w:val="16"/>
                <w:color w:val="auto"/>
              </w:rPr>
              <w:t>Retained Earnings</w:t>
            </w:r>
          </w:p>
        </w:tc>
        <w:tc>
          <w:tcPr>
            <w:tcW w:w="2900" w:type="dxa"/>
            <w:vAlign w:val="bottom"/>
            <w:gridSpan w:val="2"/>
            <w:shd w:val="clear" w:color="auto" w:fill="DCE2EF"/>
          </w:tcPr>
          <w:p>
            <w:pPr>
              <w:ind w:left="20"/>
              <w:spacing w:after="0"/>
              <w:rPr>
                <w:sz w:val="20"/>
                <w:szCs w:val="20"/>
                <w:color w:val="auto"/>
              </w:rPr>
            </w:pPr>
            <w:r>
              <w:rPr>
                <w:rFonts w:ascii="Arial" w:cs="Arial" w:eastAsia="Arial" w:hAnsi="Arial"/>
                <w:sz w:val="16"/>
                <w:szCs w:val="16"/>
                <w:color w:val="auto"/>
              </w:rPr>
              <w:t>Retained Earnings</w:t>
            </w:r>
          </w:p>
        </w:tc>
        <w:tc>
          <w:tcPr>
            <w:tcW w:w="160" w:type="dxa"/>
            <w:vAlign w:val="bottom"/>
            <w:shd w:val="clear" w:color="auto" w:fill="DCE2EF"/>
          </w:tcPr>
          <w:p>
            <w:pPr>
              <w:spacing w:after="0"/>
              <w:rPr>
                <w:sz w:val="19"/>
                <w:szCs w:val="19"/>
                <w:color w:val="auto"/>
              </w:rPr>
            </w:pPr>
          </w:p>
        </w:tc>
        <w:tc>
          <w:tcPr>
            <w:tcW w:w="15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15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right="5100"/>
        <w:spacing w:after="0" w:line="263" w:lineRule="auto"/>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 $5.6 million reclassified from “Restricted cash” to “Other current assets.”</w:t>
      </w:r>
      <w:r>
        <w:rPr>
          <w:rFonts w:ascii="Arial" w:cs="Arial" w:eastAsia="Arial" w:hAnsi="Arial"/>
          <w:sz w:val="18"/>
          <w:szCs w:val="18"/>
          <w:b w:val="1"/>
          <w:bCs w:val="1"/>
          <w:color w:val="auto"/>
        </w:rPr>
        <w:t xml:space="preserve"> b</w:t>
      </w:r>
      <w:r>
        <w:rPr>
          <w:rFonts w:ascii="Arial" w:cs="Arial" w:eastAsia="Arial" w:hAnsi="Arial"/>
          <w:sz w:val="18"/>
          <w:szCs w:val="18"/>
          <w:color w:val="auto"/>
        </w:rPr>
        <w:t>. $5.0 million reclassified from “Intangible assets, net” to “Goodwill.”</w:t>
      </w:r>
    </w:p>
    <w:p>
      <w:pPr>
        <w:ind w:left="340" w:right="380" w:hanging="323"/>
        <w:spacing w:after="0" w:line="250" w:lineRule="auto"/>
        <w:tabs>
          <w:tab w:leader="none" w:pos="320" w:val="left"/>
        </w:tabs>
        <w:rPr>
          <w:sz w:val="20"/>
          <w:szCs w:val="20"/>
          <w:color w:val="auto"/>
        </w:rPr>
      </w:pPr>
      <w:r>
        <w:rPr>
          <w:rFonts w:ascii="Arial" w:cs="Arial" w:eastAsia="Arial" w:hAnsi="Arial"/>
          <w:sz w:val="18"/>
          <w:szCs w:val="18"/>
          <w:b w:val="1"/>
          <w:bCs w:val="1"/>
          <w:color w:val="auto"/>
        </w:rPr>
        <w:t>c</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$2.7 million, $18.1 million, and $59.6 million from “Accrued liabilities” to “Accounts payable,” “Insurance claims,” and “Other accrued liabilities,” respectively.</w:t>
      </w:r>
    </w:p>
    <w:p>
      <w:pPr>
        <w:spacing w:after="0" w:line="1" w:lineRule="exact"/>
        <w:rPr>
          <w:sz w:val="20"/>
          <w:szCs w:val="20"/>
          <w:color w:val="auto"/>
        </w:rPr>
      </w:pPr>
    </w:p>
    <w:p>
      <w:pPr>
        <w:ind w:left="340" w:right="680" w:hanging="323"/>
        <w:spacing w:after="0" w:line="261" w:lineRule="auto"/>
        <w:tabs>
          <w:tab w:leader="none" w:pos="320" w:val="left"/>
        </w:tabs>
        <w:rPr>
          <w:sz w:val="20"/>
          <w:szCs w:val="20"/>
          <w:color w:val="auto"/>
        </w:rPr>
      </w:pPr>
      <w:r>
        <w:rPr>
          <w:rFonts w:ascii="Arial" w:cs="Arial" w:eastAsia="Arial" w:hAnsi="Arial"/>
          <w:sz w:val="18"/>
          <w:szCs w:val="18"/>
          <w:b w:val="1"/>
          <w:bCs w:val="1"/>
          <w:color w:val="auto"/>
        </w:rPr>
        <w:t>d</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$12.5 million and $29.6 million reclassified from “Payroll taxes, net of current portion” and “Deferred compensation plan liability,” respectively to “Other noncurrent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18"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Adjustments made to Able’s historical statement of income for the year ended December 31, 2020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gridSpan w:val="2"/>
          </w:tcPr>
          <w:p>
            <w:pPr>
              <w:ind w:left="160"/>
              <w:spacing w:after="0"/>
              <w:rPr>
                <w:sz w:val="20"/>
                <w:szCs w:val="20"/>
                <w:color w:val="auto"/>
              </w:rPr>
            </w:pPr>
            <w:r>
              <w:rPr>
                <w:rFonts w:ascii="Arial" w:cs="Arial" w:eastAsia="Arial" w:hAnsi="Arial"/>
                <w:sz w:val="16"/>
                <w:szCs w:val="16"/>
                <w:b w:val="1"/>
                <w:bCs w:val="1"/>
                <w:color w:val="auto"/>
              </w:rPr>
              <w:t>Able Combined Statement of</w:t>
            </w:r>
          </w:p>
        </w:tc>
        <w:tc>
          <w:tcPr>
            <w:tcW w:w="2640" w:type="dxa"/>
            <w:vAlign w:val="bottom"/>
            <w:gridSpan w:val="2"/>
          </w:tcPr>
          <w:p>
            <w:pPr>
              <w:ind w:left="80"/>
              <w:spacing w:after="0"/>
              <w:rPr>
                <w:sz w:val="20"/>
                <w:szCs w:val="20"/>
                <w:color w:val="auto"/>
              </w:rPr>
            </w:pPr>
            <w:r>
              <w:rPr>
                <w:rFonts w:ascii="Arial" w:cs="Arial" w:eastAsia="Arial" w:hAnsi="Arial"/>
                <w:sz w:val="16"/>
                <w:szCs w:val="16"/>
                <w:b w:val="1"/>
                <w:bCs w:val="1"/>
                <w:color w:val="auto"/>
              </w:rPr>
              <w:t>ABM Consolidated Condensed</w:t>
            </w:r>
          </w:p>
        </w:tc>
        <w:tc>
          <w:tcPr>
            <w:tcW w:w="180" w:type="dxa"/>
            <w:vAlign w:val="bottom"/>
          </w:tcPr>
          <w:p>
            <w:pPr>
              <w:spacing w:after="0"/>
              <w:rPr>
                <w:sz w:val="16"/>
                <w:szCs w:val="16"/>
                <w:color w:val="auto"/>
              </w:rPr>
            </w:pPr>
          </w:p>
        </w:tc>
        <w:tc>
          <w:tcPr>
            <w:tcW w:w="168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Able, before</w:t>
            </w:r>
          </w:p>
        </w:tc>
        <w:tc>
          <w:tcPr>
            <w:tcW w:w="1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Able, after</w:t>
            </w:r>
          </w:p>
        </w:tc>
        <w:tc>
          <w:tcPr>
            <w:tcW w:w="0" w:type="dxa"/>
            <w:vAlign w:val="bottom"/>
          </w:tcPr>
          <w:p>
            <w:pPr>
              <w:spacing w:after="0"/>
              <w:rPr>
                <w:sz w:val="1"/>
                <w:szCs w:val="1"/>
                <w:color w:val="auto"/>
              </w:rPr>
            </w:pPr>
          </w:p>
        </w:tc>
      </w:tr>
      <w:tr>
        <w:trPr>
          <w:trHeight w:val="108"/>
        </w:trPr>
        <w:tc>
          <w:tcPr>
            <w:tcW w:w="2620" w:type="dxa"/>
            <w:vAlign w:val="bottom"/>
            <w:gridSpan w:val="2"/>
            <w:vMerge w:val="restart"/>
          </w:tcPr>
          <w:p>
            <w:pPr>
              <w:ind w:left="560"/>
              <w:spacing w:after="0"/>
              <w:rPr>
                <w:sz w:val="20"/>
                <w:szCs w:val="20"/>
                <w:color w:val="auto"/>
              </w:rPr>
            </w:pPr>
            <w:r>
              <w:rPr>
                <w:rFonts w:ascii="Arial" w:cs="Arial" w:eastAsia="Arial" w:hAnsi="Arial"/>
                <w:sz w:val="16"/>
                <w:szCs w:val="16"/>
                <w:b w:val="1"/>
                <w:bCs w:val="1"/>
                <w:color w:val="auto"/>
              </w:rPr>
              <w:t>Income Line Items</w:t>
            </w:r>
          </w:p>
        </w:tc>
        <w:tc>
          <w:tcPr>
            <w:tcW w:w="26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Statement of Income Line Items</w:t>
            </w:r>
          </w:p>
        </w:tc>
        <w:tc>
          <w:tcPr>
            <w:tcW w:w="180" w:type="dxa"/>
            <w:vAlign w:val="bottom"/>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620" w:type="dxa"/>
            <w:vAlign w:val="bottom"/>
            <w:gridSpan w:val="2"/>
            <w:vMerge w:val="continue"/>
          </w:tcPr>
          <w:p>
            <w:pPr>
              <w:spacing w:after="0"/>
              <w:rPr>
                <w:sz w:val="9"/>
                <w:szCs w:val="9"/>
                <w:color w:val="auto"/>
              </w:rPr>
            </w:pPr>
          </w:p>
        </w:tc>
        <w:tc>
          <w:tcPr>
            <w:tcW w:w="26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5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reclassifications</w:t>
            </w:r>
          </w:p>
        </w:tc>
        <w:tc>
          <w:tcPr>
            <w:tcW w:w="100" w:type="dxa"/>
            <w:vAlign w:val="bottom"/>
            <w:vMerge w:val="restart"/>
          </w:tcPr>
          <w:p>
            <w:pPr>
              <w:spacing w:after="0"/>
              <w:rPr>
                <w:sz w:val="9"/>
                <w:szCs w:val="9"/>
                <w:color w:val="auto"/>
              </w:rPr>
            </w:pPr>
          </w:p>
        </w:tc>
        <w:tc>
          <w:tcPr>
            <w:tcW w:w="182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Reclassifications</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reclassifications</w:t>
            </w:r>
          </w:p>
        </w:tc>
        <w:tc>
          <w:tcPr>
            <w:tcW w:w="0" w:type="dxa"/>
            <w:vAlign w:val="bottom"/>
          </w:tcPr>
          <w:p>
            <w:pPr>
              <w:spacing w:after="0"/>
              <w:rPr>
                <w:sz w:val="1"/>
                <w:szCs w:val="1"/>
                <w:color w:val="auto"/>
              </w:rPr>
            </w:pPr>
          </w:p>
        </w:tc>
      </w:tr>
      <w:tr>
        <w:trPr>
          <w:trHeight w:val="109"/>
        </w:trPr>
        <w:tc>
          <w:tcPr>
            <w:tcW w:w="2520" w:type="dxa"/>
            <w:vAlign w:val="bottom"/>
            <w:tcBorders>
              <w:bottom w:val="single" w:sz="8" w:color="auto"/>
            </w:tcBorders>
          </w:tcPr>
          <w:p>
            <w:pPr>
              <w:spacing w:after="0"/>
              <w:rPr>
                <w:sz w:val="9"/>
                <w:szCs w:val="9"/>
                <w:color w:val="auto"/>
              </w:rPr>
            </w:pPr>
          </w:p>
        </w:tc>
        <w:tc>
          <w:tcPr>
            <w:tcW w:w="100" w:type="dxa"/>
            <w:vAlign w:val="bottom"/>
            <w:tcBorders>
              <w:bottom w:val="single" w:sz="8" w:color="DCE2EF"/>
            </w:tcBorders>
          </w:tcPr>
          <w:p>
            <w:pPr>
              <w:spacing w:after="0"/>
              <w:rPr>
                <w:sz w:val="9"/>
                <w:szCs w:val="9"/>
                <w:color w:val="auto"/>
              </w:rPr>
            </w:pPr>
          </w:p>
        </w:tc>
        <w:tc>
          <w:tcPr>
            <w:tcW w:w="2540" w:type="dxa"/>
            <w:vAlign w:val="bottom"/>
            <w:tcBorders>
              <w:bottom w:val="single" w:sz="8" w:color="auto"/>
            </w:tcBorders>
          </w:tcPr>
          <w:p>
            <w:pPr>
              <w:spacing w:after="0"/>
              <w:rPr>
                <w:sz w:val="9"/>
                <w:szCs w:val="9"/>
                <w:color w:val="auto"/>
              </w:rPr>
            </w:pPr>
          </w:p>
        </w:tc>
        <w:tc>
          <w:tcPr>
            <w:tcW w:w="100" w:type="dxa"/>
            <w:vAlign w:val="bottom"/>
            <w:tcBorders>
              <w:bottom w:val="single" w:sz="8" w:color="DCE2E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DCE2EF"/>
            </w:tcBorders>
            <w:vMerge w:val="continue"/>
          </w:tcPr>
          <w:p>
            <w:pPr>
              <w:spacing w:after="0"/>
              <w:rPr>
                <w:sz w:val="9"/>
                <w:szCs w:val="9"/>
                <w:color w:val="auto"/>
              </w:rPr>
            </w:pPr>
          </w:p>
        </w:tc>
        <w:tc>
          <w:tcPr>
            <w:tcW w:w="1820" w:type="dxa"/>
            <w:vAlign w:val="bottom"/>
            <w:tcBorders>
              <w:bottom w:val="single" w:sz="8" w:color="auto"/>
            </w:tcBorders>
            <w:vMerge w:val="continue"/>
          </w:tcPr>
          <w:p>
            <w:pPr>
              <w:spacing w:after="0"/>
              <w:rPr>
                <w:sz w:val="9"/>
                <w:szCs w:val="9"/>
                <w:color w:val="auto"/>
              </w:rPr>
            </w:pPr>
          </w:p>
        </w:tc>
        <w:tc>
          <w:tcPr>
            <w:tcW w:w="540" w:type="dxa"/>
            <w:vAlign w:val="bottom"/>
            <w:tcBorders>
              <w:bottom w:val="single" w:sz="8" w:color="DCE2E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620" w:type="dxa"/>
            <w:vAlign w:val="bottom"/>
            <w:gridSpan w:val="2"/>
            <w:shd w:val="clear" w:color="auto" w:fill="DCE2EF"/>
          </w:tcPr>
          <w:p>
            <w:pPr>
              <w:ind w:left="20"/>
              <w:spacing w:after="0"/>
              <w:rPr>
                <w:sz w:val="20"/>
                <w:szCs w:val="20"/>
                <w:color w:val="auto"/>
              </w:rPr>
            </w:pPr>
            <w:r>
              <w:rPr>
                <w:rFonts w:ascii="Arial" w:cs="Arial" w:eastAsia="Arial" w:hAnsi="Arial"/>
                <w:sz w:val="16"/>
                <w:szCs w:val="16"/>
                <w:color w:val="auto"/>
              </w:rPr>
              <w:t>Sales and services</w:t>
            </w:r>
          </w:p>
        </w:tc>
        <w:tc>
          <w:tcPr>
            <w:tcW w:w="2640" w:type="dxa"/>
            <w:vAlign w:val="bottom"/>
            <w:gridSpan w:val="2"/>
            <w:shd w:val="clear" w:color="auto" w:fill="DCE2EF"/>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1,090.5</w:t>
            </w:r>
          </w:p>
        </w:tc>
        <w:tc>
          <w:tcPr>
            <w:tcW w:w="100" w:type="dxa"/>
            <w:vAlign w:val="bottom"/>
            <w:shd w:val="clear" w:color="auto" w:fill="DCE2EF"/>
          </w:tcPr>
          <w:p>
            <w:pPr>
              <w:spacing w:after="0"/>
              <w:rPr>
                <w:sz w:val="18"/>
                <w:szCs w:val="18"/>
                <w:color w:val="auto"/>
              </w:rPr>
            </w:pPr>
          </w:p>
        </w:tc>
        <w:tc>
          <w:tcPr>
            <w:tcW w:w="1820" w:type="dxa"/>
            <w:vAlign w:val="bottom"/>
            <w:shd w:val="clear" w:color="auto" w:fill="DCE2EF"/>
          </w:tcPr>
          <w:p>
            <w:pPr>
              <w:spacing w:after="0"/>
              <w:rPr>
                <w:sz w:val="18"/>
                <w:szCs w:val="18"/>
                <w:color w:val="auto"/>
              </w:rPr>
            </w:pPr>
          </w:p>
        </w:tc>
        <w:tc>
          <w:tcPr>
            <w:tcW w:w="720" w:type="dxa"/>
            <w:vAlign w:val="bottom"/>
            <w:gridSpan w:val="2"/>
            <w:shd w:val="clear" w:color="auto" w:fill="DCE2EF"/>
          </w:tcPr>
          <w:p>
            <w:pPr>
              <w:jc w:val="right"/>
              <w:ind w:right="60"/>
              <w:spacing w:after="0"/>
              <w:rPr>
                <w:sz w:val="20"/>
                <w:szCs w:val="20"/>
                <w:color w:val="auto"/>
              </w:rPr>
            </w:pPr>
            <w:r>
              <w:rPr>
                <w:rFonts w:ascii="Arial" w:cs="Arial" w:eastAsia="Arial" w:hAnsi="Arial"/>
                <w:sz w:val="16"/>
                <w:szCs w:val="16"/>
                <w:color w:val="auto"/>
              </w:rPr>
              <w:t>$</w:t>
            </w: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1,090.5</w:t>
            </w:r>
          </w:p>
        </w:tc>
        <w:tc>
          <w:tcPr>
            <w:tcW w:w="0" w:type="dxa"/>
            <w:vAlign w:val="bottom"/>
          </w:tcPr>
          <w:p>
            <w:pPr>
              <w:spacing w:after="0"/>
              <w:rPr>
                <w:sz w:val="1"/>
                <w:szCs w:val="1"/>
                <w:color w:val="auto"/>
              </w:rPr>
            </w:pPr>
          </w:p>
        </w:tc>
      </w:tr>
      <w:tr>
        <w:trPr>
          <w:trHeight w:val="215"/>
        </w:trPr>
        <w:tc>
          <w:tcPr>
            <w:tcW w:w="2620" w:type="dxa"/>
            <w:vAlign w:val="bottom"/>
            <w:gridSpan w:val="2"/>
          </w:tcPr>
          <w:p>
            <w:pPr>
              <w:ind w:left="20"/>
              <w:spacing w:after="0"/>
              <w:rPr>
                <w:sz w:val="20"/>
                <w:szCs w:val="20"/>
                <w:color w:val="auto"/>
              </w:rPr>
            </w:pPr>
            <w:r>
              <w:rPr>
                <w:rFonts w:ascii="Arial" w:cs="Arial" w:eastAsia="Arial" w:hAnsi="Arial"/>
                <w:sz w:val="16"/>
                <w:szCs w:val="16"/>
                <w:color w:val="auto"/>
              </w:rPr>
              <w:t>Cost of sales and services</w:t>
            </w:r>
          </w:p>
        </w:tc>
        <w:tc>
          <w:tcPr>
            <w:tcW w:w="264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945.0</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30.4</w:t>
            </w:r>
          </w:p>
        </w:tc>
        <w:tc>
          <w:tcPr>
            <w:tcW w:w="720" w:type="dxa"/>
            <w:vAlign w:val="bottom"/>
            <w:gridSpan w:val="2"/>
          </w:tcPr>
          <w:p>
            <w:pPr>
              <w:spacing w:after="0"/>
              <w:rPr>
                <w:sz w:val="20"/>
                <w:szCs w:val="20"/>
                <w:color w:val="auto"/>
              </w:rPr>
            </w:pPr>
            <w:r>
              <w:rPr>
                <w:rFonts w:ascii="Arial" w:cs="Arial" w:eastAsia="Arial" w:hAnsi="Arial"/>
                <w:sz w:val="16"/>
                <w:szCs w:val="16"/>
                <w:b w:val="1"/>
                <w:bCs w:val="1"/>
                <w:color w:val="auto"/>
              </w:rPr>
              <w:t>e</w:t>
            </w:r>
          </w:p>
        </w:tc>
        <w:tc>
          <w:tcPr>
            <w:tcW w:w="1580" w:type="dxa"/>
            <w:vAlign w:val="bottom"/>
          </w:tcPr>
          <w:p>
            <w:pPr>
              <w:jc w:val="right"/>
              <w:spacing w:after="0"/>
              <w:rPr>
                <w:sz w:val="20"/>
                <w:szCs w:val="20"/>
                <w:color w:val="auto"/>
              </w:rPr>
            </w:pPr>
            <w:r>
              <w:rPr>
                <w:rFonts w:ascii="Arial" w:cs="Arial" w:eastAsia="Arial" w:hAnsi="Arial"/>
                <w:sz w:val="16"/>
                <w:szCs w:val="16"/>
                <w:color w:val="auto"/>
              </w:rPr>
              <w:t>975.4</w:t>
            </w:r>
          </w:p>
        </w:tc>
        <w:tc>
          <w:tcPr>
            <w:tcW w:w="0" w:type="dxa"/>
            <w:vAlign w:val="bottom"/>
          </w:tcPr>
          <w:p>
            <w:pPr>
              <w:spacing w:after="0"/>
              <w:rPr>
                <w:sz w:val="1"/>
                <w:szCs w:val="1"/>
                <w:color w:val="auto"/>
              </w:rPr>
            </w:pPr>
          </w:p>
        </w:tc>
      </w:tr>
      <w:tr>
        <w:trPr>
          <w:trHeight w:val="178"/>
        </w:trPr>
        <w:tc>
          <w:tcPr>
            <w:tcW w:w="252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2640" w:type="dxa"/>
            <w:vAlign w:val="bottom"/>
            <w:gridSpan w:val="2"/>
            <w:shd w:val="clear" w:color="auto" w:fill="DCE2EF"/>
          </w:tcPr>
          <w:p>
            <w:pPr>
              <w:ind w:left="20"/>
              <w:spacing w:after="0" w:line="178" w:lineRule="exact"/>
              <w:rPr>
                <w:sz w:val="20"/>
                <w:szCs w:val="20"/>
                <w:color w:val="auto"/>
              </w:rPr>
            </w:pPr>
            <w:r>
              <w:rPr>
                <w:rFonts w:ascii="Arial" w:cs="Arial" w:eastAsia="Arial" w:hAnsi="Arial"/>
                <w:sz w:val="16"/>
                <w:szCs w:val="16"/>
                <w:color w:val="auto"/>
              </w:rPr>
              <w:t>Selling, general and administrative</w:t>
            </w:r>
          </w:p>
        </w:tc>
        <w:tc>
          <w:tcPr>
            <w:tcW w:w="180" w:type="dxa"/>
            <w:vAlign w:val="bottom"/>
            <w:shd w:val="clear" w:color="auto" w:fill="DCE2EF"/>
          </w:tcPr>
          <w:p>
            <w:pPr>
              <w:spacing w:after="0"/>
              <w:rPr>
                <w:sz w:val="15"/>
                <w:szCs w:val="15"/>
                <w:color w:val="auto"/>
              </w:rPr>
            </w:pPr>
          </w:p>
        </w:tc>
        <w:tc>
          <w:tcPr>
            <w:tcW w:w="15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2540" w:type="dxa"/>
            <w:vAlign w:val="bottom"/>
            <w:gridSpan w:val="3"/>
            <w:vMerge w:val="restart"/>
            <w:shd w:val="clear" w:color="auto" w:fill="DCE2EF"/>
          </w:tcPr>
          <w:p>
            <w:pPr>
              <w:jc w:val="right"/>
              <w:ind w:right="380"/>
              <w:spacing w:after="0"/>
              <w:rPr>
                <w:sz w:val="20"/>
                <w:szCs w:val="20"/>
                <w:color w:val="auto"/>
              </w:rPr>
            </w:pPr>
            <w:r>
              <w:rPr>
                <w:rFonts w:ascii="Arial" w:cs="Arial" w:eastAsia="Arial" w:hAnsi="Arial"/>
                <w:sz w:val="16"/>
                <w:szCs w:val="16"/>
                <w:color w:val="auto"/>
              </w:rPr>
              <w:t xml:space="preserve">(32.0) </w:t>
            </w:r>
            <w:r>
              <w:rPr>
                <w:rFonts w:ascii="Arial" w:cs="Arial" w:eastAsia="Arial" w:hAnsi="Arial"/>
                <w:sz w:val="16"/>
                <w:szCs w:val="16"/>
                <w:b w:val="1"/>
                <w:bCs w:val="1"/>
                <w:color w:val="auto"/>
              </w:rPr>
              <w:t>e,f,g</w:t>
            </w:r>
          </w:p>
        </w:tc>
        <w:tc>
          <w:tcPr>
            <w:tcW w:w="1580" w:type="dxa"/>
            <w:vAlign w:val="bottom"/>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620" w:type="dxa"/>
            <w:vAlign w:val="bottom"/>
            <w:gridSpan w:val="2"/>
            <w:shd w:val="clear" w:color="auto" w:fill="DCE2EF"/>
          </w:tcPr>
          <w:p>
            <w:pPr>
              <w:ind w:left="20"/>
              <w:spacing w:after="0"/>
              <w:rPr>
                <w:sz w:val="20"/>
                <w:szCs w:val="20"/>
                <w:color w:val="auto"/>
              </w:rPr>
            </w:pPr>
            <w:r>
              <w:rPr>
                <w:rFonts w:ascii="Arial" w:cs="Arial" w:eastAsia="Arial" w:hAnsi="Arial"/>
                <w:sz w:val="16"/>
                <w:szCs w:val="16"/>
                <w:color w:val="auto"/>
              </w:rPr>
              <w:t>Operating expenses</w:t>
            </w:r>
          </w:p>
        </w:tc>
        <w:tc>
          <w:tcPr>
            <w:tcW w:w="2640" w:type="dxa"/>
            <w:vAlign w:val="bottom"/>
            <w:gridSpan w:val="2"/>
            <w:shd w:val="clear" w:color="auto" w:fill="DCE2EF"/>
          </w:tcPr>
          <w:p>
            <w:pPr>
              <w:ind w:left="20"/>
              <w:spacing w:after="0"/>
              <w:rPr>
                <w:sz w:val="20"/>
                <w:szCs w:val="20"/>
                <w:color w:val="auto"/>
              </w:rPr>
            </w:pPr>
            <w:r>
              <w:rPr>
                <w:rFonts w:ascii="Arial" w:cs="Arial" w:eastAsia="Arial" w:hAnsi="Arial"/>
                <w:sz w:val="16"/>
                <w:szCs w:val="16"/>
                <w:color w:val="auto"/>
              </w:rPr>
              <w:t>expenses</w:t>
            </w:r>
          </w:p>
        </w:tc>
        <w:tc>
          <w:tcPr>
            <w:tcW w:w="180" w:type="dxa"/>
            <w:vAlign w:val="bottom"/>
            <w:shd w:val="clear" w:color="auto" w:fill="DCE2EF"/>
          </w:tcPr>
          <w:p>
            <w:pPr>
              <w:spacing w:after="0"/>
              <w:rPr>
                <w:sz w:val="17"/>
                <w:szCs w:val="17"/>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94.9</w:t>
            </w:r>
          </w:p>
        </w:tc>
        <w:tc>
          <w:tcPr>
            <w:tcW w:w="100" w:type="dxa"/>
            <w:vAlign w:val="bottom"/>
            <w:shd w:val="clear" w:color="auto" w:fill="DCE2EF"/>
          </w:tcPr>
          <w:p>
            <w:pPr>
              <w:spacing w:after="0"/>
              <w:rPr>
                <w:sz w:val="17"/>
                <w:szCs w:val="17"/>
                <w:color w:val="auto"/>
              </w:rPr>
            </w:pPr>
          </w:p>
        </w:tc>
        <w:tc>
          <w:tcPr>
            <w:tcW w:w="2540" w:type="dxa"/>
            <w:vAlign w:val="bottom"/>
            <w:gridSpan w:val="3"/>
            <w:vMerge w:val="continue"/>
            <w:shd w:val="clear" w:color="auto" w:fill="DCE2EF"/>
          </w:tcPr>
          <w:p>
            <w:pPr>
              <w:spacing w:after="0"/>
              <w:rPr>
                <w:sz w:val="17"/>
                <w:szCs w:val="17"/>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15"/>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2"/>
          </w:tcPr>
          <w:p>
            <w:pPr>
              <w:ind w:left="2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1.4</w:t>
            </w:r>
          </w:p>
        </w:tc>
        <w:tc>
          <w:tcPr>
            <w:tcW w:w="720" w:type="dxa"/>
            <w:vAlign w:val="bottom"/>
            <w:gridSpan w:val="2"/>
          </w:tcPr>
          <w:p>
            <w:pPr>
              <w:spacing w:after="0"/>
              <w:rPr>
                <w:sz w:val="20"/>
                <w:szCs w:val="20"/>
                <w:color w:val="auto"/>
              </w:rPr>
            </w:pPr>
            <w:r>
              <w:rPr>
                <w:rFonts w:ascii="Arial" w:cs="Arial" w:eastAsia="Arial" w:hAnsi="Arial"/>
                <w:sz w:val="16"/>
                <w:szCs w:val="16"/>
                <w:b w:val="1"/>
                <w:bCs w:val="1"/>
                <w:color w:val="auto"/>
              </w:rPr>
              <w:t>f</w:t>
            </w:r>
          </w:p>
        </w:tc>
        <w:tc>
          <w:tcPr>
            <w:tcW w:w="158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7"/>
        </w:trPr>
        <w:tc>
          <w:tcPr>
            <w:tcW w:w="2620" w:type="dxa"/>
            <w:vAlign w:val="bottom"/>
            <w:gridSpan w:val="2"/>
            <w:shd w:val="clear" w:color="auto" w:fill="DCE2EF"/>
          </w:tcPr>
          <w:p>
            <w:pPr>
              <w:ind w:left="20"/>
              <w:spacing w:after="0"/>
              <w:rPr>
                <w:sz w:val="20"/>
                <w:szCs w:val="20"/>
                <w:color w:val="auto"/>
              </w:rPr>
            </w:pPr>
            <w:r>
              <w:rPr>
                <w:rFonts w:ascii="Arial" w:cs="Arial" w:eastAsia="Arial" w:hAnsi="Arial"/>
                <w:sz w:val="16"/>
                <w:szCs w:val="16"/>
                <w:color w:val="auto"/>
              </w:rPr>
              <w:t>Other expenses, net</w:t>
            </w:r>
          </w:p>
        </w:tc>
        <w:tc>
          <w:tcPr>
            <w:tcW w:w="254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DCE2EF"/>
          </w:tcPr>
          <w:p>
            <w:pPr>
              <w:spacing w:after="0"/>
              <w:rPr>
                <w:sz w:val="18"/>
                <w:szCs w:val="18"/>
                <w:color w:val="auto"/>
              </w:rPr>
            </w:pPr>
          </w:p>
        </w:tc>
        <w:tc>
          <w:tcPr>
            <w:tcW w:w="18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w:t>
            </w:r>
          </w:p>
        </w:tc>
        <w:tc>
          <w:tcPr>
            <w:tcW w:w="72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g</w:t>
            </w: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3"/>
          </w:tcPr>
          <w:p>
            <w:pPr>
              <w:jc w:val="right"/>
              <w:ind w:right="620"/>
              <w:spacing w:after="0"/>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b w:val="1"/>
                <w:bCs w:val="1"/>
                <w:color w:val="auto"/>
              </w:rPr>
              <w:t>g</w:t>
            </w:r>
          </w:p>
        </w:tc>
        <w:tc>
          <w:tcPr>
            <w:tcW w:w="158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7"/>
        </w:trPr>
        <w:tc>
          <w:tcPr>
            <w:tcW w:w="2620" w:type="dxa"/>
            <w:vAlign w:val="bottom"/>
            <w:gridSpan w:val="2"/>
            <w:shd w:val="clear" w:color="auto" w:fill="DCE2EF"/>
          </w:tcPr>
          <w:p>
            <w:pPr>
              <w:ind w:left="20"/>
              <w:spacing w:after="0"/>
              <w:rPr>
                <w:sz w:val="20"/>
                <w:szCs w:val="20"/>
                <w:color w:val="auto"/>
              </w:rPr>
            </w:pPr>
            <w:r>
              <w:rPr>
                <w:rFonts w:ascii="Arial" w:cs="Arial" w:eastAsia="Arial" w:hAnsi="Arial"/>
                <w:sz w:val="16"/>
                <w:szCs w:val="16"/>
                <w:color w:val="auto"/>
              </w:rPr>
              <w:t>Provision for income taxes</w:t>
            </w:r>
          </w:p>
        </w:tc>
        <w:tc>
          <w:tcPr>
            <w:tcW w:w="2640" w:type="dxa"/>
            <w:vAlign w:val="bottom"/>
            <w:gridSpan w:val="2"/>
            <w:shd w:val="clear" w:color="auto" w:fill="DCE2EF"/>
          </w:tcPr>
          <w:p>
            <w:pPr>
              <w:ind w:left="20"/>
              <w:spacing w:after="0"/>
              <w:rPr>
                <w:sz w:val="20"/>
                <w:szCs w:val="20"/>
                <w:color w:val="auto"/>
              </w:rPr>
            </w:pPr>
            <w:r>
              <w:rPr>
                <w:rFonts w:ascii="Arial" w:cs="Arial" w:eastAsia="Arial" w:hAnsi="Arial"/>
                <w:sz w:val="16"/>
                <w:szCs w:val="16"/>
                <w:color w:val="auto"/>
              </w:rPr>
              <w:t>Income tax provision</w:t>
            </w:r>
          </w:p>
        </w:tc>
        <w:tc>
          <w:tcPr>
            <w:tcW w:w="18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DCE2EF"/>
          </w:tcPr>
          <w:p>
            <w:pPr>
              <w:spacing w:after="0"/>
              <w:rPr>
                <w:sz w:val="18"/>
                <w:szCs w:val="18"/>
                <w:color w:val="auto"/>
              </w:rPr>
            </w:pPr>
          </w:p>
        </w:tc>
        <w:tc>
          <w:tcPr>
            <w:tcW w:w="1820" w:type="dxa"/>
            <w:vAlign w:val="bottom"/>
            <w:shd w:val="clear" w:color="auto" w:fill="DCE2EF"/>
          </w:tcPr>
          <w:p>
            <w:pPr>
              <w:spacing w:after="0"/>
              <w:rPr>
                <w:sz w:val="18"/>
                <w:szCs w:val="18"/>
                <w:color w:val="auto"/>
              </w:rPr>
            </w:pPr>
          </w:p>
        </w:tc>
        <w:tc>
          <w:tcPr>
            <w:tcW w:w="54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left="340" w:hanging="323"/>
        <w:spacing w:after="0" w:line="258" w:lineRule="auto"/>
        <w:rPr>
          <w:sz w:val="20"/>
          <w:szCs w:val="20"/>
          <w:color w:val="auto"/>
        </w:rPr>
      </w:pPr>
      <w:r>
        <w:rPr>
          <w:rFonts w:ascii="Arial" w:cs="Arial" w:eastAsia="Arial" w:hAnsi="Arial"/>
          <w:sz w:val="18"/>
          <w:szCs w:val="18"/>
          <w:b w:val="1"/>
          <w:bCs w:val="1"/>
          <w:color w:val="auto"/>
        </w:rPr>
        <w:t>e</w:t>
      </w:r>
      <w:r>
        <w:rPr>
          <w:rFonts w:ascii="Arial" w:cs="Arial" w:eastAsia="Arial" w:hAnsi="Arial"/>
          <w:sz w:val="18"/>
          <w:szCs w:val="18"/>
          <w:color w:val="auto"/>
        </w:rPr>
        <w:t>. $30.4 million reclassified from Able’s “Operating expenses” line item to ABM’s “Operating expenses” line item. This reclassification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allocates a percentage of total indirect compensation costs incurred by Able for certain groups of employees to ABM’s operating expense line to conform to ABM’s presentation.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8"/>
          <w:szCs w:val="18"/>
          <w:color w:val="auto"/>
        </w:rPr>
        <w:t>. $1.4 million reclassified from Able’s “Operating expenses” line item to ABM’s “Amortization of intangible assets, net” line item.</w:t>
      </w:r>
    </w:p>
    <w:p>
      <w:pPr>
        <w:spacing w:after="0" w:line="9" w:lineRule="exact"/>
        <w:rPr>
          <w:sz w:val="20"/>
          <w:szCs w:val="20"/>
          <w:color w:val="auto"/>
        </w:rPr>
      </w:pPr>
    </w:p>
    <w:p>
      <w:pPr>
        <w:jc w:val="both"/>
        <w:ind w:left="340" w:hanging="323"/>
        <w:spacing w:after="0" w:line="261" w:lineRule="auto"/>
        <w:rPr>
          <w:sz w:val="20"/>
          <w:szCs w:val="20"/>
          <w:color w:val="auto"/>
        </w:rPr>
      </w:pPr>
      <w:r>
        <w:rPr>
          <w:rFonts w:ascii="Arial" w:cs="Arial" w:eastAsia="Arial" w:hAnsi="Arial"/>
          <w:sz w:val="18"/>
          <w:szCs w:val="18"/>
          <w:b w:val="1"/>
          <w:bCs w:val="1"/>
          <w:color w:val="auto"/>
        </w:rPr>
        <w:t>g</w:t>
      </w:r>
      <w:r>
        <w:rPr>
          <w:rFonts w:ascii="Arial" w:cs="Arial" w:eastAsia="Arial" w:hAnsi="Arial"/>
          <w:sz w:val="18"/>
          <w:szCs w:val="18"/>
          <w:color w:val="auto"/>
        </w:rPr>
        <w:t>. $1.2 million and $(0.2) million reclassified from Able’s “Other expenses, net” line item to ABM’s “Interest expense” line item and “Selling,</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and administrative expenses” line item,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Adjustments made to Able’s historical statement of income for the nine months ended June 30, 2021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0" w:type="dxa"/>
            <w:vAlign w:val="bottom"/>
            <w:gridSpan w:val="2"/>
          </w:tcPr>
          <w:p>
            <w:pPr>
              <w:ind w:left="140"/>
              <w:spacing w:after="0"/>
              <w:rPr>
                <w:sz w:val="20"/>
                <w:szCs w:val="20"/>
                <w:color w:val="auto"/>
              </w:rPr>
            </w:pPr>
            <w:r>
              <w:rPr>
                <w:rFonts w:ascii="Arial" w:cs="Arial" w:eastAsia="Arial" w:hAnsi="Arial"/>
                <w:sz w:val="16"/>
                <w:szCs w:val="16"/>
                <w:b w:val="1"/>
                <w:bCs w:val="1"/>
                <w:color w:val="auto"/>
              </w:rPr>
              <w:t>Able Combined Statement of</w:t>
            </w:r>
          </w:p>
        </w:tc>
        <w:tc>
          <w:tcPr>
            <w:tcW w:w="2660" w:type="dxa"/>
            <w:vAlign w:val="bottom"/>
            <w:gridSpan w:val="2"/>
          </w:tcPr>
          <w:p>
            <w:pPr>
              <w:ind w:left="100"/>
              <w:spacing w:after="0"/>
              <w:rPr>
                <w:sz w:val="20"/>
                <w:szCs w:val="20"/>
                <w:color w:val="auto"/>
              </w:rPr>
            </w:pPr>
            <w:r>
              <w:rPr>
                <w:rFonts w:ascii="Arial" w:cs="Arial" w:eastAsia="Arial" w:hAnsi="Arial"/>
                <w:sz w:val="16"/>
                <w:szCs w:val="16"/>
                <w:b w:val="1"/>
                <w:bCs w:val="1"/>
                <w:color w:val="auto"/>
              </w:rPr>
              <w:t>ABM Consolidated Condensed</w:t>
            </w:r>
          </w:p>
        </w:tc>
        <w:tc>
          <w:tcPr>
            <w:tcW w:w="180" w:type="dxa"/>
            <w:vAlign w:val="bottom"/>
          </w:tcPr>
          <w:p>
            <w:pPr>
              <w:spacing w:after="0"/>
              <w:rPr>
                <w:sz w:val="16"/>
                <w:szCs w:val="16"/>
                <w:color w:val="auto"/>
              </w:rPr>
            </w:pPr>
          </w:p>
        </w:tc>
        <w:tc>
          <w:tcPr>
            <w:tcW w:w="168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Able, before</w:t>
            </w:r>
          </w:p>
        </w:tc>
        <w:tc>
          <w:tcPr>
            <w:tcW w:w="1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Able, after</w:t>
            </w:r>
          </w:p>
        </w:tc>
        <w:tc>
          <w:tcPr>
            <w:tcW w:w="0" w:type="dxa"/>
            <w:vAlign w:val="bottom"/>
          </w:tcPr>
          <w:p>
            <w:pPr>
              <w:spacing w:after="0"/>
              <w:rPr>
                <w:sz w:val="1"/>
                <w:szCs w:val="1"/>
                <w:color w:val="auto"/>
              </w:rPr>
            </w:pPr>
          </w:p>
        </w:tc>
      </w:tr>
      <w:tr>
        <w:trPr>
          <w:trHeight w:val="108"/>
        </w:trPr>
        <w:tc>
          <w:tcPr>
            <w:tcW w:w="2600" w:type="dxa"/>
            <w:vAlign w:val="bottom"/>
            <w:gridSpan w:val="2"/>
            <w:vMerge w:val="restart"/>
          </w:tcPr>
          <w:p>
            <w:pPr>
              <w:ind w:left="560"/>
              <w:spacing w:after="0"/>
              <w:rPr>
                <w:sz w:val="20"/>
                <w:szCs w:val="20"/>
                <w:color w:val="auto"/>
              </w:rPr>
            </w:pPr>
            <w:r>
              <w:rPr>
                <w:rFonts w:ascii="Arial" w:cs="Arial" w:eastAsia="Arial" w:hAnsi="Arial"/>
                <w:sz w:val="16"/>
                <w:szCs w:val="16"/>
                <w:b w:val="1"/>
                <w:bCs w:val="1"/>
                <w:color w:val="auto"/>
              </w:rPr>
              <w:t>Income Line Items</w:t>
            </w:r>
          </w:p>
        </w:tc>
        <w:tc>
          <w:tcPr>
            <w:tcW w:w="26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Statement of Income Line Items</w:t>
            </w:r>
          </w:p>
        </w:tc>
        <w:tc>
          <w:tcPr>
            <w:tcW w:w="180" w:type="dxa"/>
            <w:vAlign w:val="bottom"/>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600" w:type="dxa"/>
            <w:vAlign w:val="bottom"/>
            <w:gridSpan w:val="2"/>
            <w:vMerge w:val="continue"/>
          </w:tcPr>
          <w:p>
            <w:pPr>
              <w:spacing w:after="0"/>
              <w:rPr>
                <w:sz w:val="9"/>
                <w:szCs w:val="9"/>
                <w:color w:val="auto"/>
              </w:rPr>
            </w:pPr>
          </w:p>
        </w:tc>
        <w:tc>
          <w:tcPr>
            <w:tcW w:w="26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5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reclassifications</w:t>
            </w:r>
          </w:p>
        </w:tc>
        <w:tc>
          <w:tcPr>
            <w:tcW w:w="100" w:type="dxa"/>
            <w:vAlign w:val="bottom"/>
            <w:vMerge w:val="restart"/>
          </w:tcPr>
          <w:p>
            <w:pPr>
              <w:spacing w:after="0"/>
              <w:rPr>
                <w:sz w:val="9"/>
                <w:szCs w:val="9"/>
                <w:color w:val="auto"/>
              </w:rPr>
            </w:pPr>
          </w:p>
        </w:tc>
        <w:tc>
          <w:tcPr>
            <w:tcW w:w="182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Reclassifications</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reclassifications</w:t>
            </w:r>
          </w:p>
        </w:tc>
        <w:tc>
          <w:tcPr>
            <w:tcW w:w="0" w:type="dxa"/>
            <w:vAlign w:val="bottom"/>
          </w:tcPr>
          <w:p>
            <w:pPr>
              <w:spacing w:after="0"/>
              <w:rPr>
                <w:sz w:val="1"/>
                <w:szCs w:val="1"/>
                <w:color w:val="auto"/>
              </w:rPr>
            </w:pPr>
          </w:p>
        </w:tc>
      </w:tr>
      <w:tr>
        <w:trPr>
          <w:trHeight w:val="109"/>
        </w:trPr>
        <w:tc>
          <w:tcPr>
            <w:tcW w:w="2500" w:type="dxa"/>
            <w:vAlign w:val="bottom"/>
            <w:tcBorders>
              <w:bottom w:val="single" w:sz="8" w:color="auto"/>
            </w:tcBorders>
          </w:tcPr>
          <w:p>
            <w:pPr>
              <w:spacing w:after="0"/>
              <w:rPr>
                <w:sz w:val="9"/>
                <w:szCs w:val="9"/>
                <w:color w:val="auto"/>
              </w:rPr>
            </w:pPr>
          </w:p>
        </w:tc>
        <w:tc>
          <w:tcPr>
            <w:tcW w:w="100" w:type="dxa"/>
            <w:vAlign w:val="bottom"/>
            <w:tcBorders>
              <w:bottom w:val="single" w:sz="8" w:color="DCE2EF"/>
            </w:tcBorders>
          </w:tcPr>
          <w:p>
            <w:pPr>
              <w:spacing w:after="0"/>
              <w:rPr>
                <w:sz w:val="9"/>
                <w:szCs w:val="9"/>
                <w:color w:val="auto"/>
              </w:rPr>
            </w:pPr>
          </w:p>
        </w:tc>
        <w:tc>
          <w:tcPr>
            <w:tcW w:w="2560" w:type="dxa"/>
            <w:vAlign w:val="bottom"/>
            <w:tcBorders>
              <w:bottom w:val="single" w:sz="8" w:color="auto"/>
            </w:tcBorders>
          </w:tcPr>
          <w:p>
            <w:pPr>
              <w:spacing w:after="0"/>
              <w:rPr>
                <w:sz w:val="9"/>
                <w:szCs w:val="9"/>
                <w:color w:val="auto"/>
              </w:rPr>
            </w:pPr>
          </w:p>
        </w:tc>
        <w:tc>
          <w:tcPr>
            <w:tcW w:w="100" w:type="dxa"/>
            <w:vAlign w:val="bottom"/>
            <w:tcBorders>
              <w:bottom w:val="single" w:sz="8" w:color="DCE2E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DCE2EF"/>
            </w:tcBorders>
            <w:vMerge w:val="continue"/>
          </w:tcPr>
          <w:p>
            <w:pPr>
              <w:spacing w:after="0"/>
              <w:rPr>
                <w:sz w:val="9"/>
                <w:szCs w:val="9"/>
                <w:color w:val="auto"/>
              </w:rPr>
            </w:pPr>
          </w:p>
        </w:tc>
        <w:tc>
          <w:tcPr>
            <w:tcW w:w="1820" w:type="dxa"/>
            <w:vAlign w:val="bottom"/>
            <w:tcBorders>
              <w:bottom w:val="single" w:sz="8" w:color="auto"/>
            </w:tcBorders>
            <w:vMerge w:val="continue"/>
          </w:tcPr>
          <w:p>
            <w:pPr>
              <w:spacing w:after="0"/>
              <w:rPr>
                <w:sz w:val="9"/>
                <w:szCs w:val="9"/>
                <w:color w:val="auto"/>
              </w:rPr>
            </w:pPr>
          </w:p>
        </w:tc>
        <w:tc>
          <w:tcPr>
            <w:tcW w:w="540" w:type="dxa"/>
            <w:vAlign w:val="bottom"/>
            <w:tcBorders>
              <w:bottom w:val="single" w:sz="8" w:color="DCE2E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600" w:type="dxa"/>
            <w:vAlign w:val="bottom"/>
            <w:gridSpan w:val="2"/>
            <w:shd w:val="clear" w:color="auto" w:fill="DCE2EF"/>
          </w:tcPr>
          <w:p>
            <w:pPr>
              <w:ind w:left="20"/>
              <w:spacing w:after="0"/>
              <w:rPr>
                <w:sz w:val="20"/>
                <w:szCs w:val="20"/>
                <w:color w:val="auto"/>
              </w:rPr>
            </w:pPr>
            <w:r>
              <w:rPr>
                <w:rFonts w:ascii="Arial" w:cs="Arial" w:eastAsia="Arial" w:hAnsi="Arial"/>
                <w:sz w:val="16"/>
                <w:szCs w:val="16"/>
                <w:color w:val="auto"/>
              </w:rPr>
              <w:t>Sales and services</w:t>
            </w:r>
          </w:p>
        </w:tc>
        <w:tc>
          <w:tcPr>
            <w:tcW w:w="2660" w:type="dxa"/>
            <w:vAlign w:val="bottom"/>
            <w:gridSpan w:val="2"/>
            <w:shd w:val="clear" w:color="auto" w:fill="DCE2EF"/>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805.4</w:t>
            </w:r>
          </w:p>
        </w:tc>
        <w:tc>
          <w:tcPr>
            <w:tcW w:w="100" w:type="dxa"/>
            <w:vAlign w:val="bottom"/>
            <w:shd w:val="clear" w:color="auto" w:fill="DCE2EF"/>
          </w:tcPr>
          <w:p>
            <w:pPr>
              <w:spacing w:after="0"/>
              <w:rPr>
                <w:sz w:val="18"/>
                <w:szCs w:val="18"/>
                <w:color w:val="auto"/>
              </w:rPr>
            </w:pPr>
          </w:p>
        </w:tc>
        <w:tc>
          <w:tcPr>
            <w:tcW w:w="1820" w:type="dxa"/>
            <w:vAlign w:val="bottom"/>
            <w:shd w:val="clear" w:color="auto" w:fill="DCE2EF"/>
          </w:tcPr>
          <w:p>
            <w:pPr>
              <w:spacing w:after="0"/>
              <w:rPr>
                <w:sz w:val="18"/>
                <w:szCs w:val="18"/>
                <w:color w:val="auto"/>
              </w:rPr>
            </w:pPr>
          </w:p>
        </w:tc>
        <w:tc>
          <w:tcPr>
            <w:tcW w:w="720" w:type="dxa"/>
            <w:vAlign w:val="bottom"/>
            <w:gridSpan w:val="2"/>
            <w:shd w:val="clear" w:color="auto" w:fill="DCE2EF"/>
          </w:tcPr>
          <w:p>
            <w:pPr>
              <w:jc w:val="right"/>
              <w:ind w:right="60"/>
              <w:spacing w:after="0"/>
              <w:rPr>
                <w:sz w:val="20"/>
                <w:szCs w:val="20"/>
                <w:color w:val="auto"/>
              </w:rPr>
            </w:pPr>
            <w:r>
              <w:rPr>
                <w:rFonts w:ascii="Arial" w:cs="Arial" w:eastAsia="Arial" w:hAnsi="Arial"/>
                <w:sz w:val="16"/>
                <w:szCs w:val="16"/>
                <w:color w:val="auto"/>
              </w:rPr>
              <w:t>$</w:t>
            </w: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805.4</w:t>
            </w:r>
          </w:p>
        </w:tc>
        <w:tc>
          <w:tcPr>
            <w:tcW w:w="0" w:type="dxa"/>
            <w:vAlign w:val="bottom"/>
          </w:tcPr>
          <w:p>
            <w:pPr>
              <w:spacing w:after="0"/>
              <w:rPr>
                <w:sz w:val="1"/>
                <w:szCs w:val="1"/>
                <w:color w:val="auto"/>
              </w:rPr>
            </w:pPr>
          </w:p>
        </w:tc>
      </w:tr>
      <w:tr>
        <w:trPr>
          <w:trHeight w:val="215"/>
        </w:trPr>
        <w:tc>
          <w:tcPr>
            <w:tcW w:w="2600" w:type="dxa"/>
            <w:vAlign w:val="bottom"/>
            <w:gridSpan w:val="2"/>
          </w:tcPr>
          <w:p>
            <w:pPr>
              <w:ind w:left="20"/>
              <w:spacing w:after="0"/>
              <w:rPr>
                <w:sz w:val="20"/>
                <w:szCs w:val="20"/>
                <w:color w:val="auto"/>
              </w:rPr>
            </w:pPr>
            <w:r>
              <w:rPr>
                <w:rFonts w:ascii="Arial" w:cs="Arial" w:eastAsia="Arial" w:hAnsi="Arial"/>
                <w:sz w:val="16"/>
                <w:szCs w:val="16"/>
                <w:color w:val="auto"/>
              </w:rPr>
              <w:t>Cost of sales and services</w:t>
            </w:r>
          </w:p>
        </w:tc>
        <w:tc>
          <w:tcPr>
            <w:tcW w:w="266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688.1</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25.1</w:t>
            </w:r>
          </w:p>
        </w:tc>
        <w:tc>
          <w:tcPr>
            <w:tcW w:w="72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w w:val="81"/>
              </w:rPr>
              <w:t>h</w:t>
            </w:r>
          </w:p>
        </w:tc>
        <w:tc>
          <w:tcPr>
            <w:tcW w:w="1580" w:type="dxa"/>
            <w:vAlign w:val="bottom"/>
          </w:tcPr>
          <w:p>
            <w:pPr>
              <w:jc w:val="right"/>
              <w:spacing w:after="0"/>
              <w:rPr>
                <w:sz w:val="20"/>
                <w:szCs w:val="20"/>
                <w:color w:val="auto"/>
              </w:rPr>
            </w:pPr>
            <w:r>
              <w:rPr>
                <w:rFonts w:ascii="Arial" w:cs="Arial" w:eastAsia="Arial" w:hAnsi="Arial"/>
                <w:sz w:val="16"/>
                <w:szCs w:val="16"/>
                <w:color w:val="auto"/>
              </w:rPr>
              <w:t>713.2</w:t>
            </w:r>
          </w:p>
        </w:tc>
        <w:tc>
          <w:tcPr>
            <w:tcW w:w="0" w:type="dxa"/>
            <w:vAlign w:val="bottom"/>
          </w:tcPr>
          <w:p>
            <w:pPr>
              <w:spacing w:after="0"/>
              <w:rPr>
                <w:sz w:val="1"/>
                <w:szCs w:val="1"/>
                <w:color w:val="auto"/>
              </w:rPr>
            </w:pPr>
          </w:p>
        </w:tc>
      </w:tr>
      <w:tr>
        <w:trPr>
          <w:trHeight w:val="178"/>
        </w:trPr>
        <w:tc>
          <w:tcPr>
            <w:tcW w:w="250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2660" w:type="dxa"/>
            <w:vAlign w:val="bottom"/>
            <w:gridSpan w:val="2"/>
            <w:shd w:val="clear" w:color="auto" w:fill="DCE2EF"/>
          </w:tcPr>
          <w:p>
            <w:pPr>
              <w:ind w:left="20"/>
              <w:spacing w:after="0" w:line="178" w:lineRule="exact"/>
              <w:rPr>
                <w:sz w:val="20"/>
                <w:szCs w:val="20"/>
                <w:color w:val="auto"/>
              </w:rPr>
            </w:pPr>
            <w:r>
              <w:rPr>
                <w:rFonts w:ascii="Arial" w:cs="Arial" w:eastAsia="Arial" w:hAnsi="Arial"/>
                <w:sz w:val="16"/>
                <w:szCs w:val="16"/>
                <w:color w:val="auto"/>
              </w:rPr>
              <w:t>Selling, general and administrative</w:t>
            </w:r>
          </w:p>
        </w:tc>
        <w:tc>
          <w:tcPr>
            <w:tcW w:w="180" w:type="dxa"/>
            <w:vAlign w:val="bottom"/>
            <w:shd w:val="clear" w:color="auto" w:fill="DCE2EF"/>
          </w:tcPr>
          <w:p>
            <w:pPr>
              <w:spacing w:after="0"/>
              <w:rPr>
                <w:sz w:val="15"/>
                <w:szCs w:val="15"/>
                <w:color w:val="auto"/>
              </w:rPr>
            </w:pPr>
          </w:p>
        </w:tc>
        <w:tc>
          <w:tcPr>
            <w:tcW w:w="1580" w:type="dxa"/>
            <w:vAlign w:val="bottom"/>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2540" w:type="dxa"/>
            <w:vAlign w:val="bottom"/>
            <w:gridSpan w:val="3"/>
            <w:vMerge w:val="restart"/>
            <w:shd w:val="clear" w:color="auto" w:fill="DCE2EF"/>
          </w:tcPr>
          <w:p>
            <w:pPr>
              <w:jc w:val="right"/>
              <w:ind w:right="440"/>
              <w:spacing w:after="0"/>
              <w:rPr>
                <w:sz w:val="20"/>
                <w:szCs w:val="20"/>
                <w:color w:val="auto"/>
              </w:rPr>
            </w:pPr>
            <w:r>
              <w:rPr>
                <w:rFonts w:ascii="Arial" w:cs="Arial" w:eastAsia="Arial" w:hAnsi="Arial"/>
                <w:sz w:val="16"/>
                <w:szCs w:val="16"/>
                <w:color w:val="auto"/>
              </w:rPr>
              <w:t xml:space="preserve">(25.3) </w:t>
            </w:r>
            <w:r>
              <w:rPr>
                <w:rFonts w:ascii="Arial" w:cs="Arial" w:eastAsia="Arial" w:hAnsi="Arial"/>
                <w:sz w:val="16"/>
                <w:szCs w:val="16"/>
                <w:b w:val="1"/>
                <w:bCs w:val="1"/>
                <w:color w:val="auto"/>
              </w:rPr>
              <w:t>h,i,j</w:t>
            </w:r>
          </w:p>
        </w:tc>
        <w:tc>
          <w:tcPr>
            <w:tcW w:w="1580" w:type="dxa"/>
            <w:vAlign w:val="bottom"/>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600" w:type="dxa"/>
            <w:vAlign w:val="bottom"/>
            <w:gridSpan w:val="2"/>
            <w:shd w:val="clear" w:color="auto" w:fill="DCE2EF"/>
          </w:tcPr>
          <w:p>
            <w:pPr>
              <w:ind w:left="20"/>
              <w:spacing w:after="0"/>
              <w:rPr>
                <w:sz w:val="20"/>
                <w:szCs w:val="20"/>
                <w:color w:val="auto"/>
              </w:rPr>
            </w:pPr>
            <w:r>
              <w:rPr>
                <w:rFonts w:ascii="Arial" w:cs="Arial" w:eastAsia="Arial" w:hAnsi="Arial"/>
                <w:sz w:val="16"/>
                <w:szCs w:val="16"/>
                <w:color w:val="auto"/>
              </w:rPr>
              <w:t>Operating expenses</w:t>
            </w:r>
          </w:p>
        </w:tc>
        <w:tc>
          <w:tcPr>
            <w:tcW w:w="2660" w:type="dxa"/>
            <w:vAlign w:val="bottom"/>
            <w:gridSpan w:val="2"/>
            <w:shd w:val="clear" w:color="auto" w:fill="DCE2EF"/>
          </w:tcPr>
          <w:p>
            <w:pPr>
              <w:ind w:left="20"/>
              <w:spacing w:after="0"/>
              <w:rPr>
                <w:sz w:val="20"/>
                <w:szCs w:val="20"/>
                <w:color w:val="auto"/>
              </w:rPr>
            </w:pPr>
            <w:r>
              <w:rPr>
                <w:rFonts w:ascii="Arial" w:cs="Arial" w:eastAsia="Arial" w:hAnsi="Arial"/>
                <w:sz w:val="16"/>
                <w:szCs w:val="16"/>
                <w:color w:val="auto"/>
              </w:rPr>
              <w:t>expenses</w:t>
            </w:r>
          </w:p>
        </w:tc>
        <w:tc>
          <w:tcPr>
            <w:tcW w:w="180" w:type="dxa"/>
            <w:vAlign w:val="bottom"/>
            <w:shd w:val="clear" w:color="auto" w:fill="DCE2EF"/>
          </w:tcPr>
          <w:p>
            <w:pPr>
              <w:spacing w:after="0"/>
              <w:rPr>
                <w:sz w:val="17"/>
                <w:szCs w:val="17"/>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71.3</w:t>
            </w:r>
          </w:p>
        </w:tc>
        <w:tc>
          <w:tcPr>
            <w:tcW w:w="100" w:type="dxa"/>
            <w:vAlign w:val="bottom"/>
            <w:shd w:val="clear" w:color="auto" w:fill="DCE2EF"/>
          </w:tcPr>
          <w:p>
            <w:pPr>
              <w:spacing w:after="0"/>
              <w:rPr>
                <w:sz w:val="17"/>
                <w:szCs w:val="17"/>
                <w:color w:val="auto"/>
              </w:rPr>
            </w:pPr>
          </w:p>
        </w:tc>
        <w:tc>
          <w:tcPr>
            <w:tcW w:w="2540" w:type="dxa"/>
            <w:vAlign w:val="bottom"/>
            <w:gridSpan w:val="3"/>
            <w:vMerge w:val="continue"/>
            <w:shd w:val="clear" w:color="auto" w:fill="DCE2EF"/>
          </w:tcPr>
          <w:p>
            <w:pPr>
              <w:spacing w:after="0"/>
              <w:rPr>
                <w:sz w:val="17"/>
                <w:szCs w:val="17"/>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215"/>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gridSpan w:val="2"/>
          </w:tcPr>
          <w:p>
            <w:pPr>
              <w:ind w:left="2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1.8</w:t>
            </w:r>
          </w:p>
        </w:tc>
        <w:tc>
          <w:tcPr>
            <w:tcW w:w="72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w w:val="88"/>
              </w:rPr>
              <w:t>i</w:t>
            </w:r>
          </w:p>
        </w:tc>
        <w:tc>
          <w:tcPr>
            <w:tcW w:w="158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7"/>
        </w:trPr>
        <w:tc>
          <w:tcPr>
            <w:tcW w:w="2600" w:type="dxa"/>
            <w:vAlign w:val="bottom"/>
            <w:gridSpan w:val="2"/>
            <w:shd w:val="clear" w:color="auto" w:fill="DCE2EF"/>
          </w:tcPr>
          <w:p>
            <w:pPr>
              <w:ind w:left="20"/>
              <w:spacing w:after="0"/>
              <w:rPr>
                <w:sz w:val="20"/>
                <w:szCs w:val="20"/>
                <w:color w:val="auto"/>
              </w:rPr>
            </w:pPr>
            <w:r>
              <w:rPr>
                <w:rFonts w:ascii="Arial" w:cs="Arial" w:eastAsia="Arial" w:hAnsi="Arial"/>
                <w:sz w:val="16"/>
                <w:szCs w:val="16"/>
                <w:color w:val="auto"/>
              </w:rPr>
              <w:t>Other expenses, net</w:t>
            </w:r>
          </w:p>
        </w:tc>
        <w:tc>
          <w:tcPr>
            <w:tcW w:w="25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DCE2EF"/>
          </w:tcPr>
          <w:p>
            <w:pPr>
              <w:spacing w:after="0"/>
              <w:rPr>
                <w:sz w:val="18"/>
                <w:szCs w:val="18"/>
                <w:color w:val="auto"/>
              </w:rPr>
            </w:pPr>
          </w:p>
        </w:tc>
        <w:tc>
          <w:tcPr>
            <w:tcW w:w="18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2.4</w:t>
            </w:r>
          </w:p>
        </w:tc>
        <w:tc>
          <w:tcPr>
            <w:tcW w:w="720" w:type="dxa"/>
            <w:vAlign w:val="bottom"/>
            <w:gridSpan w:val="2"/>
            <w:shd w:val="clear" w:color="auto" w:fill="DCE2EF"/>
          </w:tcPr>
          <w:p>
            <w:pPr>
              <w:jc w:val="right"/>
              <w:ind w:right="660"/>
              <w:spacing w:after="0"/>
              <w:rPr>
                <w:sz w:val="20"/>
                <w:szCs w:val="20"/>
                <w:color w:val="auto"/>
              </w:rPr>
            </w:pPr>
            <w:r>
              <w:rPr>
                <w:rFonts w:ascii="Arial" w:cs="Arial" w:eastAsia="Arial" w:hAnsi="Arial"/>
                <w:sz w:val="16"/>
                <w:szCs w:val="16"/>
                <w:b w:val="1"/>
                <w:bCs w:val="1"/>
                <w:color w:val="auto"/>
                <w:w w:val="88"/>
              </w:rPr>
              <w:t>j</w:t>
            </w: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3"/>
          </w:tcPr>
          <w:p>
            <w:pPr>
              <w:jc w:val="right"/>
              <w:ind w:right="660"/>
              <w:spacing w:after="0"/>
              <w:rPr>
                <w:sz w:val="20"/>
                <w:szCs w:val="20"/>
                <w:color w:val="auto"/>
              </w:rPr>
            </w:pPr>
            <w:r>
              <w:rPr>
                <w:rFonts w:ascii="Arial" w:cs="Arial" w:eastAsia="Arial" w:hAnsi="Arial"/>
                <w:sz w:val="16"/>
                <w:szCs w:val="16"/>
                <w:color w:val="auto"/>
              </w:rPr>
              <w:t xml:space="preserve">(0.8) </w:t>
            </w:r>
            <w:r>
              <w:rPr>
                <w:rFonts w:ascii="Arial" w:cs="Arial" w:eastAsia="Arial" w:hAnsi="Arial"/>
                <w:sz w:val="16"/>
                <w:szCs w:val="16"/>
                <w:b w:val="1"/>
                <w:bCs w:val="1"/>
                <w:color w:val="auto"/>
              </w:rPr>
              <w:t>j</w:t>
            </w:r>
          </w:p>
        </w:tc>
        <w:tc>
          <w:tcPr>
            <w:tcW w:w="1580" w:type="dxa"/>
            <w:vAlign w:val="bottom"/>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7"/>
        </w:trPr>
        <w:tc>
          <w:tcPr>
            <w:tcW w:w="2600" w:type="dxa"/>
            <w:vAlign w:val="bottom"/>
            <w:gridSpan w:val="2"/>
            <w:shd w:val="clear" w:color="auto" w:fill="DCE2EF"/>
          </w:tcPr>
          <w:p>
            <w:pPr>
              <w:ind w:left="20"/>
              <w:spacing w:after="0"/>
              <w:rPr>
                <w:sz w:val="20"/>
                <w:szCs w:val="20"/>
                <w:color w:val="auto"/>
              </w:rPr>
            </w:pPr>
            <w:r>
              <w:rPr>
                <w:rFonts w:ascii="Arial" w:cs="Arial" w:eastAsia="Arial" w:hAnsi="Arial"/>
                <w:sz w:val="16"/>
                <w:szCs w:val="16"/>
                <w:color w:val="auto"/>
              </w:rPr>
              <w:t>Provision for income taxes</w:t>
            </w:r>
          </w:p>
        </w:tc>
        <w:tc>
          <w:tcPr>
            <w:tcW w:w="2660" w:type="dxa"/>
            <w:vAlign w:val="bottom"/>
            <w:gridSpan w:val="2"/>
            <w:shd w:val="clear" w:color="auto" w:fill="DCE2EF"/>
          </w:tcPr>
          <w:p>
            <w:pPr>
              <w:ind w:left="20"/>
              <w:spacing w:after="0"/>
              <w:rPr>
                <w:sz w:val="20"/>
                <w:szCs w:val="20"/>
                <w:color w:val="auto"/>
              </w:rPr>
            </w:pPr>
            <w:r>
              <w:rPr>
                <w:rFonts w:ascii="Arial" w:cs="Arial" w:eastAsia="Arial" w:hAnsi="Arial"/>
                <w:sz w:val="16"/>
                <w:szCs w:val="16"/>
                <w:color w:val="auto"/>
              </w:rPr>
              <w:t>Income tax provision</w:t>
            </w:r>
          </w:p>
        </w:tc>
        <w:tc>
          <w:tcPr>
            <w:tcW w:w="18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DCE2EF"/>
          </w:tcPr>
          <w:p>
            <w:pPr>
              <w:spacing w:after="0"/>
              <w:rPr>
                <w:sz w:val="18"/>
                <w:szCs w:val="18"/>
                <w:color w:val="auto"/>
              </w:rPr>
            </w:pPr>
          </w:p>
        </w:tc>
        <w:tc>
          <w:tcPr>
            <w:tcW w:w="1820" w:type="dxa"/>
            <w:vAlign w:val="bottom"/>
            <w:shd w:val="clear" w:color="auto" w:fill="DCE2EF"/>
          </w:tcPr>
          <w:p>
            <w:pPr>
              <w:spacing w:after="0"/>
              <w:rPr>
                <w:sz w:val="18"/>
                <w:szCs w:val="18"/>
                <w:color w:val="auto"/>
              </w:rPr>
            </w:pPr>
          </w:p>
        </w:tc>
        <w:tc>
          <w:tcPr>
            <w:tcW w:w="540" w:type="dxa"/>
            <w:vAlign w:val="bottom"/>
            <w:shd w:val="clear" w:color="auto" w:fill="DCE2EF"/>
          </w:tcPr>
          <w:p>
            <w:pPr>
              <w:spacing w:after="0"/>
              <w:rPr>
                <w:sz w:val="18"/>
                <w:szCs w:val="18"/>
                <w:color w:val="auto"/>
              </w:rPr>
            </w:pPr>
          </w:p>
        </w:tc>
        <w:tc>
          <w:tcPr>
            <w:tcW w:w="180" w:type="dxa"/>
            <w:vAlign w:val="bottom"/>
            <w:shd w:val="clear" w:color="auto" w:fill="DCE2EF"/>
          </w:tcPr>
          <w:p>
            <w:pPr>
              <w:spacing w:after="0"/>
              <w:rPr>
                <w:sz w:val="18"/>
                <w:szCs w:val="18"/>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ind w:left="340" w:hanging="323"/>
        <w:spacing w:after="0" w:line="258" w:lineRule="auto"/>
        <w:rPr>
          <w:sz w:val="20"/>
          <w:szCs w:val="20"/>
          <w:color w:val="auto"/>
        </w:rPr>
      </w:pPr>
      <w:r>
        <w:rPr>
          <w:rFonts w:ascii="Arial" w:cs="Arial" w:eastAsia="Arial" w:hAnsi="Arial"/>
          <w:sz w:val="18"/>
          <w:szCs w:val="18"/>
          <w:b w:val="1"/>
          <w:bCs w:val="1"/>
          <w:color w:val="auto"/>
        </w:rPr>
        <w:t>h</w:t>
      </w:r>
      <w:r>
        <w:rPr>
          <w:rFonts w:ascii="Arial" w:cs="Arial" w:eastAsia="Arial" w:hAnsi="Arial"/>
          <w:sz w:val="18"/>
          <w:szCs w:val="18"/>
          <w:color w:val="auto"/>
        </w:rPr>
        <w:t>. $25.1 million reclassified from Able’s “Operating expenses” line item to ABM’s “Operating expenses” line item. This reclassification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allocates a percentage of total indirect compensation costs incurred by Able for certain groups of employees to ABM’s operating expense line to conform to ABM’s presentation.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8"/>
          <w:szCs w:val="18"/>
          <w:color w:val="auto"/>
        </w:rPr>
        <w:t>. $1.8 million reclassified from Able’s “Operating expenses” line item to ABM’s “Amortization of intangible assets, net” line item.</w:t>
      </w:r>
    </w:p>
    <w:p>
      <w:pPr>
        <w:spacing w:after="0" w:line="9" w:lineRule="exact"/>
        <w:rPr>
          <w:sz w:val="20"/>
          <w:szCs w:val="20"/>
          <w:color w:val="auto"/>
        </w:rPr>
      </w:pPr>
    </w:p>
    <w:p>
      <w:pPr>
        <w:jc w:val="both"/>
        <w:ind w:left="340" w:hanging="323"/>
        <w:spacing w:after="0" w:line="261" w:lineRule="auto"/>
        <w:rPr>
          <w:sz w:val="20"/>
          <w:szCs w:val="20"/>
          <w:color w:val="auto"/>
        </w:rPr>
      </w:pPr>
      <w:r>
        <w:rPr>
          <w:rFonts w:ascii="Arial" w:cs="Arial" w:eastAsia="Arial" w:hAnsi="Arial"/>
          <w:sz w:val="18"/>
          <w:szCs w:val="18"/>
          <w:b w:val="1"/>
          <w:bCs w:val="1"/>
          <w:color w:val="auto"/>
        </w:rPr>
        <w:t>j</w:t>
      </w:r>
      <w:r>
        <w:rPr>
          <w:rFonts w:ascii="Arial" w:cs="Arial" w:eastAsia="Arial" w:hAnsi="Arial"/>
          <w:sz w:val="18"/>
          <w:szCs w:val="18"/>
          <w:color w:val="auto"/>
        </w:rPr>
        <w:t>. $0.8 million and $1.7 million reclassified from “Other expenses, net” line item to “Interest expense” line item and “Selling, general and</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expenses” line item,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8"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3. PRELIMINARY PURCHASE PRICE ALLOCATION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 xml:space="preserve">Preliminary Purchase Price Allocation </w:t>
      </w:r>
      <w:r>
        <w:rPr>
          <w:rFonts w:ascii="Arial" w:cs="Arial" w:eastAsia="Arial" w:hAnsi="Arial"/>
          <w:sz w:val="18"/>
          <w:szCs w:val="18"/>
          <w:color w:val="0046AD"/>
        </w:rPr>
        <w:t>(at acquisition date)</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millions)</w:t>
            </w:r>
          </w:p>
        </w:tc>
        <w:tc>
          <w:tcPr>
            <w:tcW w:w="8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29"/>
        </w:trPr>
        <w:tc>
          <w:tcPr>
            <w:tcW w:w="9200" w:type="dxa"/>
            <w:vAlign w:val="bottom"/>
            <w:gridSpan w:val="2"/>
            <w:shd w:val="clear" w:color="auto" w:fill="DCE2EF"/>
          </w:tcPr>
          <w:p>
            <w:pPr>
              <w:spacing w:after="0"/>
              <w:rPr>
                <w:sz w:val="20"/>
                <w:szCs w:val="20"/>
                <w:color w:val="auto"/>
              </w:rPr>
            </w:pPr>
            <w:r>
              <w:rPr>
                <w:rFonts w:ascii="Arial" w:cs="Arial" w:eastAsia="Arial" w:hAnsi="Arial"/>
                <w:sz w:val="18"/>
                <w:szCs w:val="18"/>
                <w:b w:val="1"/>
                <w:bCs w:val="1"/>
                <w:color w:val="auto"/>
              </w:rPr>
              <w:t>Consideration transferred</w:t>
            </w:r>
          </w:p>
        </w:tc>
        <w:tc>
          <w:tcPr>
            <w:tcW w:w="780" w:type="dxa"/>
            <w:vAlign w:val="bottom"/>
            <w:shd w:val="clear" w:color="auto" w:fill="DCE2EF"/>
          </w:tcPr>
          <w:p>
            <w:pPr>
              <w:spacing w:after="0"/>
              <w:rPr>
                <w:sz w:val="19"/>
                <w:szCs w:val="19"/>
                <w:color w:val="auto"/>
              </w:rPr>
            </w:pPr>
          </w:p>
        </w:tc>
        <w:tc>
          <w:tcPr>
            <w:tcW w:w="1200" w:type="dxa"/>
            <w:vAlign w:val="bottom"/>
            <w:shd w:val="clear" w:color="auto" w:fill="DCE2EF"/>
          </w:tcPr>
          <w:p>
            <w:pPr>
              <w:spacing w:after="0"/>
              <w:rPr>
                <w:sz w:val="19"/>
                <w:szCs w:val="19"/>
                <w:color w:val="auto"/>
              </w:rPr>
            </w:pPr>
          </w:p>
        </w:tc>
      </w:t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Preliminary purchase price</w:t>
            </w: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830.0</w:t>
            </w:r>
          </w:p>
        </w:tc>
      </w:tr>
      <w:tr>
        <w:trPr>
          <w:trHeight w:val="229"/>
        </w:trPr>
        <w:tc>
          <w:tcPr>
            <w:tcW w:w="92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Adjustments for acquired cash and working capital</w:t>
            </w:r>
          </w:p>
        </w:tc>
        <w:tc>
          <w:tcPr>
            <w:tcW w:w="78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(88.3)</w:t>
            </w: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Cash consideration transferred</w:t>
            </w:r>
          </w:p>
        </w:tc>
        <w:tc>
          <w:tcPr>
            <w:tcW w:w="7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741.7</w:t>
            </w:r>
          </w:p>
        </w:tc>
      </w:tr>
      <w:tr>
        <w:trPr>
          <w:trHeight w:val="20"/>
        </w:trPr>
        <w:tc>
          <w:tcPr>
            <w:tcW w:w="740" w:type="dxa"/>
            <w:vAlign w:val="bottom"/>
            <w:tcBorders>
              <w:bottom w:val="single" w:sz="8" w:color="DCE2EF"/>
            </w:tcBorders>
          </w:tcPr>
          <w:p>
            <w:pPr>
              <w:spacing w:after="0" w:line="20" w:lineRule="exact"/>
              <w:rPr>
                <w:sz w:val="1"/>
                <w:szCs w:val="1"/>
                <w:color w:val="auto"/>
              </w:rPr>
            </w:pPr>
          </w:p>
        </w:tc>
        <w:tc>
          <w:tcPr>
            <w:tcW w:w="8460" w:type="dxa"/>
            <w:vAlign w:val="bottom"/>
            <w:tcBorders>
              <w:bottom w:val="single" w:sz="8" w:color="DCE2E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740" w:type="dxa"/>
            <w:vAlign w:val="bottom"/>
            <w:shd w:val="clear" w:color="auto" w:fill="DCE2EF"/>
          </w:tcPr>
          <w:p>
            <w:pPr>
              <w:spacing w:after="0"/>
              <w:rPr>
                <w:sz w:val="19"/>
                <w:szCs w:val="19"/>
                <w:color w:val="auto"/>
              </w:rPr>
            </w:pPr>
          </w:p>
        </w:tc>
        <w:tc>
          <w:tcPr>
            <w:tcW w:w="8460" w:type="dxa"/>
            <w:vAlign w:val="bottom"/>
            <w:shd w:val="clear" w:color="auto" w:fill="DCE2EF"/>
          </w:tcPr>
          <w:p>
            <w:pPr>
              <w:spacing w:after="0"/>
              <w:rPr>
                <w:sz w:val="19"/>
                <w:szCs w:val="19"/>
                <w:color w:val="auto"/>
              </w:rPr>
            </w:pPr>
          </w:p>
        </w:tc>
        <w:tc>
          <w:tcPr>
            <w:tcW w:w="780" w:type="dxa"/>
            <w:vAlign w:val="bottom"/>
            <w:shd w:val="clear" w:color="auto" w:fill="DCE2EF"/>
          </w:tcPr>
          <w:p>
            <w:pPr>
              <w:spacing w:after="0"/>
              <w:rPr>
                <w:sz w:val="19"/>
                <w:szCs w:val="19"/>
                <w:color w:val="auto"/>
              </w:rPr>
            </w:pPr>
          </w:p>
        </w:tc>
        <w:tc>
          <w:tcPr>
            <w:tcW w:w="1200" w:type="dxa"/>
            <w:vAlign w:val="bottom"/>
            <w:shd w:val="clear" w:color="auto" w:fill="DCE2EF"/>
          </w:tcPr>
          <w:p>
            <w:pPr>
              <w:spacing w:after="0"/>
              <w:rPr>
                <w:sz w:val="19"/>
                <w:szCs w:val="19"/>
                <w:color w:val="auto"/>
              </w:rPr>
            </w:pPr>
          </w:p>
        </w:tc>
      </w:tr>
      <w:tr>
        <w:trPr>
          <w:trHeight w:val="229"/>
        </w:trPr>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Preliminary purchase price allocation</w:t>
            </w:r>
          </w:p>
        </w:tc>
        <w:tc>
          <w:tcPr>
            <w:tcW w:w="7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92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Cash and cash equivalents</w:t>
            </w:r>
          </w:p>
        </w:tc>
        <w:tc>
          <w:tcPr>
            <w:tcW w:w="780" w:type="dxa"/>
            <w:vAlign w:val="bottom"/>
            <w:shd w:val="clear" w:color="auto" w:fill="DCE2EF"/>
          </w:tcPr>
          <w:p>
            <w:pPr>
              <w:jc w:val="right"/>
              <w:ind w:right="5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31.5</w:t>
            </w:r>
          </w:p>
        </w:tc>
      </w:tr>
      <w:tr>
        <w:trPr>
          <w:trHeight w:val="229"/>
        </w:trPr>
        <w:tc>
          <w:tcPr>
            <w:tcW w:w="9200" w:type="dxa"/>
            <w:vAlign w:val="bottom"/>
            <w:gridSpan w:val="2"/>
          </w:tcPr>
          <w:p>
            <w:pPr>
              <w:spacing w:after="0"/>
              <w:rPr>
                <w:sz w:val="20"/>
                <w:szCs w:val="20"/>
                <w:color w:val="auto"/>
              </w:rPr>
            </w:pPr>
            <w:r>
              <w:rPr>
                <w:rFonts w:ascii="Arial" w:cs="Arial" w:eastAsia="Arial" w:hAnsi="Arial"/>
                <w:sz w:val="18"/>
                <w:szCs w:val="18"/>
                <w:color w:val="auto"/>
              </w:rPr>
              <w:t>Trade accounts receivable</w:t>
            </w: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159.3</w:t>
            </w:r>
          </w:p>
        </w:tc>
      </w:tr>
      <w:tr>
        <w:trPr>
          <w:trHeight w:val="229"/>
        </w:trPr>
        <w:tc>
          <w:tcPr>
            <w:tcW w:w="92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Other current assets</w:t>
            </w:r>
          </w:p>
        </w:tc>
        <w:tc>
          <w:tcPr>
            <w:tcW w:w="78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20.6</w:t>
            </w:r>
          </w:p>
        </w:tc>
      </w:t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92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Right-of-use assets</w:t>
            </w:r>
          </w:p>
        </w:tc>
        <w:tc>
          <w:tcPr>
            <w:tcW w:w="78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240.0</w:t>
            </w:r>
          </w:p>
        </w:tc>
      </w:tr>
      <w:tr>
        <w:trPr>
          <w:trHeight w:val="229"/>
        </w:trPr>
        <w:tc>
          <w:tcPr>
            <w:tcW w:w="92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Trade name</w:t>
            </w:r>
          </w:p>
        </w:tc>
        <w:tc>
          <w:tcPr>
            <w:tcW w:w="78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92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538.8</w:t>
            </w:r>
          </w:p>
        </w:tc>
      </w:tr>
      <w:tr>
        <w:trPr>
          <w:trHeight w:val="230"/>
        </w:trPr>
        <w:tc>
          <w:tcPr>
            <w:tcW w:w="92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Trade accounts payable</w:t>
            </w:r>
          </w:p>
        </w:tc>
        <w:tc>
          <w:tcPr>
            <w:tcW w:w="78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(27.0)</w:t>
            </w:r>
          </w:p>
        </w:tc>
      </w:tr>
      <w:tr>
        <w:trPr>
          <w:trHeight w:val="229"/>
        </w:trPr>
        <w:tc>
          <w:tcPr>
            <w:tcW w:w="9200" w:type="dxa"/>
            <w:vAlign w:val="bottom"/>
            <w:gridSpan w:val="2"/>
          </w:tcPr>
          <w:p>
            <w:pPr>
              <w:spacing w:after="0"/>
              <w:rPr>
                <w:sz w:val="20"/>
                <w:szCs w:val="20"/>
                <w:color w:val="auto"/>
              </w:rPr>
            </w:pPr>
            <w:r>
              <w:rPr>
                <w:rFonts w:ascii="Arial" w:cs="Arial" w:eastAsia="Arial" w:hAnsi="Arial"/>
                <w:sz w:val="18"/>
                <w:szCs w:val="18"/>
                <w:color w:val="auto"/>
              </w:rPr>
              <w:t>Insurance claims</w:t>
            </w: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29"/>
        </w:trPr>
        <w:tc>
          <w:tcPr>
            <w:tcW w:w="92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Current portion of lease liabilities</w:t>
            </w:r>
          </w:p>
        </w:tc>
        <w:tc>
          <w:tcPr>
            <w:tcW w:w="78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Other accrued liabilities</w:t>
            </w: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(58.2)</w:t>
            </w:r>
          </w:p>
        </w:tc>
      </w:tr>
      <w:tr>
        <w:trPr>
          <w:trHeight w:val="229"/>
        </w:trPr>
        <w:tc>
          <w:tcPr>
            <w:tcW w:w="92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Long-term portion of lease liabilities</w:t>
            </w:r>
          </w:p>
        </w:tc>
        <w:tc>
          <w:tcPr>
            <w:tcW w:w="78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Noncurrent insurance claims</w:t>
            </w: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(73.4)</w:t>
            </w:r>
          </w:p>
        </w:tc>
      </w:tr>
      <w:tr>
        <w:trPr>
          <w:trHeight w:val="230"/>
        </w:trPr>
        <w:tc>
          <w:tcPr>
            <w:tcW w:w="9200" w:type="dxa"/>
            <w:vAlign w:val="bottom"/>
            <w:gridSpan w:val="2"/>
            <w:shd w:val="clear" w:color="auto" w:fill="DCE2EF"/>
          </w:tcPr>
          <w:p>
            <w:pPr>
              <w:spacing w:after="0"/>
              <w:rPr>
                <w:sz w:val="20"/>
                <w:szCs w:val="20"/>
                <w:color w:val="auto"/>
              </w:rPr>
            </w:pPr>
            <w:r>
              <w:rPr>
                <w:rFonts w:ascii="Arial" w:cs="Arial" w:eastAsia="Arial" w:hAnsi="Arial"/>
                <w:sz w:val="18"/>
                <w:szCs w:val="18"/>
                <w:color w:val="auto"/>
              </w:rPr>
              <w:t>Net deferred income tax liabilities</w:t>
            </w:r>
          </w:p>
        </w:tc>
        <w:tc>
          <w:tcPr>
            <w:tcW w:w="780" w:type="dxa"/>
            <w:vAlign w:val="bottom"/>
            <w:shd w:val="clear" w:color="auto" w:fill="DCE2EF"/>
          </w:tcPr>
          <w:p>
            <w:pPr>
              <w:spacing w:after="0"/>
              <w:rPr>
                <w:sz w:val="19"/>
                <w:szCs w:val="19"/>
                <w:color w:val="auto"/>
              </w:rPr>
            </w:pP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(65.2)</w:t>
            </w:r>
          </w:p>
        </w:tc>
      </w:tr>
      <w:tr>
        <w:trPr>
          <w:trHeight w:val="230"/>
        </w:trPr>
        <w:tc>
          <w:tcPr>
            <w:tcW w:w="9200" w:type="dxa"/>
            <w:vAlign w:val="bottom"/>
            <w:tcBorders>
              <w:bottom w:val="single" w:sz="8" w:color="DCE2EF"/>
            </w:tcBorders>
            <w:gridSpan w:val="2"/>
          </w:tcPr>
          <w:p>
            <w:pPr>
              <w:spacing w:after="0"/>
              <w:rPr>
                <w:sz w:val="20"/>
                <w:szCs w:val="20"/>
                <w:color w:val="auto"/>
              </w:rPr>
            </w:pPr>
            <w:r>
              <w:rPr>
                <w:rFonts w:ascii="Arial" w:cs="Arial" w:eastAsia="Arial" w:hAnsi="Arial"/>
                <w:sz w:val="18"/>
                <w:szCs w:val="18"/>
                <w:color w:val="auto"/>
              </w:rPr>
              <w:t>Other noncurrent liabilities</w:t>
            </w:r>
          </w:p>
        </w:tc>
        <w:tc>
          <w:tcPr>
            <w:tcW w:w="7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48"/>
        </w:trPr>
        <w:tc>
          <w:tcPr>
            <w:tcW w:w="9200" w:type="dxa"/>
            <w:vAlign w:val="bottom"/>
            <w:tcBorders>
              <w:bottom w:val="single" w:sz="8" w:color="DCE2EF"/>
            </w:tcBorders>
            <w:gridSpan w:val="2"/>
            <w:shd w:val="clear" w:color="auto" w:fill="DCE2EF"/>
          </w:tcPr>
          <w:p>
            <w:pPr>
              <w:ind w:left="200"/>
              <w:spacing w:after="0"/>
              <w:rPr>
                <w:sz w:val="20"/>
                <w:szCs w:val="20"/>
                <w:color w:val="auto"/>
              </w:rPr>
            </w:pPr>
            <w:r>
              <w:rPr>
                <w:rFonts w:ascii="Arial" w:cs="Arial" w:eastAsia="Arial" w:hAnsi="Arial"/>
                <w:sz w:val="18"/>
                <w:szCs w:val="18"/>
                <w:color w:val="auto"/>
              </w:rPr>
              <w:t>Net assets acquired</w:t>
            </w:r>
          </w:p>
        </w:tc>
        <w:tc>
          <w:tcPr>
            <w:tcW w:w="780" w:type="dxa"/>
            <w:vAlign w:val="bottom"/>
            <w:tcBorders>
              <w:bottom w:val="single" w:sz="8" w:color="auto"/>
            </w:tcBorders>
            <w:shd w:val="clear" w:color="auto" w:fill="DCE2EF"/>
          </w:tcPr>
          <w:p>
            <w:pPr>
              <w:jc w:val="right"/>
              <w:ind w:right="5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741.7</w:t>
            </w:r>
          </w:p>
        </w:tc>
      </w:tr>
      <w:tr>
        <w:trPr>
          <w:trHeight w:val="20"/>
        </w:trPr>
        <w:tc>
          <w:tcPr>
            <w:tcW w:w="740" w:type="dxa"/>
            <w:vAlign w:val="bottom"/>
            <w:tcBorders>
              <w:top w:val="single" w:sz="8" w:color="DCE2EF"/>
            </w:tcBorders>
          </w:tcPr>
          <w:p>
            <w:pPr>
              <w:spacing w:after="0" w:line="20" w:lineRule="exact"/>
              <w:rPr>
                <w:sz w:val="1"/>
                <w:szCs w:val="1"/>
                <w:color w:val="auto"/>
              </w:rPr>
            </w:pPr>
          </w:p>
        </w:tc>
        <w:tc>
          <w:tcPr>
            <w:tcW w:w="8460" w:type="dxa"/>
            <w:vAlign w:val="bottom"/>
            <w:tcBorders>
              <w:top w:val="single" w:sz="8" w:color="DCE2EF"/>
            </w:tcBorders>
          </w:tcPr>
          <w:p>
            <w:pPr>
              <w:spacing w:after="0" w:line="20" w:lineRule="exact"/>
              <w:rPr>
                <w:sz w:val="1"/>
                <w:szCs w:val="1"/>
                <w:color w:val="auto"/>
              </w:rPr>
            </w:pPr>
          </w:p>
        </w:tc>
        <w:tc>
          <w:tcPr>
            <w:tcW w:w="780" w:type="dxa"/>
            <w:vAlign w:val="bottom"/>
            <w:tcBorders>
              <w:top w:val="single" w:sz="8" w:color="DCE2EF"/>
              <w:bottom w:val="single" w:sz="8" w:color="auto"/>
            </w:tcBorders>
          </w:tcPr>
          <w:p>
            <w:pPr>
              <w:spacing w:after="0" w:line="20" w:lineRule="exact"/>
              <w:rPr>
                <w:sz w:val="1"/>
                <w:szCs w:val="1"/>
                <w:color w:val="auto"/>
              </w:rPr>
            </w:pPr>
          </w:p>
        </w:tc>
        <w:tc>
          <w:tcPr>
            <w:tcW w:w="1200" w:type="dxa"/>
            <w:vAlign w:val="bottom"/>
            <w:tcBorders>
              <w:top w:val="single" w:sz="8" w:color="DCE2EF"/>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281"/>
        <w:spacing w:after="0" w:line="256" w:lineRule="auto"/>
        <w:rPr>
          <w:sz w:val="20"/>
          <w:szCs w:val="20"/>
          <w:color w:val="auto"/>
        </w:rPr>
      </w:pPr>
      <w:r>
        <w:rPr>
          <w:rFonts w:ascii="Arial" w:cs="Arial" w:eastAsia="Arial" w:hAnsi="Arial"/>
          <w:sz w:val="18"/>
          <w:szCs w:val="18"/>
          <w:color w:val="auto"/>
        </w:rPr>
        <w:t>We are continuing to evaluate the underlying inputs and assumptions used in our valuations. Accordingly, the final allocation may differ materially from the preliminary allocation. The final allocation may include changes to customer relationships, goodwill, deferred taxes, and other assets and liabilities. Goodwill arising from the Acquisition is not deductible for tax reporting purposes.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4. PRO FORMA TRANSACTION ACCOUNTING ADJUSTMENTS</w:t>
      </w:r>
    </w:p>
    <w:p>
      <w:pPr>
        <w:spacing w:after="0" w:line="274" w:lineRule="exact"/>
        <w:rPr>
          <w:sz w:val="20"/>
          <w:szCs w:val="20"/>
          <w:color w:val="auto"/>
        </w:rPr>
      </w:pPr>
    </w:p>
    <w:p>
      <w:pPr>
        <w:ind w:left="400" w:hanging="392"/>
        <w:spacing w:after="0"/>
        <w:tabs>
          <w:tab w:leader="none" w:pos="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following table summarizes the estimated pro forma adjustments made to cash and cash equivalents:</w:t>
      </w:r>
    </w:p>
    <w:p>
      <w:pPr>
        <w:spacing w:after="0" w:line="132" w:lineRule="exact"/>
        <w:rPr>
          <w:sz w:val="20"/>
          <w:szCs w:val="20"/>
          <w:color w:val="auto"/>
        </w:rPr>
      </w:pPr>
    </w:p>
    <w:tbl>
      <w:tblPr>
        <w:tblLayout w:type="fixed"/>
        <w:tblInd w:w="340" w:type="dxa"/>
        <w:tblCellMar>
          <w:top w:w="0" w:type="dxa"/>
          <w:left w:w="0" w:type="dxa"/>
          <w:bottom w:w="0" w:type="dxa"/>
          <w:right w:w="0" w:type="dxa"/>
        </w:tblCellMar>
      </w:tblPr>
      <w:tr>
        <w:trPr>
          <w:trHeight w:val="168"/>
        </w:trPr>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w w:val="98"/>
              </w:rPr>
              <w:t>(in millions)</w:t>
            </w:r>
          </w:p>
        </w:tc>
        <w:tc>
          <w:tcPr>
            <w:tcW w:w="8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29"/>
        </w:trPr>
        <w:tc>
          <w:tcPr>
            <w:tcW w:w="8960" w:type="dxa"/>
            <w:vAlign w:val="bottom"/>
            <w:gridSpan w:val="2"/>
            <w:shd w:val="clear" w:color="auto" w:fill="DCE2EF"/>
          </w:tcPr>
          <w:p>
            <w:pPr>
              <w:ind w:left="20"/>
              <w:spacing w:after="0"/>
              <w:rPr>
                <w:sz w:val="20"/>
                <w:szCs w:val="20"/>
                <w:color w:val="auto"/>
              </w:rPr>
            </w:pPr>
            <w:r>
              <w:rPr>
                <w:rFonts w:ascii="Arial" w:cs="Arial" w:eastAsia="Arial" w:hAnsi="Arial"/>
                <w:sz w:val="18"/>
                <w:szCs w:val="18"/>
                <w:color w:val="auto"/>
              </w:rPr>
              <w:t>Proceeds from Line of Credit</w:t>
            </w:r>
          </w:p>
        </w:tc>
        <w:tc>
          <w:tcPr>
            <w:tcW w:w="740" w:type="dxa"/>
            <w:vAlign w:val="bottom"/>
            <w:shd w:val="clear" w:color="auto" w:fill="DCE2E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325.0</w:t>
            </w:r>
          </w:p>
        </w:tc>
      </w:tr>
      <w:tr>
        <w:trPr>
          <w:trHeight w:val="230"/>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Net cash consideration to Able owners</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(741.7)</w:t>
            </w:r>
          </w:p>
        </w:tc>
      </w:tr>
      <w:tr>
        <w:trPr>
          <w:trHeight w:val="230"/>
        </w:trPr>
        <w:tc>
          <w:tcPr>
            <w:tcW w:w="8960" w:type="dxa"/>
            <w:vAlign w:val="bottom"/>
            <w:gridSpan w:val="2"/>
            <w:shd w:val="clear" w:color="auto" w:fill="DCE2EF"/>
          </w:tcPr>
          <w:p>
            <w:pPr>
              <w:ind w:left="20"/>
              <w:spacing w:after="0"/>
              <w:rPr>
                <w:sz w:val="20"/>
                <w:szCs w:val="20"/>
                <w:color w:val="auto"/>
              </w:rPr>
            </w:pPr>
            <w:r>
              <w:rPr>
                <w:rFonts w:ascii="Arial" w:cs="Arial" w:eastAsia="Arial" w:hAnsi="Arial"/>
                <w:sz w:val="18"/>
                <w:szCs w:val="18"/>
                <w:color w:val="auto"/>
              </w:rPr>
              <w:t>Preliminary purchase price allocation adjustment</w:t>
            </w:r>
          </w:p>
        </w:tc>
        <w:tc>
          <w:tcPr>
            <w:tcW w:w="7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(73.0)</w:t>
            </w:r>
          </w:p>
        </w:tc>
      </w:tr>
      <w:tr>
        <w:trPr>
          <w:trHeight w:val="223"/>
        </w:trPr>
        <w:tc>
          <w:tcPr>
            <w:tcW w:w="8960" w:type="dxa"/>
            <w:vAlign w:val="bottom"/>
            <w:gridSpan w:val="2"/>
          </w:tcPr>
          <w:p>
            <w:pPr>
              <w:ind w:left="220"/>
              <w:spacing w:after="0"/>
              <w:rPr>
                <w:sz w:val="20"/>
                <w:szCs w:val="20"/>
                <w:color w:val="auto"/>
              </w:rPr>
            </w:pPr>
            <w:r>
              <w:rPr>
                <w:rFonts w:ascii="Arial" w:cs="Arial" w:eastAsia="Arial" w:hAnsi="Arial"/>
                <w:sz w:val="18"/>
                <w:szCs w:val="18"/>
                <w:color w:val="auto"/>
              </w:rPr>
              <w:t>Pro forma adjustment</w:t>
            </w: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(489.7)</w:t>
            </w:r>
          </w:p>
        </w:tc>
      </w:tr>
      <w:tr>
        <w:trPr>
          <w:trHeight w:val="20"/>
        </w:trPr>
        <w:tc>
          <w:tcPr>
            <w:tcW w:w="7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hanging="332"/>
        <w:spacing w:after="0" w:line="261" w:lineRule="auto"/>
        <w:tabs>
          <w:tab w:leader="none" w:pos="481"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Reflects the pro forma adjustment to record right-of-use assets of $2.8 million and related lease liability of $2.9 million, of which $1.4 million is current and $1.5 million is noncurrent, in accordance with ASC Topic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18"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340" w:hanging="332"/>
        <w:spacing w:after="0" w:line="252"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Reflects the pro forma adjustment to remove Able’s historical intangibles of $3.9 million, which consisted of customer contracts and relationships and record intangibles associated with customer relationships of $240.0 million and trade names of $10.0 million associated with the acquisition based on the preliminary purchase price allocation. The fair values of the intangibles were determined using an income approach based on data specific to Able as well as market participant assumptions where appropriate. The customer relationships intangible will be amortized using the sum-of-the-years-digits method over the estimated useful life of 14 years. The trade name intangible will be amortized straight-line over 2 years.</w:t>
      </w:r>
    </w:p>
    <w:p>
      <w:pPr>
        <w:spacing w:after="0" w:line="235" w:lineRule="exact"/>
        <w:rPr>
          <w:rFonts w:ascii="Arial" w:cs="Arial" w:eastAsia="Arial" w:hAnsi="Arial"/>
          <w:sz w:val="18"/>
          <w:szCs w:val="18"/>
          <w:color w:val="auto"/>
        </w:rPr>
      </w:pPr>
    </w:p>
    <w:p>
      <w:pPr>
        <w:ind w:left="400" w:hanging="392"/>
        <w:spacing w:after="0"/>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following table summarizes the estimated pro forma adjustments made to goodwill:</w:t>
      </w:r>
    </w:p>
    <w:p>
      <w:pPr>
        <w:spacing w:after="0" w:line="132" w:lineRule="exact"/>
        <w:rPr>
          <w:sz w:val="20"/>
          <w:szCs w:val="20"/>
          <w:color w:val="auto"/>
        </w:rPr>
      </w:pPr>
    </w:p>
    <w:tbl>
      <w:tblPr>
        <w:tblLayout w:type="fixed"/>
        <w:tblInd w:w="340" w:type="dxa"/>
        <w:tblCellMar>
          <w:top w:w="0" w:type="dxa"/>
          <w:left w:w="0" w:type="dxa"/>
          <w:bottom w:w="0" w:type="dxa"/>
          <w:right w:w="0" w:type="dxa"/>
        </w:tblCellMar>
      </w:tblPr>
      <w:tr>
        <w:trPr>
          <w:trHeight w:val="168"/>
        </w:trPr>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w w:val="98"/>
              </w:rPr>
              <w:t>(in millions)</w:t>
            </w:r>
          </w:p>
        </w:tc>
        <w:tc>
          <w:tcPr>
            <w:tcW w:w="8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29"/>
        </w:trPr>
        <w:tc>
          <w:tcPr>
            <w:tcW w:w="8960" w:type="dxa"/>
            <w:vAlign w:val="bottom"/>
            <w:gridSpan w:val="2"/>
            <w:shd w:val="clear" w:color="auto" w:fill="DCE2EF"/>
          </w:tcPr>
          <w:p>
            <w:pPr>
              <w:ind w:left="20"/>
              <w:spacing w:after="0"/>
              <w:rPr>
                <w:sz w:val="20"/>
                <w:szCs w:val="20"/>
                <w:color w:val="auto"/>
              </w:rPr>
            </w:pPr>
            <w:r>
              <w:rPr>
                <w:rFonts w:ascii="Arial" w:cs="Arial" w:eastAsia="Arial" w:hAnsi="Arial"/>
                <w:sz w:val="18"/>
                <w:szCs w:val="18"/>
                <w:color w:val="auto"/>
              </w:rPr>
              <w:t>Total estimated goodwill</w:t>
            </w:r>
          </w:p>
        </w:tc>
        <w:tc>
          <w:tcPr>
            <w:tcW w:w="780" w:type="dxa"/>
            <w:vAlign w:val="bottom"/>
            <w:shd w:val="clear" w:color="auto" w:fill="DCE2E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538.8</w:t>
            </w:r>
          </w:p>
        </w:tc>
      </w:tr>
      <w:tr>
        <w:trPr>
          <w:trHeight w:val="230"/>
        </w:trPr>
        <w:tc>
          <w:tcPr>
            <w:tcW w:w="8960" w:type="dxa"/>
            <w:vAlign w:val="bottom"/>
            <w:tcBorders>
              <w:bottom w:val="single" w:sz="8" w:color="DCE2EF"/>
            </w:tcBorders>
            <w:gridSpan w:val="2"/>
          </w:tcPr>
          <w:p>
            <w:pPr>
              <w:ind w:left="20"/>
              <w:spacing w:after="0"/>
              <w:rPr>
                <w:sz w:val="20"/>
                <w:szCs w:val="20"/>
                <w:color w:val="auto"/>
              </w:rPr>
            </w:pPr>
            <w:r>
              <w:rPr>
                <w:rFonts w:ascii="Arial" w:cs="Arial" w:eastAsia="Arial" w:hAnsi="Arial"/>
                <w:sz w:val="18"/>
                <w:szCs w:val="18"/>
                <w:color w:val="auto"/>
              </w:rPr>
              <w:t>Less: Able’s historical goodwill</w:t>
            </w:r>
          </w:p>
        </w:tc>
        <w:tc>
          <w:tcPr>
            <w:tcW w:w="7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48"/>
        </w:trPr>
        <w:tc>
          <w:tcPr>
            <w:tcW w:w="8960" w:type="dxa"/>
            <w:vAlign w:val="bottom"/>
            <w:tcBorders>
              <w:bottom w:val="single" w:sz="8" w:color="DCE2EF"/>
            </w:tcBorders>
            <w:gridSpan w:val="2"/>
            <w:shd w:val="clear" w:color="auto" w:fill="DCE2EF"/>
          </w:tcPr>
          <w:p>
            <w:pPr>
              <w:ind w:left="220"/>
              <w:spacing w:after="0"/>
              <w:rPr>
                <w:sz w:val="20"/>
                <w:szCs w:val="20"/>
                <w:color w:val="auto"/>
              </w:rPr>
            </w:pPr>
            <w:r>
              <w:rPr>
                <w:rFonts w:ascii="Arial" w:cs="Arial" w:eastAsia="Arial" w:hAnsi="Arial"/>
                <w:sz w:val="18"/>
                <w:szCs w:val="18"/>
                <w:color w:val="auto"/>
              </w:rPr>
              <w:t>Pro forma adjustment</w:t>
            </w:r>
          </w:p>
        </w:tc>
        <w:tc>
          <w:tcPr>
            <w:tcW w:w="780" w:type="dxa"/>
            <w:vAlign w:val="bottom"/>
            <w:tcBorders>
              <w:bottom w:val="single" w:sz="8" w:color="auto"/>
            </w:tcBorders>
            <w:shd w:val="clear" w:color="auto" w:fill="DCE2E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533.8</w:t>
            </w:r>
          </w:p>
        </w:tc>
      </w:tr>
      <w:tr>
        <w:trPr>
          <w:trHeight w:val="20"/>
        </w:trPr>
        <w:tc>
          <w:tcPr>
            <w:tcW w:w="740" w:type="dxa"/>
            <w:vAlign w:val="bottom"/>
            <w:tcBorders>
              <w:top w:val="single" w:sz="8" w:color="DCE2EF"/>
            </w:tcBorders>
          </w:tcPr>
          <w:p>
            <w:pPr>
              <w:spacing w:after="0" w:line="20" w:lineRule="exact"/>
              <w:rPr>
                <w:sz w:val="1"/>
                <w:szCs w:val="1"/>
                <w:color w:val="auto"/>
              </w:rPr>
            </w:pPr>
          </w:p>
        </w:tc>
        <w:tc>
          <w:tcPr>
            <w:tcW w:w="8220" w:type="dxa"/>
            <w:vAlign w:val="bottom"/>
            <w:tcBorders>
              <w:top w:val="single" w:sz="8" w:color="DCE2EF"/>
            </w:tcBorders>
          </w:tcPr>
          <w:p>
            <w:pPr>
              <w:spacing w:after="0" w:line="20" w:lineRule="exact"/>
              <w:rPr>
                <w:sz w:val="1"/>
                <w:szCs w:val="1"/>
                <w:color w:val="auto"/>
              </w:rPr>
            </w:pPr>
          </w:p>
        </w:tc>
        <w:tc>
          <w:tcPr>
            <w:tcW w:w="780" w:type="dxa"/>
            <w:vAlign w:val="bottom"/>
            <w:tcBorders>
              <w:top w:val="single" w:sz="8" w:color="DCE2EF"/>
              <w:bottom w:val="single" w:sz="8" w:color="auto"/>
            </w:tcBorders>
          </w:tcPr>
          <w:p>
            <w:pPr>
              <w:spacing w:after="0" w:line="20" w:lineRule="exact"/>
              <w:rPr>
                <w:sz w:val="1"/>
                <w:szCs w:val="1"/>
                <w:color w:val="auto"/>
              </w:rPr>
            </w:pPr>
          </w:p>
        </w:tc>
        <w:tc>
          <w:tcPr>
            <w:tcW w:w="1160" w:type="dxa"/>
            <w:vAlign w:val="bottom"/>
            <w:tcBorders>
              <w:top w:val="single" w:sz="8" w:color="DCE2E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00" w:hanging="392"/>
        <w:spacing w:after="0"/>
        <w:tabs>
          <w:tab w:leader="none" w:pos="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 forma adjustment relates to the $325.0 million of borrowings made from the Line of Credit to fund the purchase price.</w:t>
      </w:r>
    </w:p>
    <w:p>
      <w:pPr>
        <w:spacing w:after="0" w:line="252" w:lineRule="exact"/>
        <w:rPr>
          <w:rFonts w:ascii="Arial" w:cs="Arial" w:eastAsia="Arial" w:hAnsi="Arial"/>
          <w:sz w:val="18"/>
          <w:szCs w:val="18"/>
          <w:color w:val="auto"/>
        </w:rPr>
      </w:pPr>
    </w:p>
    <w:p>
      <w:pPr>
        <w:ind w:left="360" w:hanging="352"/>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following table summarizes the pro forma adjustment to other accrued liabilities:</w:t>
      </w:r>
    </w:p>
    <w:p>
      <w:pPr>
        <w:spacing w:after="0" w:line="132" w:lineRule="exact"/>
        <w:rPr>
          <w:sz w:val="20"/>
          <w:szCs w:val="20"/>
          <w:color w:val="auto"/>
        </w:rPr>
      </w:pPr>
    </w:p>
    <w:tbl>
      <w:tblPr>
        <w:tblLayout w:type="fixed"/>
        <w:tblInd w:w="340" w:type="dxa"/>
        <w:tblCellMar>
          <w:top w:w="0" w:type="dxa"/>
          <w:left w:w="0" w:type="dxa"/>
          <w:bottom w:w="0" w:type="dxa"/>
          <w:right w:w="0" w:type="dxa"/>
        </w:tblCellMar>
      </w:tblPr>
      <w:tr>
        <w:trPr>
          <w:trHeight w:val="168"/>
        </w:trPr>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w w:val="98"/>
              </w:rPr>
              <w:t>(in millions)</w:t>
            </w:r>
          </w:p>
        </w:tc>
        <w:tc>
          <w:tcPr>
            <w:tcW w:w="8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29"/>
        </w:trPr>
        <w:tc>
          <w:tcPr>
            <w:tcW w:w="8960" w:type="dxa"/>
            <w:vAlign w:val="bottom"/>
            <w:gridSpan w:val="2"/>
            <w:shd w:val="clear" w:color="auto" w:fill="DCE2EF"/>
          </w:tcPr>
          <w:p>
            <w:pPr>
              <w:ind w:left="20"/>
              <w:spacing w:after="0"/>
              <w:rPr>
                <w:sz w:val="20"/>
                <w:szCs w:val="20"/>
                <w:color w:val="auto"/>
              </w:rPr>
            </w:pPr>
            <w:r>
              <w:rPr>
                <w:rFonts w:ascii="Arial" w:cs="Arial" w:eastAsia="Arial" w:hAnsi="Arial"/>
                <w:sz w:val="18"/>
                <w:szCs w:val="18"/>
                <w:color w:val="auto"/>
              </w:rPr>
              <w:t>Accrue acquisition related transaction costs</w:t>
            </w:r>
          </w:p>
        </w:tc>
        <w:tc>
          <w:tcPr>
            <w:tcW w:w="820" w:type="dxa"/>
            <w:vAlign w:val="bottom"/>
            <w:shd w:val="clear" w:color="auto" w:fill="DCE2EF"/>
          </w:tcPr>
          <w:p>
            <w:pPr>
              <w:jc w:val="right"/>
              <w:ind w:right="6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28.1</w:t>
            </w:r>
          </w:p>
        </w:tc>
      </w:tr>
      <w:tr>
        <w:trPr>
          <w:trHeight w:val="229"/>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 xml:space="preserve">Removal of deferred rent balance with adoption of ASC 842, </w:t>
            </w:r>
            <w:r>
              <w:rPr>
                <w:rFonts w:ascii="Arial" w:cs="Arial" w:eastAsia="Arial" w:hAnsi="Arial"/>
                <w:sz w:val="18"/>
                <w:szCs w:val="18"/>
                <w:i w:val="1"/>
                <w:iCs w:val="1"/>
                <w:color w:val="auto"/>
              </w:rPr>
              <w:t>Leases</w:t>
            </w:r>
          </w:p>
        </w:tc>
        <w:tc>
          <w:tcPr>
            <w:tcW w:w="8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8960" w:type="dxa"/>
            <w:vAlign w:val="bottom"/>
            <w:gridSpan w:val="2"/>
            <w:shd w:val="clear" w:color="auto" w:fill="DCE2EF"/>
          </w:tcPr>
          <w:p>
            <w:pPr>
              <w:ind w:left="20"/>
              <w:spacing w:after="0"/>
              <w:rPr>
                <w:sz w:val="20"/>
                <w:szCs w:val="20"/>
                <w:color w:val="auto"/>
              </w:rPr>
            </w:pPr>
            <w:r>
              <w:rPr>
                <w:rFonts w:ascii="Arial" w:cs="Arial" w:eastAsia="Arial" w:hAnsi="Arial"/>
                <w:sz w:val="18"/>
                <w:szCs w:val="18"/>
                <w:color w:val="auto"/>
              </w:rPr>
              <w:t>Preliminary purchase price allocation adjustment</w:t>
            </w:r>
          </w:p>
        </w:tc>
        <w:tc>
          <w:tcPr>
            <w:tcW w:w="820" w:type="dxa"/>
            <w:vAlign w:val="bottom"/>
            <w:tcBorders>
              <w:bottom w:val="single" w:sz="8" w:color="auto"/>
            </w:tcBorders>
            <w:shd w:val="clear" w:color="auto" w:fill="DCE2EF"/>
          </w:tcPr>
          <w:p>
            <w:pPr>
              <w:spacing w:after="0"/>
              <w:rPr>
                <w:sz w:val="19"/>
                <w:szCs w:val="19"/>
                <w:color w:val="auto"/>
              </w:rPr>
            </w:pPr>
          </w:p>
        </w:tc>
        <w:tc>
          <w:tcPr>
            <w:tcW w:w="1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8960" w:type="dxa"/>
            <w:vAlign w:val="bottom"/>
            <w:gridSpan w:val="2"/>
          </w:tcPr>
          <w:p>
            <w:pPr>
              <w:ind w:left="220"/>
              <w:spacing w:after="0"/>
              <w:rPr>
                <w:sz w:val="20"/>
                <w:szCs w:val="20"/>
                <w:color w:val="auto"/>
              </w:rPr>
            </w:pPr>
            <w:r>
              <w:rPr>
                <w:rFonts w:ascii="Arial" w:cs="Arial" w:eastAsia="Arial" w:hAnsi="Arial"/>
                <w:sz w:val="18"/>
                <w:szCs w:val="18"/>
                <w:color w:val="auto"/>
              </w:rPr>
              <w:t>Pro forma adjustment</w:t>
            </w:r>
          </w:p>
        </w:tc>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r>
      <w:tr>
        <w:trPr>
          <w:trHeight w:val="21"/>
        </w:trPr>
        <w:tc>
          <w:tcPr>
            <w:tcW w:w="7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hanging="332"/>
        <w:spacing w:after="0" w:line="261" w:lineRule="auto"/>
        <w:tabs>
          <w:tab w:leader="none" w:pos="5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following table summarizes the estimated pro forma adjustments made to deferred income taxes, net and deferred income tax liability, net:</w:t>
      </w:r>
    </w:p>
    <w:p>
      <w:pPr>
        <w:spacing w:after="0" w:line="267" w:lineRule="exact"/>
        <w:rPr>
          <w:sz w:val="20"/>
          <w:szCs w:val="20"/>
          <w:color w:val="auto"/>
        </w:rPr>
      </w:pPr>
    </w:p>
    <w:tbl>
      <w:tblPr>
        <w:tblLayout w:type="fixed"/>
        <w:tblInd w:w="340" w:type="dxa"/>
        <w:tblCellMar>
          <w:top w:w="0" w:type="dxa"/>
          <w:left w:w="0" w:type="dxa"/>
          <w:bottom w:w="0" w:type="dxa"/>
          <w:right w:w="0" w:type="dxa"/>
        </w:tblCellMar>
      </w:tblPr>
      <w:tr>
        <w:trPr>
          <w:trHeight w:val="168"/>
        </w:trPr>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w w:val="98"/>
              </w:rPr>
              <w:t>(in millions)</w:t>
            </w:r>
          </w:p>
        </w:tc>
        <w:tc>
          <w:tcPr>
            <w:tcW w:w="8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30"/>
        </w:trPr>
        <w:tc>
          <w:tcPr>
            <w:tcW w:w="8960" w:type="dxa"/>
            <w:vAlign w:val="bottom"/>
            <w:gridSpan w:val="2"/>
            <w:shd w:val="clear" w:color="auto" w:fill="DCE2EF"/>
          </w:tcPr>
          <w:p>
            <w:pPr>
              <w:ind w:left="20"/>
              <w:spacing w:after="0"/>
              <w:rPr>
                <w:sz w:val="20"/>
                <w:szCs w:val="20"/>
                <w:color w:val="auto"/>
              </w:rPr>
            </w:pPr>
            <w:r>
              <w:rPr>
                <w:rFonts w:ascii="Arial" w:cs="Arial" w:eastAsia="Arial" w:hAnsi="Arial"/>
                <w:sz w:val="18"/>
                <w:szCs w:val="18"/>
                <w:color w:val="auto"/>
              </w:rPr>
              <w:t>Establish pre-purchase accounting net deferred tax assets for Able as a C corporation</w:t>
            </w:r>
          </w:p>
        </w:tc>
        <w:tc>
          <w:tcPr>
            <w:tcW w:w="740" w:type="dxa"/>
            <w:vAlign w:val="bottom"/>
            <w:shd w:val="clear" w:color="auto" w:fill="DCE2E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34.9</w:t>
            </w:r>
          </w:p>
        </w:tc>
      </w:tr>
      <w:tr>
        <w:trPr>
          <w:trHeight w:val="230"/>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Incremental deferred tax liability for preliminary purchase price allocation adjustment</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(100.1)</w:t>
            </w:r>
          </w:p>
        </w:tc>
      </w:tr>
      <w:tr>
        <w:trPr>
          <w:trHeight w:val="230"/>
        </w:trPr>
        <w:tc>
          <w:tcPr>
            <w:tcW w:w="8960" w:type="dxa"/>
            <w:vAlign w:val="bottom"/>
            <w:gridSpan w:val="2"/>
            <w:shd w:val="clear" w:color="auto" w:fill="DCE2EF"/>
          </w:tcPr>
          <w:p>
            <w:pPr>
              <w:ind w:left="20"/>
              <w:spacing w:after="0"/>
              <w:rPr>
                <w:sz w:val="20"/>
                <w:szCs w:val="20"/>
                <w:color w:val="auto"/>
              </w:rPr>
            </w:pPr>
            <w:r>
              <w:rPr>
                <w:rFonts w:ascii="Arial" w:cs="Arial" w:eastAsia="Arial" w:hAnsi="Arial"/>
                <w:sz w:val="18"/>
                <w:szCs w:val="18"/>
                <w:color w:val="auto"/>
              </w:rPr>
              <w:t>Reclass deferred income taxes, net to deferred income tax liability, net</w:t>
            </w:r>
          </w:p>
        </w:tc>
        <w:tc>
          <w:tcPr>
            <w:tcW w:w="740" w:type="dxa"/>
            <w:vAlign w:val="bottom"/>
            <w:tcBorders>
              <w:bottom w:val="single" w:sz="8" w:color="auto"/>
            </w:tcBorders>
            <w:shd w:val="clear" w:color="auto" w:fill="DCE2EF"/>
          </w:tcPr>
          <w:p>
            <w:pPr>
              <w:spacing w:after="0"/>
              <w:rPr>
                <w:sz w:val="19"/>
                <w:szCs w:val="19"/>
                <w:color w:val="auto"/>
              </w:rPr>
            </w:pP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27.0</w:t>
            </w:r>
          </w:p>
        </w:tc>
      </w:tr>
      <w:tr>
        <w:trPr>
          <w:trHeight w:val="223"/>
        </w:trPr>
        <w:tc>
          <w:tcPr>
            <w:tcW w:w="8960" w:type="dxa"/>
            <w:vAlign w:val="bottom"/>
            <w:gridSpan w:val="2"/>
          </w:tcPr>
          <w:p>
            <w:pPr>
              <w:ind w:left="120"/>
              <w:spacing w:after="0"/>
              <w:rPr>
                <w:sz w:val="20"/>
                <w:szCs w:val="20"/>
                <w:color w:val="auto"/>
              </w:rPr>
            </w:pPr>
            <w:r>
              <w:rPr>
                <w:rFonts w:ascii="Arial" w:cs="Arial" w:eastAsia="Arial" w:hAnsi="Arial"/>
                <w:sz w:val="18"/>
                <w:szCs w:val="18"/>
                <w:color w:val="auto"/>
              </w:rPr>
              <w:t>Pro forma adjustment to deferred income taxes, net</w:t>
            </w: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r>
      <w:tr>
        <w:trPr>
          <w:trHeight w:val="20"/>
        </w:trPr>
        <w:tc>
          <w:tcPr>
            <w:tcW w:w="740" w:type="dxa"/>
            <w:vAlign w:val="bottom"/>
            <w:tcBorders>
              <w:bottom w:val="single" w:sz="8" w:color="DCE2EF"/>
            </w:tcBorders>
          </w:tcPr>
          <w:p>
            <w:pPr>
              <w:spacing w:after="0" w:line="20" w:lineRule="exact"/>
              <w:rPr>
                <w:sz w:val="1"/>
                <w:szCs w:val="1"/>
                <w:color w:val="auto"/>
              </w:rPr>
            </w:pPr>
          </w:p>
        </w:tc>
        <w:tc>
          <w:tcPr>
            <w:tcW w:w="8220" w:type="dxa"/>
            <w:vAlign w:val="bottom"/>
            <w:tcBorders>
              <w:bottom w:val="single" w:sz="8" w:color="DCE2E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740" w:type="dxa"/>
            <w:vAlign w:val="bottom"/>
            <w:shd w:val="clear" w:color="auto" w:fill="DCE2EF"/>
          </w:tcPr>
          <w:p>
            <w:pPr>
              <w:spacing w:after="0"/>
              <w:rPr>
                <w:sz w:val="20"/>
                <w:szCs w:val="20"/>
                <w:color w:val="auto"/>
              </w:rPr>
            </w:pPr>
          </w:p>
        </w:tc>
        <w:tc>
          <w:tcPr>
            <w:tcW w:w="8220" w:type="dxa"/>
            <w:vAlign w:val="bottom"/>
            <w:shd w:val="clear" w:color="auto" w:fill="DCE2EF"/>
          </w:tcPr>
          <w:p>
            <w:pPr>
              <w:spacing w:after="0"/>
              <w:rPr>
                <w:sz w:val="20"/>
                <w:szCs w:val="20"/>
                <w:color w:val="auto"/>
              </w:rPr>
            </w:pPr>
          </w:p>
        </w:tc>
        <w:tc>
          <w:tcPr>
            <w:tcW w:w="740" w:type="dxa"/>
            <w:vAlign w:val="bottom"/>
            <w:shd w:val="clear" w:color="auto" w:fill="DCE2EF"/>
          </w:tcPr>
          <w:p>
            <w:pPr>
              <w:spacing w:after="0"/>
              <w:rPr>
                <w:sz w:val="20"/>
                <w:szCs w:val="20"/>
                <w:color w:val="auto"/>
              </w:rPr>
            </w:pPr>
          </w:p>
        </w:tc>
        <w:tc>
          <w:tcPr>
            <w:tcW w:w="1200" w:type="dxa"/>
            <w:vAlign w:val="bottom"/>
            <w:shd w:val="clear" w:color="auto" w:fill="DCE2EF"/>
          </w:tcPr>
          <w:p>
            <w:pPr>
              <w:spacing w:after="0"/>
              <w:rPr>
                <w:sz w:val="20"/>
                <w:szCs w:val="20"/>
                <w:color w:val="auto"/>
              </w:rPr>
            </w:pPr>
          </w:p>
        </w:tc>
      </w:tr>
      <w:tr>
        <w:trPr>
          <w:trHeight w:val="229"/>
        </w:trPr>
        <w:tc>
          <w:tcPr>
            <w:tcW w:w="8960" w:type="dxa"/>
            <w:vAlign w:val="bottom"/>
            <w:tcBorders>
              <w:bottom w:val="single" w:sz="8" w:color="DCE2EF"/>
            </w:tcBorders>
            <w:gridSpan w:val="2"/>
          </w:tcPr>
          <w:p>
            <w:pPr>
              <w:ind w:left="20"/>
              <w:spacing w:after="0"/>
              <w:rPr>
                <w:sz w:val="20"/>
                <w:szCs w:val="20"/>
                <w:color w:val="auto"/>
              </w:rPr>
            </w:pPr>
            <w:r>
              <w:rPr>
                <w:rFonts w:ascii="Arial" w:cs="Arial" w:eastAsia="Arial" w:hAnsi="Arial"/>
                <w:sz w:val="18"/>
                <w:szCs w:val="18"/>
                <w:color w:val="auto"/>
              </w:rPr>
              <w:t>Reclass deferred income taxes, net to deferred income tax liability, net</w:t>
            </w: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r>
      <w:tr>
        <w:trPr>
          <w:trHeight w:val="248"/>
        </w:trPr>
        <w:tc>
          <w:tcPr>
            <w:tcW w:w="8960" w:type="dxa"/>
            <w:vAlign w:val="bottom"/>
            <w:tcBorders>
              <w:bottom w:val="single" w:sz="8" w:color="DCE2EF"/>
            </w:tcBorders>
            <w:gridSpan w:val="2"/>
            <w:shd w:val="clear" w:color="auto" w:fill="DCE2EF"/>
          </w:tcPr>
          <w:p>
            <w:pPr>
              <w:ind w:left="120"/>
              <w:spacing w:after="0"/>
              <w:rPr>
                <w:sz w:val="20"/>
                <w:szCs w:val="20"/>
                <w:color w:val="auto"/>
              </w:rPr>
            </w:pPr>
            <w:r>
              <w:rPr>
                <w:rFonts w:ascii="Arial" w:cs="Arial" w:eastAsia="Arial" w:hAnsi="Arial"/>
                <w:sz w:val="18"/>
                <w:szCs w:val="18"/>
                <w:color w:val="auto"/>
              </w:rPr>
              <w:t>Pro forma adjustment to deferred income tax liability, net</w:t>
            </w:r>
          </w:p>
        </w:tc>
        <w:tc>
          <w:tcPr>
            <w:tcW w:w="740" w:type="dxa"/>
            <w:vAlign w:val="bottom"/>
            <w:tcBorders>
              <w:bottom w:val="single" w:sz="8" w:color="auto"/>
            </w:tcBorders>
            <w:shd w:val="clear" w:color="auto" w:fill="DCE2E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27.0</w:t>
            </w:r>
          </w:p>
        </w:tc>
      </w:tr>
      <w:tr>
        <w:trPr>
          <w:trHeight w:val="20"/>
        </w:trPr>
        <w:tc>
          <w:tcPr>
            <w:tcW w:w="740" w:type="dxa"/>
            <w:vAlign w:val="bottom"/>
            <w:tcBorders>
              <w:top w:val="single" w:sz="8" w:color="DCE2EF"/>
            </w:tcBorders>
          </w:tcPr>
          <w:p>
            <w:pPr>
              <w:spacing w:after="0" w:line="20" w:lineRule="exact"/>
              <w:rPr>
                <w:sz w:val="1"/>
                <w:szCs w:val="1"/>
                <w:color w:val="auto"/>
              </w:rPr>
            </w:pPr>
          </w:p>
        </w:tc>
        <w:tc>
          <w:tcPr>
            <w:tcW w:w="8220" w:type="dxa"/>
            <w:vAlign w:val="bottom"/>
            <w:tcBorders>
              <w:top w:val="single" w:sz="8" w:color="DCE2EF"/>
            </w:tcBorders>
          </w:tcPr>
          <w:p>
            <w:pPr>
              <w:spacing w:after="0" w:line="20" w:lineRule="exact"/>
              <w:rPr>
                <w:sz w:val="1"/>
                <w:szCs w:val="1"/>
                <w:color w:val="auto"/>
              </w:rPr>
            </w:pPr>
          </w:p>
        </w:tc>
        <w:tc>
          <w:tcPr>
            <w:tcW w:w="740" w:type="dxa"/>
            <w:vAlign w:val="bottom"/>
            <w:tcBorders>
              <w:top w:val="single" w:sz="8" w:color="DCE2EF"/>
              <w:bottom w:val="single" w:sz="8" w:color="auto"/>
            </w:tcBorders>
          </w:tcPr>
          <w:p>
            <w:pPr>
              <w:spacing w:after="0" w:line="20" w:lineRule="exact"/>
              <w:rPr>
                <w:sz w:val="1"/>
                <w:szCs w:val="1"/>
                <w:color w:val="auto"/>
              </w:rPr>
            </w:pPr>
          </w:p>
        </w:tc>
        <w:tc>
          <w:tcPr>
            <w:tcW w:w="1200" w:type="dxa"/>
            <w:vAlign w:val="bottom"/>
            <w:tcBorders>
              <w:top w:val="single" w:sz="8" w:color="DCE2E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both"/>
        <w:ind w:left="340" w:hanging="332"/>
        <w:spacing w:after="0" w:line="256" w:lineRule="auto"/>
        <w:tabs>
          <w:tab w:leader="none" w:pos="41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Reflects the pro forma adjustment to adjust noncurrent insurance claims reserves based on preliminary actuarial results. The actuarial results are based on loss development patterns, trend assumptions, and underlying expected loss costs for our retained insurable risks, including worker’s compensation, general liability, automobile liability, property damage, and other insurable risks.</w:t>
      </w:r>
    </w:p>
    <w:p>
      <w:pPr>
        <w:spacing w:after="0" w:line="80" w:lineRule="exact"/>
        <w:rPr>
          <w:rFonts w:ascii="Arial" w:cs="Arial" w:eastAsia="Arial" w:hAnsi="Arial"/>
          <w:sz w:val="18"/>
          <w:szCs w:val="18"/>
          <w:color w:val="auto"/>
        </w:rPr>
      </w:pPr>
    </w:p>
    <w:p>
      <w:pPr>
        <w:ind w:left="300" w:hanging="292"/>
        <w:spacing w:after="0"/>
        <w:tabs>
          <w:tab w:leader="none" w:pos="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Reflects the pro forma adjustment to remove Able’s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18"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0" w:hanging="332"/>
        <w:spacing w:after="0"/>
        <w:tabs>
          <w:tab w:leader="none" w:pos="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following table summarizes the pro forma adjustments to retained earnings:</w:t>
      </w:r>
    </w:p>
    <w:p>
      <w:pPr>
        <w:spacing w:after="0" w:line="132" w:lineRule="exact"/>
        <w:rPr>
          <w:sz w:val="20"/>
          <w:szCs w:val="20"/>
          <w:color w:val="auto"/>
        </w:rPr>
      </w:pPr>
    </w:p>
    <w:tbl>
      <w:tblPr>
        <w:tblLayout w:type="fixed"/>
        <w:tblInd w:w="400" w:type="dxa"/>
        <w:tblCellMar>
          <w:top w:w="0" w:type="dxa"/>
          <w:left w:w="0" w:type="dxa"/>
          <w:bottom w:w="0" w:type="dxa"/>
          <w:right w:w="0" w:type="dxa"/>
        </w:tblCellMar>
      </w:tblPr>
      <w:tr>
        <w:trPr>
          <w:trHeight w:val="168"/>
        </w:trPr>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w w:val="98"/>
              </w:rPr>
              <w:t>(in millions)</w:t>
            </w:r>
          </w:p>
        </w:tc>
        <w:tc>
          <w:tcPr>
            <w:tcW w:w="8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30"/>
        </w:trPr>
        <w:tc>
          <w:tcPr>
            <w:tcW w:w="8960" w:type="dxa"/>
            <w:vAlign w:val="bottom"/>
            <w:gridSpan w:val="2"/>
            <w:shd w:val="clear" w:color="auto" w:fill="DCE2EF"/>
          </w:tcPr>
          <w:p>
            <w:pPr>
              <w:ind w:left="20"/>
              <w:spacing w:after="0"/>
              <w:rPr>
                <w:sz w:val="20"/>
                <w:szCs w:val="20"/>
                <w:color w:val="auto"/>
              </w:rPr>
            </w:pPr>
            <w:r>
              <w:rPr>
                <w:rFonts w:ascii="Arial" w:cs="Arial" w:eastAsia="Arial" w:hAnsi="Arial"/>
                <w:sz w:val="18"/>
                <w:szCs w:val="18"/>
                <w:color w:val="auto"/>
              </w:rPr>
              <w:t>Effect of pro forma acquisition related transaction costs</w:t>
            </w:r>
          </w:p>
        </w:tc>
        <w:tc>
          <w:tcPr>
            <w:tcW w:w="780" w:type="dxa"/>
            <w:vAlign w:val="bottom"/>
            <w:shd w:val="clear" w:color="auto" w:fill="DCE2E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(28.1)</w:t>
            </w:r>
          </w:p>
        </w:tc>
      </w:tr>
      <w:tr>
        <w:trPr>
          <w:trHeight w:val="229"/>
        </w:trPr>
        <w:tc>
          <w:tcPr>
            <w:tcW w:w="8960" w:type="dxa"/>
            <w:vAlign w:val="bottom"/>
            <w:tcBorders>
              <w:bottom w:val="single" w:sz="8" w:color="DCE2EF"/>
            </w:tcBorders>
            <w:gridSpan w:val="2"/>
          </w:tcPr>
          <w:p>
            <w:pPr>
              <w:ind w:left="20"/>
              <w:spacing w:after="0"/>
              <w:rPr>
                <w:sz w:val="20"/>
                <w:szCs w:val="20"/>
                <w:color w:val="auto"/>
              </w:rPr>
            </w:pPr>
            <w:r>
              <w:rPr>
                <w:rFonts w:ascii="Arial" w:cs="Arial" w:eastAsia="Arial" w:hAnsi="Arial"/>
                <w:sz w:val="18"/>
                <w:szCs w:val="18"/>
                <w:color w:val="auto"/>
              </w:rPr>
              <w:t>Eliminate Able’s historical retained earnings</w:t>
            </w:r>
          </w:p>
        </w:tc>
        <w:tc>
          <w:tcPr>
            <w:tcW w:w="7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r>
      <w:tr>
        <w:trPr>
          <w:trHeight w:val="248"/>
        </w:trPr>
        <w:tc>
          <w:tcPr>
            <w:tcW w:w="8960" w:type="dxa"/>
            <w:vAlign w:val="bottom"/>
            <w:tcBorders>
              <w:bottom w:val="single" w:sz="8" w:color="DCE2EF"/>
            </w:tcBorders>
            <w:gridSpan w:val="2"/>
            <w:shd w:val="clear" w:color="auto" w:fill="DCE2EF"/>
          </w:tcPr>
          <w:p>
            <w:pPr>
              <w:ind w:left="220"/>
              <w:spacing w:after="0"/>
              <w:rPr>
                <w:sz w:val="20"/>
                <w:szCs w:val="20"/>
                <w:color w:val="auto"/>
              </w:rPr>
            </w:pPr>
            <w:r>
              <w:rPr>
                <w:rFonts w:ascii="Arial" w:cs="Arial" w:eastAsia="Arial" w:hAnsi="Arial"/>
                <w:sz w:val="18"/>
                <w:szCs w:val="18"/>
                <w:color w:val="auto"/>
              </w:rPr>
              <w:t>Pro forma adjustment</w:t>
            </w:r>
          </w:p>
        </w:tc>
        <w:tc>
          <w:tcPr>
            <w:tcW w:w="780" w:type="dxa"/>
            <w:vAlign w:val="bottom"/>
            <w:tcBorders>
              <w:bottom w:val="single" w:sz="8" w:color="auto"/>
            </w:tcBorders>
            <w:shd w:val="clear" w:color="auto" w:fill="DCE2E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(79.0)</w:t>
            </w:r>
          </w:p>
        </w:tc>
      </w:tr>
      <w:tr>
        <w:trPr>
          <w:trHeight w:val="20"/>
        </w:trPr>
        <w:tc>
          <w:tcPr>
            <w:tcW w:w="740" w:type="dxa"/>
            <w:vAlign w:val="bottom"/>
            <w:tcBorders>
              <w:top w:val="single" w:sz="8" w:color="DCE2EF"/>
            </w:tcBorders>
          </w:tcPr>
          <w:p>
            <w:pPr>
              <w:spacing w:after="0" w:line="20" w:lineRule="exact"/>
              <w:rPr>
                <w:sz w:val="1"/>
                <w:szCs w:val="1"/>
                <w:color w:val="auto"/>
              </w:rPr>
            </w:pPr>
          </w:p>
        </w:tc>
        <w:tc>
          <w:tcPr>
            <w:tcW w:w="8220" w:type="dxa"/>
            <w:vAlign w:val="bottom"/>
            <w:tcBorders>
              <w:top w:val="single" w:sz="8" w:color="DCE2EF"/>
            </w:tcBorders>
          </w:tcPr>
          <w:p>
            <w:pPr>
              <w:spacing w:after="0" w:line="20" w:lineRule="exact"/>
              <w:rPr>
                <w:sz w:val="1"/>
                <w:szCs w:val="1"/>
                <w:color w:val="auto"/>
              </w:rPr>
            </w:pPr>
          </w:p>
        </w:tc>
        <w:tc>
          <w:tcPr>
            <w:tcW w:w="780" w:type="dxa"/>
            <w:vAlign w:val="bottom"/>
            <w:tcBorders>
              <w:top w:val="single" w:sz="8" w:color="DCE2EF"/>
              <w:bottom w:val="single" w:sz="8" w:color="auto"/>
            </w:tcBorders>
          </w:tcPr>
          <w:p>
            <w:pPr>
              <w:spacing w:after="0" w:line="20" w:lineRule="exact"/>
              <w:rPr>
                <w:sz w:val="1"/>
                <w:szCs w:val="1"/>
                <w:color w:val="auto"/>
              </w:rPr>
            </w:pPr>
          </w:p>
        </w:tc>
        <w:tc>
          <w:tcPr>
            <w:tcW w:w="1160" w:type="dxa"/>
            <w:vAlign w:val="bottom"/>
            <w:tcBorders>
              <w:top w:val="single" w:sz="8" w:color="DCE2E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400" w:hanging="332"/>
        <w:spacing w:after="0"/>
        <w:tabs>
          <w:tab w:leader="none" w:pos="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adjustments in accordance with preliminary purchase allocation discussed in Note 3.</w:t>
      </w:r>
    </w:p>
    <w:p>
      <w:pPr>
        <w:spacing w:after="0" w:line="252" w:lineRule="exact"/>
        <w:rPr>
          <w:rFonts w:ascii="Arial" w:cs="Arial" w:eastAsia="Arial" w:hAnsi="Arial"/>
          <w:sz w:val="18"/>
          <w:szCs w:val="18"/>
          <w:color w:val="auto"/>
        </w:rPr>
      </w:pPr>
    </w:p>
    <w:p>
      <w:pPr>
        <w:ind w:left="400" w:hanging="332"/>
        <w:spacing w:after="0"/>
        <w:tabs>
          <w:tab w:leader="none" w:pos="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following table summarizes the pro forma adjustments to selling, general and administrative expenses:</w:t>
      </w:r>
    </w:p>
    <w:p>
      <w:pPr>
        <w:sectPr>
          <w:pgSz w:w="11900" w:h="16838" w:orient="portrait"/>
          <w:cols w:equalWidth="0" w:num="1">
            <w:col w:w="11300"/>
          </w:cols>
          <w:pgMar w:left="26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20"/>
        <w:spacing w:after="0"/>
        <w:rPr>
          <w:sz w:val="20"/>
          <w:szCs w:val="20"/>
          <w:color w:val="auto"/>
        </w:rPr>
      </w:pPr>
      <w:r>
        <w:rPr>
          <w:rFonts w:ascii="Arial" w:cs="Arial" w:eastAsia="Arial" w:hAnsi="Arial"/>
          <w:sz w:val="14"/>
          <w:szCs w:val="14"/>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15240</wp:posOffset>
            </wp:positionV>
            <wp:extent cx="692658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26580" cy="154305"/>
                    </a:xfrm>
                    <a:prstGeom prst="rect">
                      <a:avLst/>
                    </a:prstGeom>
                    <a:noFill/>
                  </pic:spPr>
                </pic:pic>
              </a:graphicData>
            </a:graphic>
          </wp:anchor>
        </w:drawing>
      </w:r>
    </w:p>
    <w:p>
      <w:pPr>
        <w:spacing w:after="0" w:line="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Reversal of acquisition related transaction costs incurred</w:t>
      </w:r>
    </w:p>
    <w:p>
      <w:pPr>
        <w:ind w:left="420"/>
        <w:spacing w:after="0"/>
        <w:rPr>
          <w:sz w:val="20"/>
          <w:szCs w:val="20"/>
          <w:color w:val="auto"/>
        </w:rPr>
      </w:pPr>
      <w:r>
        <w:rPr>
          <w:rFonts w:ascii="Arial" w:cs="Arial" w:eastAsia="Arial" w:hAnsi="Arial"/>
          <w:sz w:val="17"/>
          <w:szCs w:val="17"/>
          <w:color w:val="auto"/>
        </w:rPr>
        <w:t>Remove depreciation expense on building and improvements not acquired</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-8255</wp:posOffset>
            </wp:positionV>
            <wp:extent cx="692658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145415"/>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Lease expense on land and building and improvements not acquired</w:t>
      </w:r>
      <w:r>
        <w:rPr>
          <w:rFonts w:ascii="Arial" w:cs="Arial" w:eastAsia="Arial" w:hAnsi="Arial"/>
          <w:sz w:val="23"/>
          <w:szCs w:val="23"/>
          <w:color w:val="auto"/>
          <w:vertAlign w:val="superscript"/>
        </w:rPr>
        <w:t>(1)</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Pro forma adjustment</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general and administrative</w:t>
      </w:r>
    </w:p>
    <w:p>
      <w:pPr>
        <w:jc w:val="center"/>
        <w:spacing w:after="0"/>
        <w:rPr>
          <w:sz w:val="20"/>
          <w:szCs w:val="20"/>
          <w:color w:val="auto"/>
        </w:rPr>
      </w:pPr>
      <w:r>
        <w:rPr>
          <w:rFonts w:ascii="Arial" w:cs="Arial" w:eastAsia="Arial" w:hAnsi="Arial"/>
          <w:sz w:val="18"/>
          <w:szCs w:val="18"/>
          <w:b w:val="1"/>
          <w:bCs w:val="1"/>
          <w:color w:val="auto"/>
        </w:rPr>
        <w:t>expenses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6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9"/>
              </w:rPr>
              <w:t>Twelve Months</w:t>
            </w:r>
          </w:p>
        </w:tc>
        <w:tc>
          <w:tcPr>
            <w:tcW w:w="188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80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rPr>
              <w:t>Ended</w:t>
            </w:r>
          </w:p>
        </w:tc>
        <w:tc>
          <w:tcPr>
            <w:tcW w:w="1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October 31, 2020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rPr>
              <w:t>July 31, 2021</w:t>
            </w:r>
          </w:p>
        </w:tc>
        <w:tc>
          <w:tcPr>
            <w:tcW w:w="0" w:type="dxa"/>
            <w:vAlign w:val="bottom"/>
          </w:tcPr>
          <w:p>
            <w:pPr>
              <w:spacing w:after="0"/>
              <w:rPr>
                <w:sz w:val="1"/>
                <w:szCs w:val="1"/>
                <w:color w:val="auto"/>
              </w:rPr>
            </w:pPr>
          </w:p>
        </w:tc>
      </w:tr>
      <w:tr>
        <w:trPr>
          <w:trHeight w:val="223"/>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center"/>
              <w:ind w:left="11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center"/>
              <w:ind w:left="11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left="1130"/>
              <w:spacing w:after="0"/>
              <w:rPr>
                <w:sz w:val="20"/>
                <w:szCs w:val="20"/>
                <w:color w:val="auto"/>
              </w:rPr>
            </w:pPr>
            <w:r>
              <w:rPr>
                <w:rFonts w:ascii="Arial" w:cs="Arial" w:eastAsia="Arial" w:hAnsi="Arial"/>
                <w:sz w:val="18"/>
                <w:szCs w:val="18"/>
                <w:color w:val="auto"/>
                <w:w w:val="95"/>
              </w:rPr>
              <w:t>0.4</w:t>
            </w:r>
          </w:p>
        </w:tc>
        <w:tc>
          <w:tcPr>
            <w:tcW w:w="0" w:type="dxa"/>
            <w:vAlign w:val="bottom"/>
          </w:tcPr>
          <w:p>
            <w:pPr>
              <w:spacing w:after="0"/>
              <w:rPr>
                <w:sz w:val="1"/>
                <w:szCs w:val="1"/>
                <w:color w:val="auto"/>
              </w:rPr>
            </w:pPr>
          </w:p>
        </w:tc>
      </w:tr>
      <w:tr>
        <w:trPr>
          <w:trHeight w:val="22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center"/>
              <w:ind w:left="11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740" w:space="720"/>
            <w:col w:w="3840"/>
          </w:cols>
          <w:pgMar w:left="260" w:top="118" w:right="339" w:bottom="1440" w:gutter="0" w:footer="0" w:header="0"/>
          <w:type w:val="continuous"/>
        </w:sectPr>
      </w:pPr>
    </w:p>
    <w:p>
      <w:pPr>
        <w:spacing w:after="0" w:line="139" w:lineRule="exact"/>
        <w:rPr>
          <w:sz w:val="20"/>
          <w:szCs w:val="20"/>
          <w:color w:val="auto"/>
        </w:rPr>
      </w:pPr>
    </w:p>
    <w:p>
      <w:pPr>
        <w:jc w:val="both"/>
        <w:ind w:left="400" w:hanging="170"/>
        <w:spacing w:after="0" w:line="231" w:lineRule="auto"/>
        <w:tabs>
          <w:tab w:leader="none" w:pos="416" w:val="left"/>
        </w:tabs>
        <w:numPr>
          <w:ilvl w:val="1"/>
          <w:numId w:val="35"/>
        </w:numPr>
        <w:rPr>
          <w:rFonts w:ascii="Arial" w:cs="Arial" w:eastAsia="Arial" w:hAnsi="Arial"/>
          <w:sz w:val="21"/>
          <w:szCs w:val="21"/>
          <w:color w:val="auto"/>
          <w:vertAlign w:val="superscript"/>
        </w:rPr>
      </w:pPr>
      <w:r>
        <w:rPr>
          <w:rFonts w:ascii="Arial" w:cs="Arial" w:eastAsia="Arial" w:hAnsi="Arial"/>
          <w:sz w:val="16"/>
          <w:szCs w:val="16"/>
          <w:color w:val="auto"/>
        </w:rPr>
        <w:t>Land and building and improvements with a net book value of $3.3 million at June 30, 2021 were retained by Able’s previous owners and leased to the Company on the date of the Acquisition</w:t>
      </w:r>
      <w:r>
        <w:rPr>
          <w:rFonts w:ascii="Arial" w:cs="Arial" w:eastAsia="Arial" w:hAnsi="Arial"/>
          <w:sz w:val="17"/>
          <w:szCs w:val="17"/>
          <w:color w:val="auto"/>
        </w:rPr>
        <w:t>.</w:t>
      </w:r>
      <w:r>
        <w:rPr>
          <w:rFonts w:ascii="Arial" w:cs="Arial" w:eastAsia="Arial" w:hAnsi="Arial"/>
          <w:sz w:val="16"/>
          <w:szCs w:val="16"/>
          <w:color w:val="auto"/>
        </w:rPr>
        <w:t xml:space="preserve"> The removal of the land and building and improvements at the date of Acquisition is reflected in the adjustment at Note 4(k).</w:t>
      </w:r>
    </w:p>
    <w:p>
      <w:pPr>
        <w:spacing w:after="0" w:line="236" w:lineRule="exact"/>
        <w:rPr>
          <w:rFonts w:ascii="Arial" w:cs="Arial" w:eastAsia="Arial" w:hAnsi="Arial"/>
          <w:sz w:val="21"/>
          <w:szCs w:val="21"/>
          <w:color w:val="auto"/>
          <w:vertAlign w:val="superscript"/>
        </w:rPr>
      </w:pPr>
    </w:p>
    <w:p>
      <w:pPr>
        <w:ind w:left="460" w:hanging="39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following table summarizes the estimated pro forma adjustments made to amortization expense: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Amortization of intangible assets</w:t>
            </w:r>
          </w:p>
        </w:tc>
      </w:tr>
      <w:tr>
        <w:trPr>
          <w:trHeight w:val="169"/>
        </w:trPr>
        <w:tc>
          <w:tcPr>
            <w:tcW w:w="7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0" w:type="dxa"/>
            <w:vAlign w:val="bottom"/>
            <w:gridSpan w:val="8"/>
          </w:tcPr>
          <w:p>
            <w:pPr>
              <w:jc w:val="right"/>
              <w:spacing w:after="0" w:line="169" w:lineRule="exact"/>
              <w:rPr>
                <w:sz w:val="20"/>
                <w:szCs w:val="20"/>
                <w:color w:val="auto"/>
              </w:rPr>
            </w:pPr>
            <w:r>
              <w:rPr>
                <w:rFonts w:ascii="Arial" w:cs="Arial" w:eastAsia="Arial" w:hAnsi="Arial"/>
                <w:sz w:val="18"/>
                <w:szCs w:val="18"/>
                <w:b w:val="1"/>
                <w:bCs w:val="1"/>
                <w:color w:val="auto"/>
              </w:rPr>
              <w:t>Estimated Fair  Estimated Useful Twelve Months EndedNine Months Ended</w:t>
            </w:r>
          </w:p>
        </w:tc>
      </w:tr>
      <w:tr>
        <w:trPr>
          <w:trHeight w:val="203"/>
        </w:trPr>
        <w:tc>
          <w:tcPr>
            <w:tcW w:w="400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ind w:left="460"/>
              <w:spacing w:after="0" w:line="202" w:lineRule="exact"/>
              <w:rPr>
                <w:sz w:val="20"/>
                <w:szCs w:val="20"/>
                <w:color w:val="auto"/>
              </w:rPr>
            </w:pPr>
            <w:r>
              <w:rPr>
                <w:rFonts w:ascii="Arial" w:cs="Arial" w:eastAsia="Arial" w:hAnsi="Arial"/>
                <w:sz w:val="18"/>
                <w:szCs w:val="18"/>
                <w:b w:val="1"/>
                <w:bCs w:val="1"/>
                <w:color w:val="auto"/>
              </w:rPr>
              <w:t>Value</w:t>
            </w:r>
          </w:p>
        </w:tc>
        <w:tc>
          <w:tcPr>
            <w:tcW w:w="1480" w:type="dxa"/>
            <w:vAlign w:val="bottom"/>
            <w:gridSpan w:val="2"/>
          </w:tcPr>
          <w:p>
            <w:pPr>
              <w:ind w:left="160"/>
              <w:spacing w:after="0" w:line="202" w:lineRule="exact"/>
              <w:rPr>
                <w:sz w:val="20"/>
                <w:szCs w:val="20"/>
                <w:color w:val="auto"/>
              </w:rPr>
            </w:pPr>
            <w:r>
              <w:rPr>
                <w:rFonts w:ascii="Arial" w:cs="Arial" w:eastAsia="Arial" w:hAnsi="Arial"/>
                <w:sz w:val="18"/>
                <w:szCs w:val="18"/>
                <w:b w:val="1"/>
                <w:bCs w:val="1"/>
                <w:color w:val="auto"/>
              </w:rPr>
              <w:t>Life in Years</w:t>
            </w:r>
          </w:p>
        </w:tc>
        <w:tc>
          <w:tcPr>
            <w:tcW w:w="1960" w:type="dxa"/>
            <w:vAlign w:val="bottom"/>
            <w:gridSpan w:val="2"/>
          </w:tcPr>
          <w:p>
            <w:pPr>
              <w:ind w:left="220"/>
              <w:spacing w:after="0" w:line="202" w:lineRule="exact"/>
              <w:rPr>
                <w:sz w:val="20"/>
                <w:szCs w:val="20"/>
                <w:color w:val="auto"/>
              </w:rPr>
            </w:pPr>
            <w:r>
              <w:rPr>
                <w:rFonts w:ascii="Arial" w:cs="Arial" w:eastAsia="Arial" w:hAnsi="Arial"/>
                <w:sz w:val="18"/>
                <w:szCs w:val="18"/>
                <w:b w:val="1"/>
                <w:bCs w:val="1"/>
                <w:color w:val="auto"/>
              </w:rPr>
              <w:t>October 31, 2020</w:t>
            </w:r>
          </w:p>
        </w:tc>
        <w:tc>
          <w:tcPr>
            <w:tcW w:w="152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July 31, 2021</w:t>
            </w:r>
          </w:p>
        </w:tc>
      </w:tr>
      <w:tr>
        <w:trPr>
          <w:trHeight w:val="20"/>
        </w:trPr>
        <w:tc>
          <w:tcPr>
            <w:tcW w:w="720" w:type="dxa"/>
            <w:vAlign w:val="bottom"/>
            <w:tcBorders>
              <w:top w:val="single" w:sz="8" w:color="auto"/>
            </w:tcBorders>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10"/>
        </w:trPr>
        <w:tc>
          <w:tcPr>
            <w:tcW w:w="400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240.0</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Trade name</w:t>
            </w:r>
          </w:p>
        </w:tc>
        <w:tc>
          <w:tcPr>
            <w:tcW w:w="62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4000" w:type="dxa"/>
            <w:vAlign w:val="bottom"/>
            <w:gridSpan w:val="2"/>
          </w:tcPr>
          <w:p>
            <w:pPr>
              <w:ind w:left="160"/>
              <w:spacing w:after="0"/>
              <w:rPr>
                <w:sz w:val="20"/>
                <w:szCs w:val="20"/>
                <w:color w:val="auto"/>
              </w:rPr>
            </w:pPr>
            <w:r>
              <w:rPr>
                <w:rFonts w:ascii="Arial" w:cs="Arial" w:eastAsia="Arial" w:hAnsi="Arial"/>
                <w:sz w:val="18"/>
                <w:szCs w:val="18"/>
                <w:color w:val="auto"/>
              </w:rPr>
              <w:t>Less: Able historical amortization expense</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4000" w:type="dxa"/>
            <w:vAlign w:val="bottom"/>
            <w:gridSpan w:val="2"/>
          </w:tcPr>
          <w:p>
            <w:pPr>
              <w:ind w:left="200"/>
              <w:spacing w:after="0"/>
              <w:rPr>
                <w:sz w:val="20"/>
                <w:szCs w:val="20"/>
                <w:color w:val="auto"/>
              </w:rPr>
            </w:pPr>
            <w:r>
              <w:rPr>
                <w:rFonts w:ascii="Arial" w:cs="Arial" w:eastAsia="Arial" w:hAnsi="Arial"/>
                <w:sz w:val="18"/>
                <w:szCs w:val="18"/>
                <w:color w:val="auto"/>
              </w:rPr>
              <w:t>Pro forma adjustment</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r>
      <w:tr>
        <w:trPr>
          <w:trHeight w:val="21"/>
        </w:trPr>
        <w:tc>
          <w:tcPr>
            <w:tcW w:w="7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-633730</wp:posOffset>
            </wp:positionV>
            <wp:extent cx="692658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26580" cy="154305"/>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-333375</wp:posOffset>
            </wp:positionV>
            <wp:extent cx="692658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145415"/>
                    </a:xfrm>
                    <a:prstGeom prst="rect">
                      <a:avLst/>
                    </a:prstGeom>
                    <a:noFill/>
                  </pic:spPr>
                </pic:pic>
              </a:graphicData>
            </a:graphic>
          </wp:anchor>
        </w:drawing>
      </w:r>
    </w:p>
    <w:p>
      <w:pPr>
        <w:spacing w:after="0" w:line="330" w:lineRule="exact"/>
        <w:rPr>
          <w:sz w:val="20"/>
          <w:szCs w:val="20"/>
          <w:color w:val="auto"/>
        </w:rPr>
      </w:pPr>
    </w:p>
    <w:p>
      <w:pPr>
        <w:ind w:left="400" w:firstLine="648"/>
        <w:spacing w:after="0" w:line="261" w:lineRule="auto"/>
        <w:rPr>
          <w:sz w:val="20"/>
          <w:szCs w:val="20"/>
          <w:color w:val="auto"/>
        </w:rPr>
      </w:pPr>
      <w:r>
        <w:rPr>
          <w:rFonts w:ascii="Arial" w:cs="Arial" w:eastAsia="Arial" w:hAnsi="Arial"/>
          <w:sz w:val="18"/>
          <w:szCs w:val="18"/>
          <w:color w:val="auto"/>
        </w:rPr>
        <w:t>With other assumptions held constant, a 10% increase in the fair value adjustment for amortizable intangible assets would increase the annual pro forma amortization expense by approximately $3.7 million.</w:t>
      </w:r>
    </w:p>
    <w:p>
      <w:pPr>
        <w:spacing w:after="0" w:line="225" w:lineRule="exact"/>
        <w:rPr>
          <w:sz w:val="20"/>
          <w:szCs w:val="20"/>
          <w:color w:val="auto"/>
        </w:rPr>
      </w:pPr>
    </w:p>
    <w:p>
      <w:pPr>
        <w:ind w:left="400" w:right="20" w:firstLine="648"/>
        <w:spacing w:after="0" w:line="261" w:lineRule="auto"/>
        <w:rPr>
          <w:sz w:val="20"/>
          <w:szCs w:val="20"/>
          <w:color w:val="auto"/>
        </w:rPr>
      </w:pPr>
      <w:r>
        <w:rPr>
          <w:rFonts w:ascii="Arial" w:cs="Arial" w:eastAsia="Arial" w:hAnsi="Arial"/>
          <w:sz w:val="18"/>
          <w:szCs w:val="18"/>
          <w:color w:val="auto"/>
        </w:rPr>
        <w:t>The following table summarizes pro forma amortization expense related to the customer relationships intangible for each of the next five years:</w:t>
      </w:r>
    </w:p>
    <w:p>
      <w:pPr>
        <w:spacing w:after="0" w:line="92" w:lineRule="exact"/>
        <w:rPr>
          <w:sz w:val="20"/>
          <w:szCs w:val="20"/>
          <w:color w:val="auto"/>
        </w:rPr>
      </w:pPr>
    </w:p>
    <w:tbl>
      <w:tblPr>
        <w:tblLayout w:type="fixed"/>
        <w:tblInd w:w="400" w:type="dxa"/>
        <w:tblCellMar>
          <w:top w:w="0" w:type="dxa"/>
          <w:left w:w="0" w:type="dxa"/>
          <w:bottom w:w="0" w:type="dxa"/>
          <w:right w:w="0" w:type="dxa"/>
        </w:tblCellMar>
      </w:tblPr>
      <w:tr>
        <w:trPr>
          <w:trHeight w:val="168"/>
        </w:trPr>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w w:val="98"/>
              </w:rPr>
              <w:t>(in millions)</w:t>
            </w:r>
          </w:p>
        </w:tc>
        <w:tc>
          <w:tcPr>
            <w:tcW w:w="44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29"/>
        </w:trPr>
        <w:tc>
          <w:tcPr>
            <w:tcW w:w="5160" w:type="dxa"/>
            <w:vAlign w:val="bottom"/>
            <w:gridSpan w:val="2"/>
            <w:shd w:val="clear" w:color="auto" w:fill="DCE2EF"/>
          </w:tcPr>
          <w:p>
            <w:pPr>
              <w:ind w:left="20"/>
              <w:spacing w:after="0"/>
              <w:rPr>
                <w:sz w:val="20"/>
                <w:szCs w:val="20"/>
                <w:color w:val="auto"/>
              </w:rPr>
            </w:pPr>
            <w:r>
              <w:rPr>
                <w:rFonts w:ascii="Arial" w:cs="Arial" w:eastAsia="Arial" w:hAnsi="Arial"/>
                <w:sz w:val="18"/>
                <w:szCs w:val="18"/>
                <w:color w:val="auto"/>
              </w:rPr>
              <w:t>Fiscal year 2022</w:t>
            </w:r>
          </w:p>
        </w:tc>
        <w:tc>
          <w:tcPr>
            <w:tcW w:w="4620" w:type="dxa"/>
            <w:vAlign w:val="bottom"/>
            <w:shd w:val="clear" w:color="auto" w:fill="DCE2EF"/>
          </w:tcPr>
          <w:p>
            <w:pPr>
              <w:jc w:val="right"/>
              <w:ind w:right="6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27.4</w:t>
            </w:r>
          </w:p>
        </w:tc>
      </w:tr>
      <w:tr>
        <w:trPr>
          <w:trHeight w:val="230"/>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Fiscal year 2023</w:t>
            </w:r>
          </w:p>
        </w:tc>
        <w:tc>
          <w:tcPr>
            <w:tcW w:w="4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30"/>
        </w:trPr>
        <w:tc>
          <w:tcPr>
            <w:tcW w:w="5160" w:type="dxa"/>
            <w:vAlign w:val="bottom"/>
            <w:gridSpan w:val="2"/>
            <w:shd w:val="clear" w:color="auto" w:fill="DCE2EF"/>
          </w:tcPr>
          <w:p>
            <w:pPr>
              <w:ind w:left="20"/>
              <w:spacing w:after="0"/>
              <w:rPr>
                <w:sz w:val="20"/>
                <w:szCs w:val="20"/>
                <w:color w:val="auto"/>
              </w:rPr>
            </w:pPr>
            <w:r>
              <w:rPr>
                <w:rFonts w:ascii="Arial" w:cs="Arial" w:eastAsia="Arial" w:hAnsi="Arial"/>
                <w:sz w:val="18"/>
                <w:szCs w:val="18"/>
                <w:color w:val="auto"/>
              </w:rPr>
              <w:t>Fiscal year 2024</w:t>
            </w:r>
          </w:p>
        </w:tc>
        <w:tc>
          <w:tcPr>
            <w:tcW w:w="4620" w:type="dxa"/>
            <w:vAlign w:val="bottom"/>
            <w:shd w:val="clear" w:color="auto" w:fill="DCE2EF"/>
          </w:tcPr>
          <w:p>
            <w:pPr>
              <w:spacing w:after="0"/>
              <w:rPr>
                <w:sz w:val="19"/>
                <w:szCs w:val="19"/>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22.9</w:t>
            </w:r>
          </w:p>
        </w:tc>
      </w:tr>
      <w:tr>
        <w:trPr>
          <w:trHeight w:val="230"/>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Fiscal year 2025</w:t>
            </w:r>
          </w:p>
        </w:tc>
        <w:tc>
          <w:tcPr>
            <w:tcW w:w="4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29"/>
        </w:trPr>
        <w:tc>
          <w:tcPr>
            <w:tcW w:w="5160" w:type="dxa"/>
            <w:vAlign w:val="bottom"/>
            <w:gridSpan w:val="2"/>
            <w:shd w:val="clear" w:color="auto" w:fill="DCE2EF"/>
          </w:tcPr>
          <w:p>
            <w:pPr>
              <w:ind w:left="20"/>
              <w:spacing w:after="0"/>
              <w:rPr>
                <w:sz w:val="20"/>
                <w:szCs w:val="20"/>
                <w:color w:val="auto"/>
              </w:rPr>
            </w:pPr>
            <w:r>
              <w:rPr>
                <w:rFonts w:ascii="Arial" w:cs="Arial" w:eastAsia="Arial" w:hAnsi="Arial"/>
                <w:sz w:val="18"/>
                <w:szCs w:val="18"/>
                <w:color w:val="auto"/>
              </w:rPr>
              <w:t>Fiscal year 2026</w:t>
            </w:r>
          </w:p>
        </w:tc>
        <w:tc>
          <w:tcPr>
            <w:tcW w:w="4620" w:type="dxa"/>
            <w:vAlign w:val="bottom"/>
            <w:shd w:val="clear" w:color="auto" w:fill="DCE2EF"/>
          </w:tcPr>
          <w:p>
            <w:pPr>
              <w:spacing w:after="0"/>
              <w:rPr>
                <w:sz w:val="19"/>
                <w:szCs w:val="19"/>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00"/>
          </w:cols>
          <w:pgMar w:left="260" w:top="118" w:right="339" w:bottom="1440" w:gutter="0" w:footer="0" w:header="0"/>
          <w:type w:val="continuous"/>
        </w:sectPr>
      </w:pPr>
    </w:p>
    <w:bookmarkStart w:id="51" w:name="page52"/>
    <w:bookmarkEnd w:id="51"/>
    <w:p>
      <w:pPr>
        <w:ind w:left="10232"/>
        <w:spacing w:after="0"/>
        <w:rPr>
          <w:sz w:val="20"/>
          <w:szCs w:val="20"/>
          <w:color w:val="auto"/>
        </w:rPr>
      </w:pPr>
      <w:r>
        <w:rPr>
          <w:rFonts w:ascii="Arial" w:cs="Arial" w:eastAsia="Arial" w:hAnsi="Arial"/>
          <w:sz w:val="17"/>
          <w:szCs w:val="17"/>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32" w:hanging="332"/>
        <w:spacing w:after="0" w:line="261" w:lineRule="auto"/>
        <w:tabs>
          <w:tab w:leader="none" w:pos="47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pro forma adjustment for interest expense for the year ended October 31, 2020 and the nine months ended July 31, 2021 is as follows:</w:t>
      </w:r>
    </w:p>
    <w:p>
      <w:pPr>
        <w:spacing w:after="0" w:line="95" w:lineRule="exact"/>
        <w:rPr>
          <w:sz w:val="20"/>
          <w:szCs w:val="20"/>
          <w:color w:val="auto"/>
        </w:rPr>
      </w:pPr>
    </w:p>
    <w:tbl>
      <w:tblPr>
        <w:tblLayout w:type="fixed"/>
        <w:tblInd w:w="332" w:type="dxa"/>
        <w:tblCellMar>
          <w:top w:w="0" w:type="dxa"/>
          <w:left w:w="0" w:type="dxa"/>
          <w:bottom w:w="0" w:type="dxa"/>
          <w:right w:w="0" w:type="dxa"/>
        </w:tblCellMar>
      </w:tblPr>
      <w:tr>
        <w:trPr>
          <w:trHeight w:val="239"/>
        </w:trPr>
        <w:tc>
          <w:tcPr>
            <w:tcW w:w="7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Interest expense</w:t>
            </w:r>
          </w:p>
        </w:tc>
        <w:tc>
          <w:tcPr>
            <w:tcW w:w="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9"/>
              </w:rPr>
              <w:t>Twelve Months</w:t>
            </w:r>
          </w:p>
        </w:tc>
        <w:tc>
          <w:tcPr>
            <w:tcW w:w="190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75"/>
        </w:trPr>
        <w:tc>
          <w:tcPr>
            <w:tcW w:w="74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Debt Proceeds</w:t>
            </w:r>
          </w:p>
        </w:tc>
        <w:tc>
          <w:tcPr>
            <w:tcW w:w="180" w:type="dxa"/>
            <w:vAlign w:val="bottom"/>
          </w:tcPr>
          <w:p>
            <w:pPr>
              <w:spacing w:after="0"/>
              <w:rPr>
                <w:sz w:val="15"/>
                <w:szCs w:val="15"/>
                <w:color w:val="auto"/>
              </w:rPr>
            </w:pPr>
          </w:p>
        </w:tc>
        <w:tc>
          <w:tcPr>
            <w:tcW w:w="184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rPr>
              <w:t>Ended</w:t>
            </w:r>
          </w:p>
        </w:tc>
        <w:tc>
          <w:tcPr>
            <w:tcW w:w="1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October 31, 2020</w:t>
            </w:r>
          </w:p>
        </w:tc>
        <w:tc>
          <w:tcPr>
            <w:tcW w:w="1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July 31, 2021</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auto"/>
              <w:bottom w:val="single" w:sz="8" w:color="DCE2EF"/>
            </w:tcBorders>
          </w:tcPr>
          <w:p>
            <w:pPr>
              <w:spacing w:after="0" w:line="20" w:lineRule="exact"/>
              <w:rPr>
                <w:sz w:val="1"/>
                <w:szCs w:val="1"/>
                <w:color w:val="auto"/>
              </w:rPr>
            </w:pPr>
          </w:p>
        </w:tc>
        <w:tc>
          <w:tcPr>
            <w:tcW w:w="448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gridSpan w:val="2"/>
            <w:shd w:val="clear" w:color="auto" w:fill="DCE2EF"/>
          </w:tcPr>
          <w:p>
            <w:pPr>
              <w:ind w:left="20"/>
              <w:spacing w:after="0"/>
              <w:rPr>
                <w:sz w:val="20"/>
                <w:szCs w:val="20"/>
                <w:color w:val="auto"/>
              </w:rPr>
            </w:pPr>
            <w:r>
              <w:rPr>
                <w:rFonts w:ascii="Arial" w:cs="Arial" w:eastAsia="Arial" w:hAnsi="Arial"/>
                <w:sz w:val="18"/>
                <w:szCs w:val="18"/>
                <w:color w:val="auto"/>
              </w:rPr>
              <w:t>Line of Credit</w:t>
            </w:r>
          </w:p>
        </w:tc>
        <w:tc>
          <w:tcPr>
            <w:tcW w:w="16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325.0</w:t>
            </w:r>
          </w:p>
        </w:tc>
        <w:tc>
          <w:tcPr>
            <w:tcW w:w="100" w:type="dxa"/>
            <w:vAlign w:val="bottom"/>
            <w:shd w:val="clear" w:color="auto" w:fill="DCE2EF"/>
          </w:tcPr>
          <w:p>
            <w:pPr>
              <w:spacing w:after="0"/>
              <w:rPr>
                <w:sz w:val="18"/>
                <w:szCs w:val="18"/>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DCE2EF"/>
          </w:tcPr>
          <w:p>
            <w:pPr>
              <w:jc w:val="center"/>
              <w:ind w:left="125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DCE2EF"/>
          </w:tcPr>
          <w:p>
            <w:pPr>
              <w:spacing w:after="0"/>
              <w:rPr>
                <w:sz w:val="18"/>
                <w:szCs w:val="18"/>
                <w:color w:val="auto"/>
              </w:rPr>
            </w:pPr>
          </w:p>
        </w:tc>
        <w:tc>
          <w:tcPr>
            <w:tcW w:w="1500" w:type="dxa"/>
            <w:vAlign w:val="bottom"/>
            <w:shd w:val="clear" w:color="auto" w:fill="DCE2EF"/>
          </w:tcPr>
          <w:p>
            <w:pPr>
              <w:jc w:val="right"/>
              <w:ind w:right="129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DCE2EF"/>
          </w:tcPr>
          <w:p>
            <w:pPr>
              <w:jc w:val="center"/>
              <w:spacing w:after="0"/>
              <w:rPr>
                <w:sz w:val="20"/>
                <w:szCs w:val="20"/>
                <w:color w:val="auto"/>
              </w:rPr>
            </w:pPr>
            <w:r>
              <w:rPr>
                <w:rFonts w:ascii="Arial" w:cs="Arial" w:eastAsia="Arial" w:hAnsi="Arial"/>
                <w:sz w:val="18"/>
                <w:szCs w:val="18"/>
                <w:color w:val="auto"/>
                <w:w w:val="95"/>
              </w:rPr>
              <w:t>3.9</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DCE2EF"/>
            </w:tcBorders>
            <w:gridSpan w:val="2"/>
          </w:tcPr>
          <w:p>
            <w:pPr>
              <w:ind w:left="20"/>
              <w:spacing w:after="0"/>
              <w:rPr>
                <w:sz w:val="20"/>
                <w:szCs w:val="20"/>
                <w:color w:val="auto"/>
              </w:rPr>
            </w:pPr>
            <w:r>
              <w:rPr>
                <w:rFonts w:ascii="Arial" w:cs="Arial" w:eastAsia="Arial" w:hAnsi="Arial"/>
                <w:sz w:val="18"/>
                <w:szCs w:val="18"/>
                <w:color w:val="auto"/>
              </w:rPr>
              <w:t>Less: Able historical interest expense</w:t>
            </w:r>
          </w:p>
        </w:tc>
        <w:tc>
          <w:tcPr>
            <w:tcW w:w="160" w:type="dxa"/>
            <w:vAlign w:val="bottom"/>
            <w:tcBorders>
              <w:bottom w:val="single" w:sz="8" w:color="DCE2EF"/>
            </w:tcBorders>
          </w:tcPr>
          <w:p>
            <w:pPr>
              <w:spacing w:after="0"/>
              <w:rPr>
                <w:sz w:val="19"/>
                <w:szCs w:val="19"/>
                <w:color w:val="auto"/>
              </w:rPr>
            </w:pPr>
          </w:p>
        </w:tc>
        <w:tc>
          <w:tcPr>
            <w:tcW w:w="1500" w:type="dxa"/>
            <w:vAlign w:val="bottom"/>
            <w:tcBorders>
              <w:bottom w:val="single" w:sz="8" w:color="DCE2EF"/>
            </w:tcBorders>
          </w:tcPr>
          <w:p>
            <w:pPr>
              <w:spacing w:after="0"/>
              <w:rPr>
                <w:sz w:val="19"/>
                <w:szCs w:val="19"/>
                <w:color w:val="auto"/>
              </w:rPr>
            </w:pPr>
          </w:p>
        </w:tc>
        <w:tc>
          <w:tcPr>
            <w:tcW w:w="100" w:type="dxa"/>
            <w:vAlign w:val="bottom"/>
            <w:tcBorders>
              <w:bottom w:val="single" w:sz="8" w:color="DCE2E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left="1230"/>
              <w:spacing w:after="0"/>
              <w:rPr>
                <w:sz w:val="20"/>
                <w:szCs w:val="20"/>
                <w:color w:val="auto"/>
              </w:rPr>
            </w:pPr>
            <w:r>
              <w:rPr>
                <w:rFonts w:ascii="Arial" w:cs="Arial" w:eastAsia="Arial" w:hAnsi="Arial"/>
                <w:sz w:val="18"/>
                <w:szCs w:val="18"/>
                <w:color w:val="auto"/>
                <w:w w:val="97"/>
              </w:rPr>
              <w:t>(1.2)</w:t>
            </w:r>
          </w:p>
        </w:tc>
        <w:tc>
          <w:tcPr>
            <w:tcW w:w="120" w:type="dxa"/>
            <w:vAlign w:val="bottom"/>
            <w:tcBorders>
              <w:bottom w:val="single" w:sz="8" w:color="DCE2EF"/>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DCE2EF"/>
            </w:tcBorders>
            <w:gridSpan w:val="2"/>
            <w:shd w:val="clear" w:color="auto" w:fill="DCE2EF"/>
          </w:tcPr>
          <w:p>
            <w:pPr>
              <w:ind w:left="220"/>
              <w:spacing w:after="0"/>
              <w:rPr>
                <w:sz w:val="20"/>
                <w:szCs w:val="20"/>
                <w:color w:val="auto"/>
              </w:rPr>
            </w:pPr>
            <w:r>
              <w:rPr>
                <w:rFonts w:ascii="Arial" w:cs="Arial" w:eastAsia="Arial" w:hAnsi="Arial"/>
                <w:sz w:val="18"/>
                <w:szCs w:val="18"/>
                <w:color w:val="auto"/>
              </w:rPr>
              <w:t>Pro forma adjustment</w:t>
            </w:r>
          </w:p>
        </w:tc>
        <w:tc>
          <w:tcPr>
            <w:tcW w:w="160" w:type="dxa"/>
            <w:vAlign w:val="bottom"/>
            <w:tcBorders>
              <w:bottom w:val="single" w:sz="8" w:color="DCE2EF"/>
            </w:tcBorders>
            <w:shd w:val="clear" w:color="auto" w:fill="DCE2EF"/>
          </w:tcPr>
          <w:p>
            <w:pPr>
              <w:spacing w:after="0"/>
              <w:rPr>
                <w:sz w:val="21"/>
                <w:szCs w:val="21"/>
                <w:color w:val="auto"/>
              </w:rPr>
            </w:pPr>
          </w:p>
        </w:tc>
        <w:tc>
          <w:tcPr>
            <w:tcW w:w="1500" w:type="dxa"/>
            <w:vAlign w:val="bottom"/>
            <w:tcBorders>
              <w:bottom w:val="single" w:sz="8" w:color="DCE2EF"/>
            </w:tcBorders>
            <w:shd w:val="clear" w:color="auto" w:fill="DCE2EF"/>
          </w:tcPr>
          <w:p>
            <w:pPr>
              <w:spacing w:after="0"/>
              <w:rPr>
                <w:sz w:val="21"/>
                <w:szCs w:val="21"/>
                <w:color w:val="auto"/>
              </w:rPr>
            </w:pPr>
          </w:p>
        </w:tc>
        <w:tc>
          <w:tcPr>
            <w:tcW w:w="100" w:type="dxa"/>
            <w:vAlign w:val="bottom"/>
            <w:tcBorders>
              <w:bottom w:val="single" w:sz="8" w:color="DCE2EF"/>
            </w:tcBorders>
            <w:shd w:val="clear" w:color="auto" w:fill="DCE2EF"/>
          </w:tcPr>
          <w:p>
            <w:pPr>
              <w:spacing w:after="0"/>
              <w:rPr>
                <w:sz w:val="21"/>
                <w:szCs w:val="21"/>
                <w:color w:val="auto"/>
              </w:rPr>
            </w:pPr>
          </w:p>
        </w:tc>
        <w:tc>
          <w:tcPr>
            <w:tcW w:w="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DCE2EF"/>
          </w:tcPr>
          <w:p>
            <w:pPr>
              <w:jc w:val="center"/>
              <w:ind w:left="125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DCE2EF"/>
            </w:tcBorders>
            <w:shd w:val="clear" w:color="auto" w:fill="DCE2EF"/>
          </w:tcPr>
          <w:p>
            <w:pPr>
              <w:spacing w:after="0"/>
              <w:rPr>
                <w:sz w:val="21"/>
                <w:szCs w:val="21"/>
                <w:color w:val="auto"/>
              </w:rPr>
            </w:pPr>
          </w:p>
        </w:tc>
        <w:tc>
          <w:tcPr>
            <w:tcW w:w="1500" w:type="dxa"/>
            <w:vAlign w:val="bottom"/>
            <w:tcBorders>
              <w:bottom w:val="single" w:sz="8" w:color="auto"/>
            </w:tcBorders>
            <w:shd w:val="clear" w:color="auto" w:fill="DCE2EF"/>
          </w:tcPr>
          <w:p>
            <w:pPr>
              <w:jc w:val="right"/>
              <w:ind w:right="12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DCE2EF"/>
          </w:tcPr>
          <w:p>
            <w:pPr>
              <w:jc w:val="center"/>
              <w:spacing w:after="0"/>
              <w:rPr>
                <w:sz w:val="20"/>
                <w:szCs w:val="20"/>
                <w:color w:val="auto"/>
              </w:rPr>
            </w:pPr>
            <w:r>
              <w:rPr>
                <w:rFonts w:ascii="Arial" w:cs="Arial" w:eastAsia="Arial" w:hAnsi="Arial"/>
                <w:sz w:val="18"/>
                <w:szCs w:val="18"/>
                <w:color w:val="auto"/>
                <w:w w:val="95"/>
              </w:rPr>
              <w:t>3.1</w:t>
            </w:r>
          </w:p>
        </w:tc>
        <w:tc>
          <w:tcPr>
            <w:tcW w:w="0" w:type="dxa"/>
            <w:vAlign w:val="bottom"/>
          </w:tcPr>
          <w:p>
            <w:pPr>
              <w:spacing w:after="0"/>
              <w:rPr>
                <w:sz w:val="1"/>
                <w:szCs w:val="1"/>
                <w:color w:val="auto"/>
              </w:rPr>
            </w:pPr>
          </w:p>
        </w:tc>
      </w:tr>
      <w:tr>
        <w:trPr>
          <w:trHeight w:val="20"/>
        </w:trPr>
        <w:tc>
          <w:tcPr>
            <w:tcW w:w="740" w:type="dxa"/>
            <w:vAlign w:val="bottom"/>
            <w:tcBorders>
              <w:top w:val="single" w:sz="8" w:color="DCE2EF"/>
            </w:tcBorders>
          </w:tcPr>
          <w:p>
            <w:pPr>
              <w:spacing w:after="0" w:line="20" w:lineRule="exact"/>
              <w:rPr>
                <w:sz w:val="1"/>
                <w:szCs w:val="1"/>
                <w:color w:val="auto"/>
              </w:rPr>
            </w:pPr>
          </w:p>
        </w:tc>
        <w:tc>
          <w:tcPr>
            <w:tcW w:w="448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DCE2EF"/>
            </w:tcBorders>
          </w:tcPr>
          <w:p>
            <w:pPr>
              <w:spacing w:after="0" w:line="20" w:lineRule="exact"/>
              <w:rPr>
                <w:sz w:val="1"/>
                <w:szCs w:val="1"/>
                <w:color w:val="auto"/>
              </w:rPr>
            </w:pPr>
          </w:p>
        </w:tc>
        <w:tc>
          <w:tcPr>
            <w:tcW w:w="1500" w:type="dxa"/>
            <w:vAlign w:val="bottom"/>
            <w:tcBorders>
              <w:top w:val="single" w:sz="8" w:color="DCE2EF"/>
            </w:tcBorders>
          </w:tcPr>
          <w:p>
            <w:pPr>
              <w:spacing w:after="0" w:line="20" w:lineRule="exact"/>
              <w:rPr>
                <w:sz w:val="1"/>
                <w:szCs w:val="1"/>
                <w:color w:val="auto"/>
              </w:rPr>
            </w:pPr>
          </w:p>
        </w:tc>
        <w:tc>
          <w:tcPr>
            <w:tcW w:w="100" w:type="dxa"/>
            <w:vAlign w:val="bottom"/>
            <w:tcBorders>
              <w:top w:val="single" w:sz="8" w:color="DCE2EF"/>
            </w:tcBorders>
          </w:tcPr>
          <w:p>
            <w:pPr>
              <w:spacing w:after="0" w:line="20" w:lineRule="exact"/>
              <w:rPr>
                <w:sz w:val="1"/>
                <w:szCs w:val="1"/>
                <w:color w:val="auto"/>
              </w:rPr>
            </w:pPr>
          </w:p>
        </w:tc>
        <w:tc>
          <w:tcPr>
            <w:tcW w:w="180" w:type="dxa"/>
            <w:vAlign w:val="bottom"/>
            <w:tcBorders>
              <w:top w:val="single" w:sz="8" w:color="DCE2EF"/>
              <w:bottom w:val="single" w:sz="8" w:color="auto"/>
            </w:tcBorders>
          </w:tcPr>
          <w:p>
            <w:pPr>
              <w:spacing w:after="0" w:line="20" w:lineRule="exact"/>
              <w:rPr>
                <w:sz w:val="1"/>
                <w:szCs w:val="1"/>
                <w:color w:val="auto"/>
              </w:rPr>
            </w:pPr>
          </w:p>
        </w:tc>
        <w:tc>
          <w:tcPr>
            <w:tcW w:w="1720" w:type="dxa"/>
            <w:vAlign w:val="bottom"/>
            <w:tcBorders>
              <w:top w:val="single" w:sz="8" w:color="DCE2EF"/>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1500" w:type="dxa"/>
            <w:vAlign w:val="bottom"/>
            <w:tcBorders>
              <w:top w:val="single" w:sz="8" w:color="DCE2EF"/>
              <w:bottom w:val="single" w:sz="8" w:color="auto"/>
            </w:tcBorders>
          </w:tcPr>
          <w:p>
            <w:pPr>
              <w:spacing w:after="0" w:line="20" w:lineRule="exact"/>
              <w:rPr>
                <w:sz w:val="1"/>
                <w:szCs w:val="1"/>
                <w:color w:val="auto"/>
              </w:rPr>
            </w:pPr>
          </w:p>
        </w:tc>
        <w:tc>
          <w:tcPr>
            <w:tcW w:w="400" w:type="dxa"/>
            <w:vAlign w:val="bottom"/>
            <w:tcBorders>
              <w:top w:val="single" w:sz="8" w:color="DCE2E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left="332"/>
        <w:spacing w:after="0" w:line="254" w:lineRule="auto"/>
        <w:rPr>
          <w:sz w:val="20"/>
          <w:szCs w:val="20"/>
          <w:color w:val="auto"/>
        </w:rPr>
      </w:pPr>
      <w:r>
        <w:rPr>
          <w:rFonts w:ascii="Arial" w:cs="Arial" w:eastAsia="Arial" w:hAnsi="Arial"/>
          <w:sz w:val="18"/>
          <w:szCs w:val="18"/>
          <w:color w:val="auto"/>
        </w:rPr>
        <w:t>Debt proceeds are U.S.-dollar-denominated borrowings under the Line of Credit and bear interest at 1-month LIBOR plus a spread of 0.375% to 1.250% that is based upon our leverage ratio. The pro forma interest expense is based on average interest rate of 1.58% at the issuance date of September 30, 2021. A change in interest rates of 1/8% would change the annual pro forma interest expense by $0.6 million on the Line of Credit.</w:t>
      </w:r>
    </w:p>
    <w:p>
      <w:pPr>
        <w:spacing w:after="0" w:line="231" w:lineRule="exact"/>
        <w:rPr>
          <w:sz w:val="20"/>
          <w:szCs w:val="20"/>
          <w:color w:val="auto"/>
        </w:rPr>
      </w:pPr>
    </w:p>
    <w:p>
      <w:pPr>
        <w:ind w:left="332" w:hanging="332"/>
        <w:spacing w:after="0" w:line="261" w:lineRule="auto"/>
        <w:tabs>
          <w:tab w:leader="none" w:pos="4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pro forma adjustment for income tax provision for the year ended October 31, 2020, and the nine months ended July 31, 2021, is as follows:</w:t>
      </w:r>
    </w:p>
    <w:p>
      <w:pPr>
        <w:sectPr>
          <w:pgSz w:w="11900" w:h="16838" w:orient="portrait"/>
          <w:cols w:equalWidth="0" w:num="1">
            <w:col w:w="11232"/>
          </w:cols>
          <w:pgMar w:left="328"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52"/>
        <w:spacing w:after="0"/>
        <w:rPr>
          <w:sz w:val="20"/>
          <w:szCs w:val="20"/>
          <w:color w:val="auto"/>
        </w:rPr>
      </w:pPr>
      <w:r>
        <w:rPr>
          <w:rFonts w:ascii="Arial" w:cs="Arial" w:eastAsia="Arial" w:hAnsi="Arial"/>
          <w:sz w:val="14"/>
          <w:szCs w:val="14"/>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15240</wp:posOffset>
            </wp:positionV>
            <wp:extent cx="692658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26580" cy="154305"/>
                    </a:xfrm>
                    <a:prstGeom prst="rect">
                      <a:avLst/>
                    </a:prstGeom>
                    <a:noFill/>
                  </pic:spPr>
                </pic:pic>
              </a:graphicData>
            </a:graphic>
          </wp:anchor>
        </w:drawing>
      </w:r>
    </w:p>
    <w:p>
      <w:pPr>
        <w:ind w:left="352"/>
        <w:spacing w:after="0"/>
        <w:rPr>
          <w:sz w:val="20"/>
          <w:szCs w:val="20"/>
          <w:color w:val="auto"/>
        </w:rPr>
      </w:pPr>
      <w:r>
        <w:rPr>
          <w:rFonts w:ascii="Arial" w:cs="Arial" w:eastAsia="Arial" w:hAnsi="Arial"/>
          <w:sz w:val="18"/>
          <w:szCs w:val="18"/>
          <w:color w:val="auto"/>
        </w:rPr>
        <w:t xml:space="preserve">Eliminate Able’s historical tax provision </w:t>
      </w:r>
      <w:r>
        <w:rPr>
          <w:rFonts w:ascii="Arial" w:cs="Arial" w:eastAsia="Arial" w:hAnsi="Arial"/>
          <w:sz w:val="23"/>
          <w:szCs w:val="23"/>
          <w:color w:val="auto"/>
          <w:vertAlign w:val="superscript"/>
        </w:rPr>
        <w:t>(1)</w:t>
      </w:r>
    </w:p>
    <w:p>
      <w:pPr>
        <w:ind w:left="352"/>
        <w:spacing w:after="0" w:line="217" w:lineRule="auto"/>
        <w:rPr>
          <w:sz w:val="20"/>
          <w:szCs w:val="20"/>
          <w:color w:val="auto"/>
        </w:rPr>
      </w:pPr>
      <w:r>
        <w:rPr>
          <w:rFonts w:ascii="Arial" w:cs="Arial" w:eastAsia="Arial" w:hAnsi="Arial"/>
          <w:sz w:val="17"/>
          <w:szCs w:val="17"/>
          <w:color w:val="auto"/>
        </w:rPr>
        <w:t xml:space="preserve">Record income tax provision on Able’s income from operations </w:t>
      </w:r>
      <w:r>
        <w:rPr>
          <w:rFonts w:ascii="Arial" w:cs="Arial" w:eastAsia="Arial" w:hAnsi="Arial"/>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-6985</wp:posOffset>
            </wp:positionV>
            <wp:extent cx="692658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6580" cy="146050"/>
                    </a:xfrm>
                    <a:prstGeom prst="rect">
                      <a:avLst/>
                    </a:prstGeom>
                    <a:noFill/>
                  </pic:spPr>
                </pic:pic>
              </a:graphicData>
            </a:graphic>
          </wp:anchor>
        </w:drawing>
      </w:r>
    </w:p>
    <w:p>
      <w:pPr>
        <w:ind w:left="352"/>
        <w:spacing w:after="0"/>
        <w:rPr>
          <w:sz w:val="20"/>
          <w:szCs w:val="20"/>
          <w:color w:val="auto"/>
        </w:rPr>
      </w:pPr>
      <w:r>
        <w:rPr>
          <w:rFonts w:ascii="Arial" w:cs="Arial" w:eastAsia="Arial" w:hAnsi="Arial"/>
          <w:sz w:val="18"/>
          <w:szCs w:val="18"/>
          <w:color w:val="auto"/>
        </w:rPr>
        <w:t xml:space="preserve">Record income tax provision on pro forma adjustments </w:t>
      </w:r>
      <w:r>
        <w:rPr>
          <w:rFonts w:ascii="Arial" w:cs="Arial" w:eastAsia="Arial" w:hAnsi="Arial"/>
          <w:sz w:val="23"/>
          <w:szCs w:val="23"/>
          <w:color w:val="auto"/>
          <w:vertAlign w:val="superscript"/>
        </w:rPr>
        <w:t>(3)</w:t>
      </w:r>
    </w:p>
    <w:p>
      <w:pPr>
        <w:spacing w:after="0" w:line="6" w:lineRule="exact"/>
        <w:rPr>
          <w:sz w:val="20"/>
          <w:szCs w:val="20"/>
          <w:color w:val="auto"/>
        </w:rPr>
      </w:pPr>
    </w:p>
    <w:p>
      <w:pPr>
        <w:ind w:left="552"/>
        <w:spacing w:after="0"/>
        <w:rPr>
          <w:sz w:val="20"/>
          <w:szCs w:val="20"/>
          <w:color w:val="auto"/>
        </w:rPr>
      </w:pPr>
      <w:r>
        <w:rPr>
          <w:rFonts w:ascii="Arial" w:cs="Arial" w:eastAsia="Arial" w:hAnsi="Arial"/>
          <w:sz w:val="18"/>
          <w:szCs w:val="18"/>
          <w:color w:val="auto"/>
        </w:rPr>
        <w:t>Pro forma adjustment</w:t>
      </w:r>
    </w:p>
    <w:p>
      <w:pPr>
        <w:spacing w:after="0" w:line="20" w:lineRule="exact"/>
        <w:rPr>
          <w:sz w:val="20"/>
          <w:szCs w:val="20"/>
          <w:color w:val="auto"/>
        </w:rPr>
      </w:pPr>
      <w:r>
        <w:rPr>
          <w:sz w:val="20"/>
          <w:szCs w:val="20"/>
          <w:color w:val="auto"/>
        </w:rPr>
        <w:br w:type="column"/>
      </w:r>
    </w:p>
    <w:p>
      <w:pPr>
        <w:ind w:left="1060"/>
        <w:spacing w:after="0"/>
        <w:rPr>
          <w:sz w:val="20"/>
          <w:szCs w:val="20"/>
          <w:color w:val="auto"/>
        </w:rPr>
      </w:pPr>
      <w:r>
        <w:rPr>
          <w:rFonts w:ascii="Arial" w:cs="Arial" w:eastAsia="Arial" w:hAnsi="Arial"/>
          <w:sz w:val="18"/>
          <w:szCs w:val="18"/>
          <w:b w:val="1"/>
          <w:bCs w:val="1"/>
          <w:color w:val="auto"/>
        </w:rPr>
        <w:t>Income tax provision</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8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9"/>
              </w:rPr>
              <w:t>Twelve Months</w:t>
            </w:r>
          </w:p>
        </w:tc>
        <w:tc>
          <w:tcPr>
            <w:tcW w:w="1900" w:type="dxa"/>
            <w:vAlign w:val="bottom"/>
            <w:tcBorders>
              <w:top w:val="single" w:sz="8" w:color="auto"/>
            </w:tcBorders>
            <w:gridSpan w:val="2"/>
            <w:vMerge w:val="restart"/>
          </w:tcPr>
          <w:p>
            <w:pPr>
              <w:jc w:val="right"/>
              <w:ind w:right="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184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rPr>
              <w:t>Ended</w:t>
            </w:r>
          </w:p>
        </w:tc>
        <w:tc>
          <w:tcPr>
            <w:tcW w:w="1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October 31, 2020</w:t>
            </w:r>
          </w:p>
        </w:tc>
        <w:tc>
          <w:tcPr>
            <w:tcW w:w="260" w:type="dxa"/>
            <w:vAlign w:val="bottom"/>
          </w:tcPr>
          <w:p>
            <w:pPr>
              <w:spacing w:after="0"/>
              <w:rPr>
                <w:sz w:val="19"/>
                <w:szCs w:val="19"/>
                <w:color w:val="auto"/>
              </w:rPr>
            </w:pPr>
          </w:p>
        </w:tc>
        <w:tc>
          <w:tcPr>
            <w:tcW w:w="164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31, 2021</w:t>
            </w:r>
          </w:p>
        </w:tc>
        <w:tc>
          <w:tcPr>
            <w:tcW w:w="0" w:type="dxa"/>
            <w:vAlign w:val="bottom"/>
          </w:tcPr>
          <w:p>
            <w:pPr>
              <w:spacing w:after="0"/>
              <w:rPr>
                <w:sz w:val="1"/>
                <w:szCs w:val="1"/>
                <w:color w:val="auto"/>
              </w:rPr>
            </w:pPr>
          </w:p>
        </w:tc>
      </w:tr>
      <w:tr>
        <w:trPr>
          <w:trHeight w:val="223"/>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592" w:space="720"/>
            <w:col w:w="3920"/>
          </w:cols>
          <w:pgMar w:left="328" w:top="118" w:right="339" w:bottom="1440" w:gutter="0" w:footer="0" w:header="0"/>
          <w:type w:val="continuous"/>
        </w:sectPr>
      </w:pPr>
    </w:p>
    <w:p>
      <w:pPr>
        <w:spacing w:after="0" w:line="126" w:lineRule="exact"/>
        <w:rPr>
          <w:sz w:val="20"/>
          <w:szCs w:val="20"/>
          <w:color w:val="auto"/>
        </w:rPr>
      </w:pPr>
    </w:p>
    <w:p>
      <w:pPr>
        <w:ind w:left="332" w:right="420" w:hanging="170"/>
        <w:spacing w:after="0" w:line="217" w:lineRule="auto"/>
        <w:tabs>
          <w:tab w:leader="none" w:pos="328" w:val="left"/>
        </w:tabs>
        <w:numPr>
          <w:ilvl w:val="0"/>
          <w:numId w:val="39"/>
        </w:numPr>
        <w:rPr>
          <w:rFonts w:ascii="Arial" w:cs="Arial" w:eastAsia="Arial" w:hAnsi="Arial"/>
          <w:sz w:val="20"/>
          <w:szCs w:val="20"/>
          <w:color w:val="auto"/>
          <w:vertAlign w:val="superscript"/>
        </w:rPr>
      </w:pPr>
      <w:r>
        <w:rPr>
          <w:rFonts w:ascii="Arial" w:cs="Arial" w:eastAsia="Arial" w:hAnsi="Arial"/>
          <w:sz w:val="15"/>
          <w:szCs w:val="15"/>
          <w:color w:val="auto"/>
        </w:rPr>
        <w:t>Adjustment removes Able’s historical tax provision as Able was previously subject to S corporation tax (primarily California) prior to the Acquisition. Upon Acquisition, Able converted from S corporations to C corporations for tax purposes.</w:t>
      </w:r>
    </w:p>
    <w:p>
      <w:pPr>
        <w:ind w:left="332" w:hanging="170"/>
        <w:spacing w:after="0" w:line="225" w:lineRule="auto"/>
        <w:tabs>
          <w:tab w:leader="none" w:pos="328" w:val="left"/>
        </w:tabs>
        <w:numPr>
          <w:ilvl w:val="0"/>
          <w:numId w:val="39"/>
        </w:numPr>
        <w:rPr>
          <w:rFonts w:ascii="Arial" w:cs="Arial" w:eastAsia="Arial" w:hAnsi="Arial"/>
          <w:sz w:val="20"/>
          <w:szCs w:val="20"/>
          <w:color w:val="auto"/>
          <w:vertAlign w:val="superscript"/>
        </w:rPr>
      </w:pPr>
      <w:r>
        <w:rPr>
          <w:rFonts w:ascii="Arial" w:cs="Arial" w:eastAsia="Arial" w:hAnsi="Arial"/>
          <w:sz w:val="15"/>
          <w:szCs w:val="15"/>
          <w:color w:val="auto"/>
        </w:rPr>
        <w:t>Adjustment records the income tax provision on Able’s income from continuing operations based on an estimated tax rate of 28%. Because the tax rate used for these Pro Forma Financial Statements is an estimate, it will likely vary from the actual effective rate in future periods.</w:t>
      </w:r>
    </w:p>
    <w:p>
      <w:pPr>
        <w:ind w:left="332" w:hanging="170"/>
        <w:spacing w:after="0" w:line="203" w:lineRule="auto"/>
        <w:tabs>
          <w:tab w:leader="none" w:pos="332" w:val="left"/>
        </w:tabs>
        <w:numPr>
          <w:ilvl w:val="0"/>
          <w:numId w:val="39"/>
        </w:numPr>
        <w:rPr>
          <w:rFonts w:ascii="Arial" w:cs="Arial" w:eastAsia="Arial" w:hAnsi="Arial"/>
          <w:sz w:val="20"/>
          <w:szCs w:val="20"/>
          <w:color w:val="auto"/>
          <w:vertAlign w:val="superscript"/>
        </w:rPr>
      </w:pPr>
      <w:r>
        <w:rPr>
          <w:rFonts w:ascii="Arial" w:cs="Arial" w:eastAsia="Arial" w:hAnsi="Arial"/>
          <w:sz w:val="15"/>
          <w:szCs w:val="15"/>
          <w:color w:val="auto"/>
        </w:rPr>
        <w:t>Adjustment records an estimated statutory rate of 28% on pro forma adjustments related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sectPr>
      <w:pgSz w:w="11900" w:h="16838" w:orient="portrait"/>
      <w:cols w:equalWidth="0" w:num="1">
        <w:col w:w="11232"/>
      </w:cols>
      <w:pgMar w:left="328"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2"/>
    </w:lvl>
  </w:abstractNum>
  <w:abstractNum w:abstractNumId="4">
    <w:nsid w:val="721DA317"/>
    <w:multiLevelType w:val="hybridMultilevel"/>
    <w:lvl w:ilvl="0">
      <w:lvlJc w:val="left"/>
      <w:lvlText w:val="%1."/>
      <w:numFmt w:val="decimal"/>
      <w:start w:val="2"/>
    </w:lvl>
  </w:abstractNum>
  <w:abstractNum w:abstractNumId="5">
    <w:nsid w:val="2443A858"/>
    <w:multiLevelType w:val="hybridMultilevel"/>
    <w:lvl w:ilvl="0">
      <w:lvlJc w:val="left"/>
      <w:lvlText w:val="%1."/>
      <w:numFmt w:val="decimal"/>
      <w:start w:val="2"/>
    </w:lvl>
    <w:lvl w:ilvl="1">
      <w:lvlJc w:val="left"/>
      <w:lvlText w:val="•"/>
      <w:numFmt w:val="bullet"/>
      <w:start w:val="1"/>
    </w:lvl>
  </w:abstractNum>
  <w:abstractNum w:abstractNumId="6">
    <w:nsid w:val="2D1D5AE9"/>
    <w:multiLevelType w:val="hybridMultilevel"/>
    <w:lvl w:ilvl="0">
      <w:lvlJc w:val="left"/>
      <w:lvlText w:val="%1."/>
      <w:numFmt w:val="decimal"/>
      <w:start w:val="2"/>
    </w:lvl>
  </w:abstractNum>
  <w:abstractNum w:abstractNumId="7">
    <w:nsid w:val="6763845E"/>
    <w:multiLevelType w:val="hybridMultilevel"/>
    <w:lvl w:ilvl="0">
      <w:lvlJc w:val="left"/>
      <w:lvlText w:val="%1."/>
      <w:numFmt w:val="decimal"/>
      <w:start w:val="4"/>
    </w:lvl>
  </w:abstractNum>
  <w:abstractNum w:abstractNumId="8">
    <w:nsid w:val="75A2A8D4"/>
    <w:multiLevelType w:val="hybridMultilevel"/>
    <w:lvl w:ilvl="0">
      <w:lvlJc w:val="left"/>
      <w:lvlText w:val="%1."/>
      <w:numFmt w:val="decimal"/>
      <w:start w:val="5"/>
    </w:lvl>
  </w:abstractNum>
  <w:abstractNum w:abstractNumId="9">
    <w:nsid w:val="8EDBDAB"/>
    <w:multiLevelType w:val="hybridMultilevel"/>
    <w:lvl w:ilvl="0">
      <w:lvlJc w:val="left"/>
      <w:lvlText w:val="%1."/>
      <w:numFmt w:val="decimal"/>
      <w:start w:val="6"/>
    </w:lvl>
  </w:abstractNum>
  <w:abstractNum w:abstractNumId="10">
    <w:nsid w:val="79838CB2"/>
    <w:multiLevelType w:val="hybridMultilevel"/>
    <w:lvl w:ilvl="0">
      <w:lvlJc w:val="left"/>
      <w:lvlText w:val="%1."/>
      <w:numFmt w:val="decimal"/>
      <w:start w:val="8"/>
    </w:lvl>
  </w:abstractNum>
  <w:abstractNum w:abstractNumId="11">
    <w:nsid w:val="4353D0CD"/>
    <w:multiLevelType w:val="hybridMultilevel"/>
    <w:lvl w:ilvl="0">
      <w:lvlJc w:val="left"/>
      <w:lvlText w:val="%1."/>
      <w:numFmt w:val="decimal"/>
      <w:start w:val="11"/>
    </w:lvl>
  </w:abstractNum>
  <w:abstractNum w:abstractNumId="12">
    <w:nsid w:val="B03E0C6"/>
    <w:multiLevelType w:val="hybridMultilevel"/>
    <w:lvl w:ilvl="0">
      <w:lvlJc w:val="left"/>
      <w:lvlText w:val="%1."/>
      <w:numFmt w:val="decimal"/>
      <w:start w:val="13"/>
    </w:lvl>
    <w:lvl w:ilvl="1">
      <w:lvlJc w:val="left"/>
      <w:lvlText w:val="%2."/>
      <w:numFmt w:val="lowerLetter"/>
      <w:start w:val="1"/>
    </w:lvl>
  </w:abstractNum>
  <w:abstractNum w:abstractNumId="13">
    <w:nsid w:val="189A769B"/>
    <w:multiLevelType w:val="hybridMultilevel"/>
    <w:lvl w:ilvl="0">
      <w:lvlJc w:val="left"/>
      <w:lvlText w:val="(%1)"/>
      <w:numFmt w:val="lowerLetter"/>
      <w:start w:val="1"/>
    </w:lvl>
  </w:abstractNum>
  <w:abstractNum w:abstractNumId="14">
    <w:nsid w:val="54E49EB4"/>
    <w:multiLevelType w:val="hybridMultilevel"/>
    <w:lvl w:ilvl="0">
      <w:lvlJc w:val="left"/>
      <w:lvlText w:val="%1."/>
      <w:numFmt w:val="decimal"/>
      <w:start w:val="13"/>
    </w:lvl>
  </w:abstractNum>
  <w:abstractNum w:abstractNumId="15">
    <w:nsid w:val="71F32454"/>
    <w:multiLevelType w:val="hybridMultilevel"/>
    <w:lvl w:ilvl="0">
      <w:lvlJc w:val="left"/>
      <w:lvlText w:val="%1."/>
      <w:numFmt w:val="decimal"/>
      <w:start w:val="14"/>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2"/>
    </w:lvl>
  </w:abstractNum>
  <w:abstractNum w:abstractNumId="18">
    <w:nsid w:val="2901D82"/>
    <w:multiLevelType w:val="hybridMultilevel"/>
    <w:lvl w:ilvl="0">
      <w:lvlJc w:val="left"/>
      <w:lvlText w:val="%1."/>
      <w:numFmt w:val="decimal"/>
      <w:start w:val="2"/>
    </w:lvl>
  </w:abstractNum>
  <w:abstractNum w:abstractNumId="19">
    <w:nsid w:val="3A95F874"/>
    <w:multiLevelType w:val="hybridMultilevel"/>
    <w:lvl w:ilvl="0">
      <w:lvlJc w:val="left"/>
      <w:lvlText w:val="%1."/>
      <w:numFmt w:val="decimal"/>
      <w:start w:val="2"/>
    </w:lvl>
    <w:lvl w:ilvl="1">
      <w:lvlJc w:val="left"/>
      <w:lvlText w:val="•"/>
      <w:numFmt w:val="bullet"/>
      <w:start w:val="1"/>
    </w:lvl>
  </w:abstractNum>
  <w:abstractNum w:abstractNumId="20">
    <w:nsid w:val="8138641"/>
    <w:multiLevelType w:val="hybridMultilevel"/>
    <w:lvl w:ilvl="0">
      <w:lvlJc w:val="left"/>
      <w:lvlText w:val="%1."/>
      <w:numFmt w:val="decimal"/>
      <w:start w:val="2"/>
    </w:lvl>
  </w:abstractNum>
  <w:abstractNum w:abstractNumId="21">
    <w:nsid w:val="1E7FF521"/>
    <w:multiLevelType w:val="hybridMultilevel"/>
    <w:lvl w:ilvl="0">
      <w:lvlJc w:val="left"/>
      <w:lvlText w:val="%1."/>
      <w:numFmt w:val="decimal"/>
      <w:start w:val="4"/>
    </w:lvl>
  </w:abstractNum>
  <w:abstractNum w:abstractNumId="22">
    <w:nsid w:val="7C3DBD3D"/>
    <w:multiLevelType w:val="hybridMultilevel"/>
    <w:lvl w:ilvl="0">
      <w:lvlJc w:val="left"/>
      <w:lvlText w:val="%1."/>
      <w:numFmt w:val="decimal"/>
      <w:start w:val="5"/>
    </w:lvl>
  </w:abstractNum>
  <w:abstractNum w:abstractNumId="23">
    <w:nsid w:val="737B8DDC"/>
    <w:multiLevelType w:val="hybridMultilevel"/>
    <w:lvl w:ilvl="0">
      <w:lvlJc w:val="left"/>
      <w:lvlText w:val="%1."/>
      <w:numFmt w:val="decimal"/>
      <w:start w:val="6"/>
    </w:lvl>
  </w:abstractNum>
  <w:abstractNum w:abstractNumId="24">
    <w:nsid w:val="6CEAF087"/>
    <w:multiLevelType w:val="hybridMultilevel"/>
    <w:lvl w:ilvl="0">
      <w:lvlJc w:val="left"/>
      <w:lvlText w:val="%1."/>
      <w:numFmt w:val="decimal"/>
      <w:start w:val="7"/>
    </w:lvl>
  </w:abstractNum>
  <w:abstractNum w:abstractNumId="25">
    <w:nsid w:val="22221A70"/>
    <w:multiLevelType w:val="hybridMultilevel"/>
    <w:lvl w:ilvl="0">
      <w:lvlJc w:val="left"/>
      <w:lvlText w:val="%1."/>
      <w:numFmt w:val="decimal"/>
      <w:start w:val="11"/>
    </w:lvl>
    <w:lvl w:ilvl="1">
      <w:lvlJc w:val="left"/>
      <w:lvlText w:val="•"/>
      <w:numFmt w:val="bullet"/>
      <w:start w:val="1"/>
    </w:lvl>
  </w:abstractNum>
  <w:abstractNum w:abstractNumId="26">
    <w:nsid w:val="4516DDE9"/>
    <w:multiLevelType w:val="hybridMultilevel"/>
    <w:lvl w:ilvl="0">
      <w:lvlJc w:val="left"/>
      <w:lvlText w:val="%1."/>
      <w:numFmt w:val="lowerLetter"/>
      <w:start w:val="1"/>
    </w:lvl>
  </w:abstractNum>
  <w:abstractNum w:abstractNumId="27">
    <w:nsid w:val="3006C83E"/>
    <w:multiLevelType w:val="hybridMultilevel"/>
    <w:lvl w:ilvl="0">
      <w:lvlJc w:val="left"/>
      <w:lvlText w:val="%1."/>
      <w:numFmt w:val="lowerLetter"/>
      <w:start w:val="2"/>
    </w:lvl>
  </w:abstractNum>
  <w:abstractNum w:abstractNumId="28">
    <w:nsid w:val="614FD4A1"/>
    <w:multiLevelType w:val="hybridMultilevel"/>
    <w:lvl w:ilvl="0">
      <w:lvlJc w:val="left"/>
      <w:lvlText w:val="%1."/>
      <w:numFmt w:val="lowerLetter"/>
      <w:start w:val="3"/>
    </w:lvl>
  </w:abstractNum>
  <w:abstractNum w:abstractNumId="29">
    <w:nsid w:val="419AC241"/>
    <w:multiLevelType w:val="hybridMultilevel"/>
    <w:lvl w:ilvl="0">
      <w:lvlJc w:val="left"/>
      <w:lvlText w:val="%1."/>
      <w:numFmt w:val="lowerLetter"/>
      <w:start w:val="5"/>
    </w:lvl>
  </w:abstractNum>
  <w:abstractNum w:abstractNumId="30">
    <w:nsid w:val="5577F8E1"/>
    <w:multiLevelType w:val="hybridMultilevel"/>
    <w:lvl w:ilvl="0">
      <w:lvlJc w:val="left"/>
      <w:lvlText w:val="%1."/>
      <w:numFmt w:val="lowerLetter"/>
      <w:start w:val="7"/>
    </w:lvl>
  </w:abstractNum>
  <w:abstractNum w:abstractNumId="31">
    <w:nsid w:val="440BADFC"/>
    <w:multiLevelType w:val="hybridMultilevel"/>
    <w:lvl w:ilvl="0">
      <w:lvlJc w:val="left"/>
      <w:lvlText w:val="%1."/>
      <w:numFmt w:val="lowerLetter"/>
      <w:start w:val="8"/>
    </w:lvl>
  </w:abstractNum>
  <w:abstractNum w:abstractNumId="32">
    <w:nsid w:val="5072367"/>
    <w:multiLevelType w:val="hybridMultilevel"/>
    <w:lvl w:ilvl="0">
      <w:lvlJc w:val="left"/>
      <w:lvlText w:val="%1."/>
      <w:numFmt w:val="lowerLetter"/>
      <w:start w:val="10"/>
    </w:lvl>
  </w:abstractNum>
  <w:abstractNum w:abstractNumId="33">
    <w:nsid w:val="3804823E"/>
    <w:multiLevelType w:val="hybridMultilevel"/>
    <w:lvl w:ilvl="0">
      <w:lvlJc w:val="left"/>
      <w:lvlText w:val="%1."/>
      <w:numFmt w:val="lowerLetter"/>
      <w:start w:val="11"/>
    </w:lvl>
  </w:abstractNum>
  <w:abstractNum w:abstractNumId="34">
    <w:nsid w:val="77465F01"/>
    <w:multiLevelType w:val="hybridMultilevel"/>
    <w:lvl w:ilvl="0">
      <w:lvlJc w:val="left"/>
      <w:lvlText w:val="%1"/>
      <w:numFmt w:val="lowerLetter"/>
      <w:start w:val="1"/>
    </w:lvl>
    <w:lvl w:ilvl="1">
      <w:lvlJc w:val="left"/>
      <w:lvlText w:val="(%2)"/>
      <w:numFmt w:val="decimal"/>
      <w:start w:val="1"/>
    </w:lvl>
  </w:abstractNum>
  <w:abstractNum w:abstractNumId="35">
    <w:nsid w:val="7724C67E"/>
    <w:multiLevelType w:val="hybridMultilevel"/>
    <w:lvl w:ilvl="0">
      <w:lvlJc w:val="left"/>
      <w:lvlText w:val="%1."/>
      <w:numFmt w:val="lowerLetter"/>
      <w:start w:val="13"/>
    </w:lvl>
    <w:lvl w:ilvl="1">
      <w:lvlJc w:val="left"/>
      <w:lvlText w:val="%2"/>
      <w:numFmt w:val="decimal"/>
      <w:start w:val="1"/>
    </w:lvl>
  </w:abstractNum>
  <w:abstractNum w:abstractNumId="36">
    <w:nsid w:val="5C482A97"/>
    <w:multiLevelType w:val="hybridMultilevel"/>
    <w:lvl w:ilvl="0">
      <w:lvlJc w:val="left"/>
      <w:lvlText w:val="%1."/>
      <w:numFmt w:val="lowerLetter"/>
      <w:start w:val="14"/>
    </w:lvl>
  </w:abstractNum>
  <w:abstractNum w:abstractNumId="37">
    <w:nsid w:val="2463B9EA"/>
    <w:multiLevelType w:val="hybridMultilevel"/>
    <w:lvl w:ilvl="0">
      <w:lvlJc w:val="left"/>
      <w:lvlText w:val="%1."/>
      <w:numFmt w:val="lowerLetter"/>
      <w:start w:val="15"/>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2021-11-22T15:41:17Z</dcterms:created>
  <dcterms:modified xsi:type="dcterms:W3CDTF">2021-11-22T15:41:17Z</dcterms:modified>
</cp:coreProperties>
</file>