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ind w:left="0" w:right="0" w:firstLine="7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80" w:after="283"/>
        <w:ind w:left="0" w:right="0" w:firstLine="630"/>
        <w:jc w:val="center"/>
        <w:rPr/>
      </w:pPr>
      <w:r>
        <w:rPr>
          <w:rFonts w:ascii="Arial;sans-serif" w:hAnsi="Arial;sans-serif"/>
          <w:b/>
          <w:color w:val="000000"/>
          <w:sz w:val="24"/>
        </w:rPr>
        <w:t xml:space="preserve">For the quarterly period ended </w:t>
      </w:r>
      <w:r>
        <w:rPr>
          <w:rFonts w:ascii="Arial;sans-serif" w:hAnsi="Arial;sans-serif"/>
          <w:b/>
          <w:color w:val="000000"/>
          <w:sz w:val="24"/>
          <w:u w:val="single"/>
        </w:rPr>
        <w:t>July 31,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0" w:after="12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to  </w:t>
      </w:r>
      <w:r>
        <w:rPr>
          <w:color w:val="000000"/>
          <w:u w:val="single"/>
        </w:rPr>
        <w:t>           </w:t>
      </w:r>
    </w:p>
    <w:p>
      <w:pPr>
        <w:pStyle w:val="TextBody"/>
        <w:bidi w:val="0"/>
        <w:spacing w:lineRule="auto" w:line="288" w:before="60" w:after="120"/>
        <w:jc w:val="center"/>
        <w:rPr/>
      </w:pPr>
      <w:r>
        <w:rPr>
          <w:rFonts w:ascii="Arial;sans-serif" w:hAnsi="Arial;sans-serif"/>
          <w:b/>
          <w:color w:val="000000"/>
          <w:sz w:val="20"/>
        </w:rPr>
        <w:t xml:space="preserve">Commission File Number: </w:t>
      </w:r>
      <w:r>
        <w:rPr>
          <w:rFonts w:ascii="Arial;sans-serif" w:hAnsi="Arial;sans-serif"/>
          <w:b/>
          <w:color w:val="000000"/>
          <w:sz w:val="20"/>
          <w:u w:val="single"/>
        </w:rPr>
        <w:t>1-8929</w:t>
      </w:r>
      <w:r>
        <w:rPr>
          <w:color w:val="000000"/>
        </w:rPr>
        <w:t> </w:t>
      </w:r>
    </w:p>
    <w:p>
      <w:pPr>
        <w:pStyle w:val="TextBody"/>
        <w:bidi w:val="0"/>
        <w:spacing w:before="180" w:after="60"/>
        <w:jc w:val="center"/>
        <w:rPr/>
      </w:pPr>
      <w:r>
        <w:rPr/>
      </w:r>
    </w:p>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ABM INDUSTRIES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7135" w:type="dxa"/>
        <w:jc w:val="left"/>
        <w:tblInd w:w="0" w:type="dxa"/>
        <w:tblLayout w:type="fixed"/>
        <w:tblCellMar>
          <w:top w:w="28" w:type="dxa"/>
          <w:left w:w="28" w:type="dxa"/>
          <w:bottom w:w="28" w:type="dxa"/>
          <w:right w:w="28" w:type="dxa"/>
        </w:tblCellMar>
      </w:tblPr>
      <w:tblGrid>
        <w:gridCol w:w="916"/>
        <w:gridCol w:w="804"/>
        <w:gridCol w:w="815"/>
        <w:gridCol w:w="1008"/>
        <w:gridCol w:w="1008"/>
        <w:gridCol w:w="1010"/>
        <w:gridCol w:w="459"/>
        <w:gridCol w:w="459"/>
        <w:gridCol w:w="656"/>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02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723900"/>
                          </a:xfrm>
                          <a:prstGeom prst="rect">
                            <a:avLst/>
                          </a:prstGeom>
                        </pic:spPr>
                      </pic:pic>
                    </a:graphicData>
                  </a:graphic>
                </wp:inline>
              </w:drawing>
            </w:r>
            <w:bookmarkStart w:id="0" w:name="i-1"/>
            <w:bookmarkEnd w:id="0"/>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94-1369354</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3026" w:type="dxa"/>
            <w:gridSpan w:val="3"/>
            <w:vMerge w:val="continue"/>
            <w:tcBorders/>
            <w:tcMar>
              <w:top w:w="0" w:type="dxa"/>
              <w:left w:w="0" w:type="dxa"/>
              <w:bottom w:w="0" w:type="dxa"/>
              <w:right w:w="0" w:type="dxa"/>
            </w:tcMar>
            <w:vAlign w:val="center"/>
          </w:tcPr>
          <w:p>
            <w:pPr>
              <w:pStyle w:val="Normal"/>
              <w:bidi w:val="0"/>
              <w:jc w:val="left"/>
              <w:rPr/>
            </w:pPr>
            <w:r>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60" w:after="283"/>
        <w:jc w:val="center"/>
        <w:rPr/>
      </w:pPr>
      <w:r>
        <w:rPr>
          <w:rFonts w:ascii="Arial;sans-serif" w:hAnsi="Arial;sans-serif"/>
          <w:b/>
          <w:color w:val="000000"/>
          <w:sz w:val="20"/>
        </w:rPr>
        <w:t>One Liberty Plaza, 7</w:t>
      </w:r>
      <w:r>
        <w:rPr>
          <w:rFonts w:ascii="Arial;sans-serif" w:hAnsi="Arial;sans-serif"/>
          <w:b/>
          <w:color w:val="000000"/>
          <w:sz w:val="13"/>
        </w:rPr>
        <w:t>th</w:t>
      </w:r>
      <w:r>
        <w:rPr>
          <w:color w:val="000000"/>
        </w:rPr>
        <w:t xml:space="preserve"> </w:t>
      </w:r>
      <w:r>
        <w:rPr>
          <w:rFonts w:ascii="Arial;sans-serif" w:hAnsi="Arial;sans-serif"/>
          <w:b/>
          <w:color w:val="000000"/>
          <w:sz w:val="20"/>
        </w:rPr>
        <w:t xml:space="preserve">Floor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New York, New York 10006 </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60"/>
        <w:jc w:val="center"/>
        <w:rPr>
          <w:rFonts w:ascii="Arial;sans-serif" w:hAnsi="Arial;sans-serif"/>
          <w:b/>
          <w:color w:val="000000"/>
          <w:sz w:val="20"/>
          <w:u w:val="single"/>
        </w:rPr>
      </w:pPr>
      <w:r>
        <w:rPr>
          <w:rFonts w:ascii="Arial;sans-serif" w:hAnsi="Arial;sans-serif"/>
          <w:b/>
          <w:color w:val="000000"/>
          <w:sz w:val="20"/>
          <w:u w:val="single"/>
        </w:rPr>
        <w:t>(212) 297-0200</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None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former address and former fiscal year, if changed since last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678" w:type="dxa"/>
        <w:jc w:val="left"/>
        <w:tblInd w:w="0" w:type="dxa"/>
        <w:tblLayout w:type="fixed"/>
        <w:tblCellMar>
          <w:top w:w="28" w:type="dxa"/>
          <w:left w:w="28" w:type="dxa"/>
          <w:bottom w:w="28" w:type="dxa"/>
          <w:right w:w="28" w:type="dxa"/>
        </w:tblCellMar>
      </w:tblPr>
      <w:tblGrid>
        <w:gridCol w:w="1027"/>
        <w:gridCol w:w="902"/>
        <w:gridCol w:w="906"/>
        <w:gridCol w:w="109"/>
        <w:gridCol w:w="109"/>
        <w:gridCol w:w="109"/>
        <w:gridCol w:w="464"/>
        <w:gridCol w:w="464"/>
        <w:gridCol w:w="466"/>
        <w:gridCol w:w="109"/>
        <w:gridCol w:w="109"/>
        <w:gridCol w:w="109"/>
        <w:gridCol w:w="1108"/>
        <w:gridCol w:w="1108"/>
        <w:gridCol w:w="1579"/>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 Stock Exchange</w:t>
            </w:r>
          </w:p>
        </w:tc>
      </w:tr>
    </w:tbl>
    <w:p>
      <w:pPr>
        <w:pStyle w:val="TextBody"/>
        <w:bidi w:val="0"/>
        <w:spacing w:lineRule="auto" w:line="288" w:before="180" w:after="283"/>
        <w:jc w:val="both"/>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 </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614"/>
        <w:gridCol w:w="538"/>
        <w:gridCol w:w="541"/>
        <w:gridCol w:w="109"/>
        <w:gridCol w:w="109"/>
        <w:gridCol w:w="109"/>
        <w:gridCol w:w="457"/>
        <w:gridCol w:w="457"/>
        <w:gridCol w:w="458"/>
        <w:gridCol w:w="109"/>
        <w:gridCol w:w="109"/>
        <w:gridCol w:w="109"/>
        <w:gridCol w:w="582"/>
        <w:gridCol w:w="582"/>
        <w:gridCol w:w="583"/>
        <w:gridCol w:w="109"/>
        <w:gridCol w:w="109"/>
        <w:gridCol w:w="109"/>
        <w:gridCol w:w="617"/>
        <w:gridCol w:w="617"/>
        <w:gridCol w:w="619"/>
        <w:gridCol w:w="109"/>
        <w:gridCol w:w="109"/>
        <w:gridCol w:w="109"/>
        <w:gridCol w:w="617"/>
        <w:gridCol w:w="617"/>
        <w:gridCol w:w="619"/>
        <w:gridCol w:w="109"/>
        <w:gridCol w:w="109"/>
        <w:gridCol w:w="161"/>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Arial;sans-serif" w:hAnsi="Arial;sans-serif"/>
          <w:b w:val="false"/>
          <w:color w:val="000000"/>
          <w:sz w:val="20"/>
        </w:rPr>
        <w:t xml:space="preserve">Indicate by check mark whether the registrant is a shell company (as defined in Rule 12b-2 of the Exchange Act).   Yes   </w:t>
      </w:r>
      <w:r>
        <w:rPr>
          <w:color w:val="000000"/>
        </w:rPr>
        <w:t>☐  </w:t>
      </w:r>
      <w:r>
        <w:rPr>
          <w:rFonts w:ascii="Arial;sans-serif" w:hAnsi="Arial;sans-serif"/>
          <w:b w:val="false"/>
          <w:color w:val="000000"/>
          <w:sz w:val="20"/>
        </w:rPr>
        <w:t>No</w:t>
      </w:r>
      <w:r>
        <w:rPr>
          <w:color w:val="000000"/>
        </w:rPr>
        <w:t xml:space="preserve"> ☑</w:t>
      </w:r>
    </w:p>
    <w:p>
      <w:pPr>
        <w:pStyle w:val="TextBody"/>
        <w:bidi w:val="0"/>
        <w:spacing w:lineRule="auto" w:line="288" w:before="180" w:after="60"/>
        <w:jc w:val="center"/>
        <w:rPr>
          <w:rFonts w:ascii="Arial;sans-serif" w:hAnsi="Arial;sans-serif"/>
          <w:b w:val="false"/>
          <w:color w:val="000000"/>
          <w:sz w:val="20"/>
        </w:rPr>
      </w:pPr>
      <w:r>
        <w:rPr>
          <w:rFonts w:ascii="Arial;sans-serif" w:hAnsi="Arial;sans-serif"/>
          <w:b w:val="false"/>
          <w:color w:val="000000"/>
          <w:sz w:val="20"/>
        </w:rPr>
        <w:t>Number of shares of the registrant’s common stock outstanding as of September 8, 2026: 58,614,592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ABM INDUSTRIES INCORPORATED AND SUBSIDIARIES</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TABLE OF CONTENTS</w:t>
      </w:r>
    </w:p>
    <w:tbl>
      <w:tblPr>
        <w:tblW w:w="7466" w:type="dxa"/>
        <w:jc w:val="left"/>
        <w:tblInd w:w="0" w:type="dxa"/>
        <w:tblLayout w:type="fixed"/>
        <w:tblCellMar>
          <w:top w:w="28" w:type="dxa"/>
          <w:left w:w="28" w:type="dxa"/>
          <w:bottom w:w="28" w:type="dxa"/>
          <w:right w:w="28" w:type="dxa"/>
        </w:tblCellMar>
      </w:tblPr>
      <w:tblGrid>
        <w:gridCol w:w="2571"/>
        <w:gridCol w:w="2259"/>
        <w:gridCol w:w="2264"/>
        <w:gridCol w:w="109"/>
        <w:gridCol w:w="109"/>
        <w:gridCol w:w="154"/>
      </w:tblGrid>
      <w:tr>
        <w:trPr/>
        <w:tc>
          <w:tcPr>
            <w:tcW w:w="2571"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FORWARD-LOOKING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0">
              <w:r>
                <w:rPr>
                  <w:rStyle w:val="InternetLink"/>
                  <w:rFonts w:ascii="Arial;sans-serif" w:hAnsi="Arial;sans-serif"/>
                  <w:b w:val="false"/>
                  <w:color w:val="0000FF"/>
                  <w:sz w:val="17"/>
                  <w:u w:val="single"/>
                </w:rPr>
                <w:t>1</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PART I. FINANCIAL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3">
              <w:r>
                <w:rPr>
                  <w:rStyle w:val="InternetLink"/>
                  <w:rFonts w:ascii="Arial;sans-serif" w:hAnsi="Arial;sans-serif"/>
                  <w:b w:val="false"/>
                  <w:color w:val="0000FF"/>
                  <w:sz w:val="17"/>
                  <w:u w:val="single"/>
                </w:rPr>
                <w:t>3</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Item 1. Consolidated Financial Statements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3">
              <w:r>
                <w:rPr>
                  <w:rStyle w:val="InternetLink"/>
                  <w:rFonts w:ascii="Arial;sans-serif" w:hAnsi="Arial;sans-serif"/>
                  <w:b w:val="false"/>
                  <w:color w:val="0000FF"/>
                  <w:sz w:val="17"/>
                  <w:u w:val="single"/>
                </w:rPr>
                <w:t>3</w:t>
              </w:r>
            </w:hyperlink>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 Management’s Discussion and Analysis of Financial Condition and Results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91">
              <w:r>
                <w:rPr>
                  <w:rStyle w:val="InternetLink"/>
                  <w:rFonts w:ascii="Arial;sans-serif" w:hAnsi="Arial;sans-serif"/>
                  <w:b w:val="false"/>
                  <w:color w:val="0000FF"/>
                  <w:sz w:val="17"/>
                  <w:u w:val="single"/>
                </w:rPr>
                <w:t>27</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 Quantitative and Qualitative Disclosures About Market Risk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21">
              <w:r>
                <w:rPr>
                  <w:rStyle w:val="InternetLink"/>
                  <w:rFonts w:ascii="Arial;sans-serif" w:hAnsi="Arial;sans-serif"/>
                  <w:b w:val="false"/>
                  <w:color w:val="0000FF"/>
                  <w:sz w:val="17"/>
                  <w:u w:val="single"/>
                </w:rPr>
                <w:t>43</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 Controls and Procedures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24">
              <w:r>
                <w:rPr>
                  <w:rStyle w:val="InternetLink"/>
                  <w:rFonts w:ascii="Arial;sans-serif" w:hAnsi="Arial;sans-serif"/>
                  <w:b w:val="false"/>
                  <w:color w:val="0000FF"/>
                  <w:sz w:val="17"/>
                  <w:u w:val="single"/>
                </w:rPr>
                <w:t>43</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PART II. OTHER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27">
              <w:r>
                <w:rPr>
                  <w:rStyle w:val="InternetLink"/>
                  <w:rFonts w:ascii="Arial;sans-serif" w:hAnsi="Arial;sans-serif"/>
                  <w:b w:val="false"/>
                  <w:color w:val="0000FF"/>
                  <w:sz w:val="17"/>
                  <w:u w:val="single"/>
                </w:rPr>
                <w:t>43</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 Legal Proceedings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30">
              <w:r>
                <w:rPr>
                  <w:rStyle w:val="InternetLink"/>
                  <w:rFonts w:ascii="Arial;sans-serif" w:hAnsi="Arial;sans-serif"/>
                  <w:b w:val="false"/>
                  <w:color w:val="0000FF"/>
                  <w:sz w:val="17"/>
                  <w:u w:val="single"/>
                </w:rPr>
                <w:t>43</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1A. 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33">
              <w:r>
                <w:rPr>
                  <w:rStyle w:val="InternetLink"/>
                  <w:rFonts w:ascii="Arial;sans-serif" w:hAnsi="Arial;sans-serif"/>
                  <w:b w:val="false"/>
                  <w:color w:val="0000FF"/>
                  <w:sz w:val="17"/>
                  <w:u w:val="single"/>
                </w:rPr>
                <w:t>43</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 Unregistered Sales of Equity Securities and Use of Proceeds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36">
              <w:r>
                <w:rPr>
                  <w:rStyle w:val="InternetLink"/>
                  <w:rFonts w:ascii="Arial;sans-serif" w:hAnsi="Arial;sans-serif"/>
                  <w:b w:val="false"/>
                  <w:color w:val="0000FF"/>
                  <w:sz w:val="17"/>
                  <w:u w:val="single"/>
                </w:rPr>
                <w:t>44</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 Defaults Upon Senior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39">
              <w:r>
                <w:rPr>
                  <w:rStyle w:val="InternetLink"/>
                  <w:rFonts w:ascii="Arial;sans-serif" w:hAnsi="Arial;sans-serif"/>
                  <w:b w:val="false"/>
                  <w:color w:val="0000FF"/>
                  <w:sz w:val="17"/>
                  <w:u w:val="single"/>
                </w:rPr>
                <w:t>44</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 Mine Safety Disclosures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42">
              <w:r>
                <w:rPr>
                  <w:rStyle w:val="InternetLink"/>
                  <w:rFonts w:ascii="Arial;sans-serif" w:hAnsi="Arial;sans-serif"/>
                  <w:b w:val="false"/>
                  <w:color w:val="0000FF"/>
                  <w:sz w:val="17"/>
                  <w:u w:val="single"/>
                </w:rPr>
                <w:t>44</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5. Other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45">
              <w:r>
                <w:rPr>
                  <w:rStyle w:val="InternetLink"/>
                  <w:rFonts w:ascii="Arial;sans-serif" w:hAnsi="Arial;sans-serif"/>
                  <w:b w:val="false"/>
                  <w:color w:val="0000FF"/>
                  <w:sz w:val="17"/>
                  <w:u w:val="single"/>
                </w:rPr>
                <w:t>44</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6. Exhibits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51">
              <w:r>
                <w:rPr>
                  <w:rStyle w:val="InternetLink"/>
                  <w:rFonts w:ascii="Arial;sans-serif" w:hAnsi="Arial;sans-serif"/>
                  <w:b w:val="false"/>
                  <w:color w:val="0000FF"/>
                  <w:sz w:val="17"/>
                  <w:u w:val="single"/>
                </w:rPr>
                <w:t>45</w:t>
              </w:r>
            </w:hyperlink>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SIGNATURES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fba3a3f3641f68dba3ff7a06085c6_154">
              <w:r>
                <w:rPr>
                  <w:rStyle w:val="InternetLink"/>
                  <w:rFonts w:ascii="Arial;sans-serif" w:hAnsi="Arial;sans-serif"/>
                  <w:b w:val="false"/>
                  <w:color w:val="0000FF"/>
                  <w:sz w:val="17"/>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FORWARD-LOOKING STATEMENTS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success depends on our ability to gain profitable business despite competitive market pressures.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results of operations can be adversely affected by labor shortages, turnover, and labor cost increases.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not be able to attract and retain qualified personnel and senior management we need to support our business.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ability to preserve long-term client relationships is essential to our continued success.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use of subcontractors or joint venture partners to perform work under customer contracts exposes us to liability and financial risk.</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international business involves risks different from those we face in the United States that could negatively impact our results of operations and financial condition.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Decreases in commercial office space utilization due to hybrid work models and increases in office vacancy rates could adversely affect our financial condition.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experience breaches of, or disruptions to, our information technology systems or those of our third-party providers or clients, or other compromises of our data that could adversely affect our business.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ongoing implementation of new enterprise resource planning (“ERP”) and related boundary systems could adversely impact our ability to operate our business, including the timing and amount of working capital needed, and report our financial results.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Acquisitions, divestitures, and other strategic transactions could fail to achieve financial or strategic objectives, disrupt our ongoing business, and adversely impact our results of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not realize the growth opportunities and synergies that are anticipated from our acquisition of Iveagh New Opportunities Limited, a company incorporated in Ireland, and its direct and indirect wholly owned subsidiaries (collectively, “WGNSTAR”).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risk management and safety programs may not have the intended effect of reducing our liability for personal injury or property loss.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Unfavorable developments in our class and representative actions and other lawsuits alleging various claims could cause us to incur substantial liabilities.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are subject to extensive legal and regulatory requirements, which could limit our profitability by increasing the costs of legal and regulatory compliance.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350"/>
                <wp:effectExtent l="0" t="0" r="0" b="0"/>
                <wp:wrapNone/>
                <wp:docPr id="5" name="Frame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business may be materially affected by changes to fiscal and tax policies. Negative or unexpected tax consequences could adversely affect our results of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Future increases in the level of our borrowings and interest rates could affect our results of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Impairment of goodwill and long-lived assets could have a material adverse effect on our financial condition and results of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business may be negatively impacted by adverse weather conditions.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Catastrophic events, disasters, pandemics, and terrorist attacks could disrupt our services.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Actions of activist investors could disrupt our business.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list of factors above is illustrative and by no means exhaustive. Additional information regarding these and other risks and uncertainties we face is contained in our Annual Report on Form 10-K for the year ended October 31, 2025, and in other reports (including all amendments to those reports) we file from time to time with the Securities and Exchange Commission (“SEC”).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0350"/>
                <wp:effectExtent l="0" t="0" r="0" b="0"/>
                <wp:wrapNone/>
                <wp:docPr id="6" name="Frame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30" w:after="283"/>
        <w:jc w:val="both"/>
        <w:rPr>
          <w:rFonts w:ascii="Arial;sans-serif" w:hAnsi="Arial;sans-serif"/>
          <w:b/>
          <w:color w:val="0046AD"/>
          <w:sz w:val="20"/>
        </w:rPr>
      </w:pPr>
      <w:r>
        <w:rPr>
          <w:rFonts w:ascii="Arial;sans-serif" w:hAnsi="Arial;sans-serif"/>
          <w:b/>
          <w:color w:val="0046AD"/>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30" w:after="283"/>
        <w:jc w:val="both"/>
        <w:rPr>
          <w:rFonts w:ascii="Arial;sans-serif" w:hAnsi="Arial;sans-serif"/>
          <w:b/>
          <w:color w:val="0046AD"/>
          <w:sz w:val="20"/>
        </w:rPr>
      </w:pPr>
      <w:r>
        <w:rPr>
          <w:rFonts w:ascii="Arial;sans-serif" w:hAnsi="Arial;sans-serif"/>
          <w:b/>
          <w:color w:val="0046AD"/>
          <w:sz w:val="20"/>
        </w:rPr>
        <w:t xml:space="preserve">ITEM 1. CONSOLIDATED FINANCIAL STATEMENTS. </w:t>
      </w:r>
    </w:p>
    <w:p>
      <w:pPr>
        <w:pStyle w:val="TextBody"/>
        <w:bidi w:val="0"/>
        <w:spacing w:lineRule="auto" w:line="288" w:before="13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88" w:before="130" w:after="120"/>
        <w:jc w:val="center"/>
        <w:rPr>
          <w:rFonts w:ascii="Arial;sans-serif" w:hAnsi="Arial;sans-serif"/>
          <w:b/>
          <w:color w:val="0046AD"/>
          <w:sz w:val="20"/>
        </w:rPr>
      </w:pPr>
      <w:r>
        <w:rPr>
          <w:rFonts w:ascii="Arial;sans-serif" w:hAnsi="Arial;sans-serif"/>
          <w:b/>
          <w:color w:val="0046AD"/>
          <w:sz w:val="20"/>
        </w:rPr>
        <w:t>CONSOLIDATED BALANCE SHEETS</w:t>
      </w:r>
    </w:p>
    <w:p>
      <w:pPr>
        <w:pStyle w:val="TextBody"/>
        <w:bidi w:val="0"/>
        <w:spacing w:lineRule="auto" w:line="288" w:before="130" w:after="120"/>
        <w:jc w:val="center"/>
        <w:rPr>
          <w:rFonts w:ascii="Arial;sans-serif" w:hAnsi="Arial;sans-serif"/>
          <w:b/>
          <w:color w:val="0046AD"/>
          <w:sz w:val="20"/>
        </w:rPr>
      </w:pPr>
      <w:r>
        <w:rPr>
          <w:rFonts w:ascii="Arial;sans-serif" w:hAnsi="Arial;sans-serif"/>
          <w:b/>
          <w:color w:val="0046AD"/>
          <w:sz w:val="20"/>
        </w:rPr>
        <w:t>(UNAUDITED)</w:t>
      </w:r>
    </w:p>
    <w:tbl>
      <w:tblPr>
        <w:tblW w:w="10205" w:type="dxa"/>
        <w:jc w:val="center"/>
        <w:tblInd w:w="0" w:type="dxa"/>
        <w:tblLayout w:type="fixed"/>
        <w:tblCellMar>
          <w:top w:w="28" w:type="dxa"/>
          <w:left w:w="28" w:type="dxa"/>
          <w:bottom w:w="28" w:type="dxa"/>
          <w:right w:w="28" w:type="dxa"/>
        </w:tblCellMar>
      </w:tblPr>
      <w:tblGrid>
        <w:gridCol w:w="2891"/>
        <w:gridCol w:w="2200"/>
        <w:gridCol w:w="2209"/>
        <w:gridCol w:w="227"/>
        <w:gridCol w:w="825"/>
        <w:gridCol w:w="117"/>
        <w:gridCol w:w="109"/>
        <w:gridCol w:w="109"/>
        <w:gridCol w:w="109"/>
        <w:gridCol w:w="262"/>
        <w:gridCol w:w="953"/>
        <w:gridCol w:w="194"/>
      </w:tblGrid>
      <w:tr>
        <w:trPr/>
        <w:tc>
          <w:tcPr>
            <w:tcW w:w="2891"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 except share and per share amounts)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October 31, 2025</w:t>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6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7"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18"/>
              </w:rPr>
            </w:pPr>
            <w:r>
              <w:rPr>
                <w:rFonts w:ascii="Arial;sans-serif" w:hAnsi="Arial;sans-serif"/>
                <w:b w:val="false"/>
                <w:color w:val="000000"/>
                <w:sz w:val="18"/>
              </w:rPr>
              <w:t>Trade accounts receivable, net of allowances of $24.0 and $25.5</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at July 31, 2026 and October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incurred in excess of amounts billed</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1,938.7 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05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17"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9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Property, plant and equipment, net of accumulated depreciation of $415.8 and $379.8 at July 31, 2026 and October 31, 2025, respectively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intangible assets, net of accumulated amortizati</w:t>
            </w:r>
            <w:r>
              <w:rPr>
                <w:rFonts w:ascii="Arial;sans-serif" w:hAnsi="Arial;sans-serif"/>
                <w:b w:val="false"/>
                <w:color w:val="000000"/>
                <w:sz w:val="18"/>
                <w:shd w:fill="FFFFFF" w:val="clear"/>
              </w:rPr>
              <w:t xml:space="preserve">on </w:t>
            </w:r>
            <w:r>
              <w:rPr>
                <w:rFonts w:ascii="Arial;sans-serif" w:hAnsi="Arial;sans-serif"/>
                <w:b w:val="false"/>
                <w:color w:val="000000"/>
                <w:sz w:val="18"/>
              </w:rPr>
              <w:t>of $575.8 and $532.2</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8"/>
              </w:rPr>
              <w:t>at July 31, 2026 and October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2,741.2 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2,591.1 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2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5,601.0 </w:t>
            </w:r>
          </w:p>
        </w:tc>
        <w:tc>
          <w:tcPr>
            <w:tcW w:w="117"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5,269.5 </w:t>
            </w:r>
          </w:p>
        </w:tc>
        <w:tc>
          <w:tcPr>
            <w:tcW w:w="19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6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 net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430.8 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taxes — other than income</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claims</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lease liabilities</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5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1,401.8 </w:t>
            </w:r>
          </w:p>
        </w:tc>
        <w:tc>
          <w:tcPr>
            <w:tcW w:w="117"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1,305.7 </w:t>
            </w:r>
          </w:p>
        </w:tc>
        <w:tc>
          <w:tcPr>
            <w:tcW w:w="19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1,537.1 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lease liabilities</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liability,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insurance claims</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459.3 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income taxes payable</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3,483.8 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16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$0.01 par value; 500,000 shares authorized; none issued</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100,000,000 shares authorized;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58,614,592 and 60,176,611 shares issued and outstanding at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July 31, 2026 and October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437.4 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net of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1,446.8 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1,368.1 </w:t>
            </w:r>
          </w:p>
        </w:tc>
        <w:tc>
          <w:tcPr>
            <w:tcW w:w="19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1,785.6 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2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5,601.0 </w:t>
            </w:r>
          </w:p>
        </w:tc>
        <w:tc>
          <w:tcPr>
            <w:tcW w:w="117"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5,269.5 </w:t>
            </w:r>
          </w:p>
        </w:tc>
        <w:tc>
          <w:tcPr>
            <w:tcW w:w="19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350"/>
                <wp:effectExtent l="0" t="0" r="0" b="0"/>
                <wp:wrapNone/>
                <wp:docPr id="7" name="Frame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2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88" w:before="120" w:after="120"/>
        <w:jc w:val="center"/>
        <w:rPr>
          <w:rFonts w:ascii="Arial;sans-serif" w:hAnsi="Arial;sans-serif"/>
          <w:b/>
          <w:color w:val="0046AD"/>
          <w:sz w:val="20"/>
        </w:rPr>
      </w:pPr>
      <w:r>
        <w:rPr>
          <w:rFonts w:ascii="Arial;sans-serif" w:hAnsi="Arial;sans-serif"/>
          <w:b/>
          <w:color w:val="0046AD"/>
          <w:sz w:val="20"/>
        </w:rPr>
        <w:t>CONSOLIDATED STATEMENTS OF COMPREHENSIVE INCOME</w:t>
      </w:r>
    </w:p>
    <w:p>
      <w:pPr>
        <w:pStyle w:val="TextBody"/>
        <w:bidi w:val="0"/>
        <w:spacing w:lineRule="auto" w:line="288" w:before="120" w:after="120"/>
        <w:jc w:val="center"/>
        <w:rPr>
          <w:rFonts w:ascii="Arial;sans-serif" w:hAnsi="Arial;sans-serif"/>
          <w:b/>
          <w:color w:val="0046AD"/>
          <w:sz w:val="20"/>
        </w:rPr>
      </w:pPr>
      <w:r>
        <w:rPr>
          <w:rFonts w:ascii="Arial;sans-serif" w:hAnsi="Arial;sans-serif"/>
          <w:b/>
          <w:color w:val="0046AD"/>
          <w:sz w:val="20"/>
        </w:rPr>
        <w:t>(UNAUDITED)</w:t>
      </w:r>
    </w:p>
    <w:tbl>
      <w:tblPr>
        <w:tblW w:w="9989" w:type="dxa"/>
        <w:jc w:val="center"/>
        <w:tblInd w:w="0" w:type="dxa"/>
        <w:tblLayout w:type="fixed"/>
        <w:tblCellMar>
          <w:top w:w="28" w:type="dxa"/>
          <w:left w:w="28" w:type="dxa"/>
          <w:bottom w:w="28" w:type="dxa"/>
          <w:right w:w="28" w:type="dxa"/>
        </w:tblCellMar>
      </w:tblPr>
      <w:tblGrid>
        <w:gridCol w:w="1648"/>
        <w:gridCol w:w="1449"/>
        <w:gridCol w:w="1462"/>
        <w:gridCol w:w="216"/>
        <w:gridCol w:w="786"/>
        <w:gridCol w:w="111"/>
        <w:gridCol w:w="111"/>
        <w:gridCol w:w="111"/>
        <w:gridCol w:w="111"/>
        <w:gridCol w:w="216"/>
        <w:gridCol w:w="786"/>
        <w:gridCol w:w="111"/>
        <w:gridCol w:w="109"/>
        <w:gridCol w:w="109"/>
        <w:gridCol w:w="109"/>
        <w:gridCol w:w="211"/>
        <w:gridCol w:w="766"/>
        <w:gridCol w:w="109"/>
        <w:gridCol w:w="109"/>
        <w:gridCol w:w="109"/>
        <w:gridCol w:w="109"/>
        <w:gridCol w:w="211"/>
        <w:gridCol w:w="76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 except per share amounts)</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Revenues </w:t>
            </w:r>
          </w:p>
        </w:tc>
        <w:tc>
          <w:tcPr>
            <w:tcW w:w="2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2,317.1 </w:t>
            </w:r>
          </w:p>
        </w:tc>
        <w:tc>
          <w:tcPr>
            <w:tcW w:w="11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2,224.0 </w:t>
            </w:r>
          </w:p>
        </w:tc>
        <w:tc>
          <w:tcPr>
            <w:tcW w:w="11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6,850.6 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6,450.5 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expenses </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and related expenses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Operating profit </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0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1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1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100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1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1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54" w:type="dxa"/>
            <w:tcBorders/>
            <w:shd w:fill="DCE2E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DCE2E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per common share</w:t>
            </w:r>
          </w:p>
        </w:tc>
        <w:tc>
          <w:tcPr>
            <w:tcW w:w="1113"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0.84 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and common equivalent</w:t>
              <w:br/>
              <w:t>   shares outstanding</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to unaudited consolidated financial statements. </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350"/>
                <wp:effectExtent l="0" t="0" r="0" b="0"/>
                <wp:wrapNone/>
                <wp:docPr id="8" name="Frame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30" w:after="283"/>
        <w:jc w:val="both"/>
        <w:rPr/>
      </w:pPr>
      <w:r>
        <w:rPr/>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 xml:space="preserve">CONSOLIDATED STATEMENTS OF STOCKHOLDERS’ EQUITY </w:t>
      </w:r>
    </w:p>
    <w:p>
      <w:pPr>
        <w:pStyle w:val="TextBody"/>
        <w:bidi w:val="0"/>
        <w:spacing w:lineRule="auto" w:line="240" w:before="120" w:after="120"/>
        <w:jc w:val="center"/>
        <w:rPr>
          <w:rFonts w:ascii="Arial;sans-serif" w:hAnsi="Arial;sans-serif"/>
          <w:b/>
          <w:color w:val="0046AD"/>
          <w:sz w:val="20"/>
        </w:rPr>
      </w:pPr>
      <w:r>
        <w:rPr>
          <w:rFonts w:ascii="Arial;sans-serif" w:hAnsi="Arial;sans-serif"/>
          <w:b/>
          <w:color w:val="0046AD"/>
          <w:sz w:val="20"/>
        </w:rPr>
        <w:t>(UNAUDITED)</w:t>
      </w:r>
    </w:p>
    <w:tbl>
      <w:tblPr>
        <w:tblW w:w="11499" w:type="dxa"/>
        <w:jc w:val="left"/>
        <w:tblInd w:w="0" w:type="dxa"/>
        <w:tblLayout w:type="fixed"/>
        <w:tblCellMar>
          <w:top w:w="28" w:type="dxa"/>
          <w:left w:w="28" w:type="dxa"/>
          <w:bottom w:w="28" w:type="dxa"/>
          <w:right w:w="28" w:type="dxa"/>
        </w:tblCellMar>
      </w:tblPr>
      <w:tblGrid>
        <w:gridCol w:w="1016"/>
        <w:gridCol w:w="234"/>
        <w:gridCol w:w="236"/>
        <w:gridCol w:w="109"/>
        <w:gridCol w:w="109"/>
        <w:gridCol w:w="109"/>
        <w:gridCol w:w="255"/>
        <w:gridCol w:w="256"/>
        <w:gridCol w:w="241"/>
        <w:gridCol w:w="109"/>
        <w:gridCol w:w="109"/>
        <w:gridCol w:w="109"/>
        <w:gridCol w:w="211"/>
        <w:gridCol w:w="766"/>
        <w:gridCol w:w="109"/>
        <w:gridCol w:w="109"/>
        <w:gridCol w:w="109"/>
        <w:gridCol w:w="109"/>
        <w:gridCol w:w="255"/>
        <w:gridCol w:w="256"/>
        <w:gridCol w:w="241"/>
        <w:gridCol w:w="109"/>
        <w:gridCol w:w="109"/>
        <w:gridCol w:w="109"/>
        <w:gridCol w:w="211"/>
        <w:gridCol w:w="766"/>
        <w:gridCol w:w="109"/>
        <w:gridCol w:w="109"/>
        <w:gridCol w:w="109"/>
        <w:gridCol w:w="109"/>
        <w:gridCol w:w="255"/>
        <w:gridCol w:w="256"/>
        <w:gridCol w:w="241"/>
        <w:gridCol w:w="109"/>
        <w:gridCol w:w="109"/>
        <w:gridCol w:w="109"/>
        <w:gridCol w:w="211"/>
        <w:gridCol w:w="766"/>
        <w:gridCol w:w="109"/>
        <w:gridCol w:w="109"/>
        <w:gridCol w:w="109"/>
        <w:gridCol w:w="109"/>
        <w:gridCol w:w="255"/>
        <w:gridCol w:w="256"/>
        <w:gridCol w:w="241"/>
        <w:gridCol w:w="109"/>
        <w:gridCol w:w="109"/>
        <w:gridCol w:w="109"/>
        <w:gridCol w:w="211"/>
        <w:gridCol w:w="76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Common Stock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under employee stock purchase and share-based compensation plans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4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4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Repurchase of common stock, including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24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24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24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24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bookmarkStart w:id="1" w:name="i03ff5d83612341dd917c425995672a37_9-4-1-"/>
            <w:bookmarkEnd w:id="1"/>
            <w:r>
              <w:rPr>
                <w:rFonts w:ascii="Arial;sans-serif" w:hAnsi="Arial;sans-serif"/>
                <w:b w:val="false"/>
                <w:color w:val="000000"/>
                <w:sz w:val="18"/>
              </w:rPr>
              <w:t>350.8 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527.4 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Taxes withheld under employee stock purchase and share-based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Share-based compensation expense </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Repurchase of common stock, including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Accumulated Other Comprehensive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(loss) /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Dividends </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Common stock</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 issued under share-based compensation plans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1,790.2 </w:t>
            </w:r>
          </w:p>
        </w:tc>
        <w:tc>
          <w:tcPr>
            <w:tcW w:w="109"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1,830.9 </w:t>
            </w:r>
          </w:p>
        </w:tc>
        <w:tc>
          <w:tcPr>
            <w:tcW w:w="109"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1,790.2 </w:t>
            </w:r>
          </w:p>
        </w:tc>
        <w:tc>
          <w:tcPr>
            <w:tcW w:w="109"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1,830.9 </w:t>
            </w:r>
          </w:p>
        </w:tc>
        <w:tc>
          <w:tcPr>
            <w:tcW w:w="154"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0"/>
        <w:jc w:val="left"/>
        <w:rPr>
          <w:color w:val="000000"/>
        </w:rPr>
      </w:pPr>
      <w:r>
        <w:rPr>
          <w:color w:val="000000"/>
        </w:rPr>
        <w:t>    </w:t>
      </w:r>
    </w:p>
    <w:p>
      <w:pPr>
        <w:pStyle w:val="TextBody"/>
        <w:bidi w:val="0"/>
        <w:spacing w:lineRule="auto" w:line="240" w:before="120" w:after="2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Cash dividends declared per common share were $0.290 and $0.265 for the three months ended July 31, 2026 and 2025, respectively, and $0.870 and $0.795 for the nine months ended</w:t>
      </w:r>
      <w:r>
        <w:rPr>
          <w:color w:val="000000"/>
        </w:rPr>
        <w:t xml:space="preserve"> </w:t>
      </w:r>
      <w:r>
        <w:rPr>
          <w:rFonts w:ascii="Arial;sans-serif" w:hAnsi="Arial;sans-serif"/>
          <w:b w:val="false"/>
          <w:color w:val="000000"/>
          <w:sz w:val="16"/>
        </w:rPr>
        <w:t>July 31, 2026 and 2025, respectively.</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350"/>
                <wp:effectExtent l="0" t="0" r="0" b="0"/>
                <wp:wrapNone/>
                <wp:docPr id="9" name="Frame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88" w:before="180" w:after="120"/>
        <w:jc w:val="center"/>
        <w:rPr>
          <w:rFonts w:ascii="Arial;sans-serif" w:hAnsi="Arial;sans-serif"/>
          <w:b/>
          <w:color w:val="0046AD"/>
          <w:sz w:val="20"/>
        </w:rPr>
      </w:pPr>
      <w:r>
        <w:rPr>
          <w:rFonts w:ascii="Arial;sans-serif" w:hAnsi="Arial;sans-serif"/>
          <w:b/>
          <w:color w:val="0046AD"/>
          <w:sz w:val="20"/>
        </w:rPr>
        <w:t>CONSOLIDATED STATEMENTS OF CASH FLOWS</w:t>
      </w:r>
    </w:p>
    <w:p>
      <w:pPr>
        <w:pStyle w:val="TextBody"/>
        <w:bidi w:val="0"/>
        <w:spacing w:lineRule="auto" w:line="288" w:before="120" w:after="120"/>
        <w:jc w:val="center"/>
        <w:rPr>
          <w:rFonts w:ascii="Arial;sans-serif" w:hAnsi="Arial;sans-serif"/>
          <w:b/>
          <w:color w:val="0046AD"/>
          <w:sz w:val="20"/>
        </w:rPr>
      </w:pPr>
      <w:r>
        <w:rPr>
          <w:rFonts w:ascii="Arial;sans-serif" w:hAnsi="Arial;sans-serif"/>
          <w:b/>
          <w:color w:val="0046AD"/>
          <w:sz w:val="20"/>
        </w:rPr>
        <w:t>(UNAUDITED)</w:t>
      </w:r>
    </w:p>
    <w:tbl>
      <w:tblPr>
        <w:tblW w:w="9473" w:type="dxa"/>
        <w:jc w:val="center"/>
        <w:tblInd w:w="0" w:type="dxa"/>
        <w:tblLayout w:type="fixed"/>
        <w:tblCellMar>
          <w:top w:w="28" w:type="dxa"/>
          <w:left w:w="28" w:type="dxa"/>
          <w:bottom w:w="28" w:type="dxa"/>
          <w:right w:w="28" w:type="dxa"/>
        </w:tblCellMar>
      </w:tblPr>
      <w:tblGrid>
        <w:gridCol w:w="2524"/>
        <w:gridCol w:w="2221"/>
        <w:gridCol w:w="2229"/>
        <w:gridCol w:w="235"/>
        <w:gridCol w:w="687"/>
        <w:gridCol w:w="121"/>
        <w:gridCol w:w="121"/>
        <w:gridCol w:w="121"/>
        <w:gridCol w:w="121"/>
        <w:gridCol w:w="235"/>
        <w:gridCol w:w="687"/>
        <w:gridCol w:w="171"/>
      </w:tblGrid>
      <w:tr>
        <w:trPr/>
        <w:tc>
          <w:tcPr>
            <w:tcW w:w="252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w:t>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4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income to net cash provided by operating activities</w:t>
            </w:r>
          </w:p>
        </w:tc>
        <w:tc>
          <w:tcPr>
            <w:tcW w:w="104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bad debt</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accretion on insurance claims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assets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assets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unconsolidated affiliates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4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costs incurred in excess of amounts billed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 and other accrued liabilities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lease liabilities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claims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 net</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143.4 </w:t>
            </w:r>
          </w:p>
        </w:tc>
        <w:tc>
          <w:tcPr>
            <w:tcW w:w="12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7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4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assets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businesses, net of cash acquired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w:t>
            </w:r>
          </w:p>
        </w:tc>
        <w:tc>
          <w:tcPr>
            <w:tcW w:w="12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w:t>
            </w:r>
          </w:p>
        </w:tc>
        <w:tc>
          <w:tcPr>
            <w:tcW w:w="17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Taxes withheld from issuance of share-based compensation awards, net </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 including excise taxes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 paid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from debt</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1,733.5 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1,409.3 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borrowings from debt</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book cash overdrafts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finance lease obligations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to settle the contingent consideration liability</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financing activities</w:t>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exchange rate changes on cash and cash equivalents</w:t>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2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increase in cash and cash equivalents</w:t>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beginning of year</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350"/>
                <wp:effectExtent l="0" t="0" r="0" b="0"/>
                <wp:wrapNone/>
                <wp:docPr id="10" name="Frame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88" w:before="180" w:after="120"/>
        <w:jc w:val="center"/>
        <w:rPr>
          <w:rFonts w:ascii="Arial;sans-serif" w:hAnsi="Arial;sans-serif"/>
          <w:b/>
          <w:color w:val="0046AD"/>
          <w:sz w:val="20"/>
        </w:rPr>
      </w:pPr>
      <w:r>
        <w:rPr>
          <w:rFonts w:ascii="Arial;sans-serif" w:hAnsi="Arial;sans-serif"/>
          <w:b/>
          <w:color w:val="0046AD"/>
          <w:sz w:val="20"/>
        </w:rPr>
        <w:t>NOTES TO CONSOLIDATED FINANCIAL STATEMENTS</w:t>
      </w:r>
    </w:p>
    <w:p>
      <w:pPr>
        <w:pStyle w:val="TextBody"/>
        <w:bidi w:val="0"/>
        <w:spacing w:lineRule="auto" w:line="288" w:before="180" w:after="180"/>
        <w:jc w:val="center"/>
        <w:rPr>
          <w:rFonts w:ascii="Arial;sans-serif" w:hAnsi="Arial;sans-serif"/>
          <w:b/>
          <w:color w:val="0046AD"/>
          <w:sz w:val="20"/>
        </w:rPr>
      </w:pPr>
      <w:r>
        <w:rPr>
          <w:rFonts w:ascii="Arial;sans-serif" w:hAnsi="Arial;sans-serif"/>
          <w:b/>
          <w:color w:val="0046AD"/>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1. THE COMPANY AND NATURE OF OPERATIONS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ABM is a leading provider of integrated facility services with a mission to make a difference, every person, every day. We are organized into four industry groups and one Technical Solutions segment: </w:t>
      </w:r>
    </w:p>
    <w:p>
      <w:pPr>
        <w:pStyle w:val="TextBody"/>
        <w:bidi w:val="0"/>
        <w:spacing w:before="180" w:after="283"/>
        <w:jc w:val="center"/>
        <w:rPr/>
      </w:pPr>
      <w:r>
        <w:rPr/>
        <w:drawing>
          <wp:inline distT="0" distB="0" distL="0" distR="0">
            <wp:extent cx="5781675" cy="98107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5781675" cy="981075"/>
                    </a:xfrm>
                    <a:prstGeom prst="rect">
                      <a:avLst/>
                    </a:prstGeom>
                  </pic:spPr>
                </pic:pic>
              </a:graphicData>
            </a:graphic>
          </wp:inline>
        </w:drawing>
      </w:r>
      <w:bookmarkStart w:id="2" w:name="i-2"/>
      <w:bookmarkEnd w:id="2"/>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Through these groups, we offer janitorial, facilities engineering, parking, and specialized mechanical and electrical technical solutions, on a standalone basis or in combination with other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2. BASIS OF PRESENTATION AND SIGNIFICANT ACCOUNTING POLICIES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46AD"/>
          <w:sz w:val="20"/>
        </w:rPr>
        <w:t>Basis of Presentation</w:t>
      </w:r>
      <w:r>
        <w:rPr>
          <w:color w:val="000000"/>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2025. Unless otherwise indicated, all references to years are to our fiscal years, which end on October 31.</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Rounding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round amounts in the Financial Statements to millions and calculate all percentages and per-share data from the underlying whole-dollar amounts. Thus, certain amounts may not foot, crossfoot, or recalculate based on reported numbers due to rounding.</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Management Reimbursement Revenue by Segment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operate certain parking facilities under management reimbursement arrangements. Under these arrangements, we manage the parking facilities for management fees and pass through the revenues and expenses associated with the facilities to the owners. Under these contracts we recognize both revenues and expenses, in equal amounts, that are directly reimbursed from the property owner for operating expenses, as such expenses are incurred. Management reimbursement revenue for the three and nine months ended July 31, 2026, was $90.3 million and $270.8 million, respectively. Management reimbursement revenue for the three and nine months ended July 31, 2025, was $88.7 million and $255.2 million, respectively.</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Recently Adopted Accounting Standards</w:t>
      </w:r>
    </w:p>
    <w:p>
      <w:pPr>
        <w:pStyle w:val="TextBody"/>
        <w:bidi w:val="0"/>
        <w:spacing w:lineRule="auto" w:line="288" w:before="180" w:after="283"/>
        <w:ind w:left="0" w:right="0" w:firstLine="720"/>
        <w:jc w:val="left"/>
        <w:rPr/>
      </w:pPr>
      <w:r>
        <w:rPr>
          <w:rFonts w:ascii="Arial;sans-serif" w:hAnsi="Arial;sans-serif"/>
          <w:b w:val="false"/>
          <w:color w:val="000000"/>
          <w:sz w:val="20"/>
        </w:rPr>
        <w:t>There were no recently adopted accounting standards during the</w:t>
      </w:r>
      <w:r>
        <w:rPr>
          <w:color w:val="0046AD"/>
        </w:rPr>
        <w:t xml:space="preserve"> </w:t>
      </w:r>
      <w:r>
        <w:rPr>
          <w:rFonts w:ascii="Arial;sans-serif" w:hAnsi="Arial;sans-serif"/>
          <w:b w:val="false"/>
          <w:color w:val="000000"/>
          <w:sz w:val="20"/>
        </w:rPr>
        <w:t>nine months ended July 31, 2026.</w:t>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350"/>
                <wp:effectExtent l="0" t="0" r="0" b="0"/>
                <wp:wrapNone/>
                <wp:docPr id="12" name="Frame1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3. ACQUISITIONS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Acquisition of WGNSTAR</w:t>
      </w:r>
    </w:p>
    <w:p>
      <w:pPr>
        <w:pStyle w:val="TextBody"/>
        <w:bidi w:val="0"/>
        <w:spacing w:lineRule="auto" w:line="288" w:before="60" w:after="20"/>
        <w:ind w:left="0" w:right="0" w:firstLine="720"/>
        <w:jc w:val="both"/>
        <w:rPr>
          <w:rFonts w:ascii="Arial;sans-serif" w:hAnsi="Arial;sans-serif"/>
          <w:b w:val="false"/>
          <w:color w:val="000000"/>
          <w:sz w:val="20"/>
        </w:rPr>
      </w:pPr>
      <w:r>
        <w:rPr>
          <w:rFonts w:ascii="Arial;sans-serif" w:hAnsi="Arial;sans-serif"/>
          <w:b w:val="false"/>
          <w:color w:val="000000"/>
          <w:sz w:val="20"/>
        </w:rPr>
        <w:t>On February 4, 2026, we completed the acquisition of all of the equity interests of WGNSTAR, a provider of managed workforce solutions and equipment support services for the semiconductor and high-technology industries across the United States and Ireland, for an aggregate purchase consideration of approximately $283.4 million (subject to customary adjustments). The purchase consideration included cash on hand, $20.0 million paid in 2025 to acquire a call option which was exercised upon acquisition, and $7.3 million payable in three equal annual installments in October 2026, 2027 and 2028. We financed the acquisition with cash on hand and proceeds from a new incremental term loan. See Note 9, “Debt,” for further information.</w:t>
      </w:r>
    </w:p>
    <w:p>
      <w:pPr>
        <w:pStyle w:val="TextBody"/>
        <w:bidi w:val="0"/>
        <w:spacing w:before="60" w:after="20"/>
        <w:ind w:left="0" w:right="0" w:firstLine="720"/>
        <w:jc w:val="both"/>
        <w:rPr/>
      </w:pPr>
      <w:r>
        <w:rPr/>
      </w:r>
    </w:p>
    <w:p>
      <w:pPr>
        <w:pStyle w:val="TextBody"/>
        <w:bidi w:val="0"/>
        <w:spacing w:lineRule="auto" w:line="288" w:before="60" w:after="20"/>
        <w:ind w:left="0" w:right="0" w:firstLine="720"/>
        <w:jc w:val="left"/>
        <w:rPr>
          <w:rFonts w:ascii="Arial;sans-serif" w:hAnsi="Arial;sans-serif"/>
          <w:b/>
          <w:i/>
          <w:color w:val="0046AD"/>
          <w:sz w:val="20"/>
        </w:rPr>
      </w:pPr>
      <w:r>
        <w:rPr>
          <w:rFonts w:ascii="Arial;sans-serif" w:hAnsi="Arial;sans-serif"/>
          <w:b/>
          <w:i/>
          <w:color w:val="0046AD"/>
          <w:sz w:val="20"/>
        </w:rPr>
        <w:t>Preliminary Acquisition Accounting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assets acquired and liabilities assumed were recognized at their acquisition date fair values. The acquisition accounting is subject to change as the Company obtains additional information during the measurement period about the facts and circumstances that existed as of the acquisition date. The final acquisition accounting may include changes to intangible assets, goodwill, deferred taxes, property, plant and equipment, right-of-use assets, legal matters, and other accrued liabilities within the measurement period not to exceed one year from the acquisition date. Goodwill arising from the WGNSTAR Acquisition is not deductible for tax reporting purposes.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preliminary acquisition accounting based on currently available information:</w:t>
      </w:r>
    </w:p>
    <w:tbl>
      <w:tblPr>
        <w:tblW w:w="6423" w:type="dxa"/>
        <w:jc w:val="left"/>
        <w:tblInd w:w="0" w:type="dxa"/>
        <w:tblLayout w:type="fixed"/>
        <w:tblCellMar>
          <w:top w:w="28" w:type="dxa"/>
          <w:left w:w="28" w:type="dxa"/>
          <w:bottom w:w="28" w:type="dxa"/>
          <w:right w:w="28" w:type="dxa"/>
        </w:tblCellMar>
      </w:tblPr>
      <w:tblGrid>
        <w:gridCol w:w="1852"/>
        <w:gridCol w:w="1621"/>
        <w:gridCol w:w="1642"/>
        <w:gridCol w:w="109"/>
        <w:gridCol w:w="109"/>
        <w:gridCol w:w="109"/>
        <w:gridCol w:w="211"/>
        <w:gridCol w:w="616"/>
        <w:gridCol w:w="154"/>
      </w:tblGrid>
      <w:tr>
        <w:trPr/>
        <w:tc>
          <w:tcPr>
            <w:tcW w:w="185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r>
      <w:tr>
        <w:trPr/>
        <w:tc>
          <w:tcPr>
            <w:tcW w:w="511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 intangibles and other intangible assets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w:t>
            </w:r>
          </w:p>
        </w:tc>
      </w:tr>
      <w:tr>
        <w:trPr/>
        <w:tc>
          <w:tcPr>
            <w:tcW w:w="511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liability</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assets acquired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283.4 </w:t>
            </w:r>
          </w:p>
        </w:tc>
        <w:tc>
          <w:tcPr>
            <w:tcW w:w="154"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Goodwill is largely attributable to value we expect to obtain from long-term business growth, the established workforce, and buyer-specific synergies.</w:t>
      </w:r>
    </w:p>
    <w:p>
      <w:pPr>
        <w:pStyle w:val="TextBody"/>
        <w:bidi w:val="0"/>
        <w:spacing w:lineRule="auto" w:line="288" w:before="60" w:after="20"/>
        <w:ind w:left="0" w:right="0" w:firstLine="720"/>
        <w:jc w:val="both"/>
        <w:rPr>
          <w:rFonts w:ascii="Arial;sans-serif" w:hAnsi="Arial;sans-serif"/>
          <w:b w:val="false"/>
          <w:color w:val="000000"/>
          <w:sz w:val="20"/>
        </w:rPr>
      </w:pPr>
      <w:r>
        <w:rPr>
          <w:rFonts w:ascii="Arial;sans-serif" w:hAnsi="Arial;sans-serif"/>
          <w:b w:val="false"/>
          <w:color w:val="000000"/>
          <w:sz w:val="20"/>
        </w:rPr>
        <w:t>The unaudited Consolidated Statements of Comprehensive Income for the three and nine months ended July 31, 2026, include revenues of $40.4 million and $76.9 million, respectively, attributable to WGNSTAR, which are included in our Manufacturing &amp; Distribution segment.</w:t>
      </w:r>
    </w:p>
    <w:p>
      <w:pPr>
        <w:pStyle w:val="TextBody"/>
        <w:bidi w:val="0"/>
        <w:spacing w:before="60" w:after="20"/>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Acquisition of LMC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Effective June 1, 2025, we acquired LMC FM Limited (“LMC”), a Dublin-based facilities services company with coverage across Ireland, for a purchase price of approximately $22.0 million in cash plus the potential of $5.9 million of contingent consideration to be paid in calendar year 2027 upon the retention of the top two customers. The acquisition was accounted for under the acquisition method. Accordingly, the assets acquired and liabilities assumed were recognized on the date of acquisition at their estimated fair values, with the excess of the purchase price recorded as goodwill. The goodwill is not deductible for tax reporting purposes. At July 31, 2026, we recorded goodwill and intangibles of $14.1 million and $12.9 million, respectively. The total assets acquired, excluding goodwill and intangibles, and liabilities assumed amounted to $19.8 million and $18.9 million, respectively.</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Acquisition of RavenVolt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September 1, 2022, we completed the acquisition of all of the equity interests of RavenVolt, Inc. (“RavenVolt”), a nationwide provider of advanced turn-key microgrid systems utilized by diversified commercial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350"/>
                <wp:effectExtent l="0" t="0" r="0" b="0"/>
                <wp:wrapNone/>
                <wp:docPr id="13" name="Frame1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industrial customers, national retailers, utilities, and municipalities. RavenVolt’s operations are included within our Technical Solutions segment.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purchase price for the acquisition was approximately $170.0 million in cash at closing plus the potential of post-closing contingent consideration of up to $280.0 million. The estimate of the fair value of the contingent consideration on the date of acquisition was $59.0 million. The post-closing contingent consideration would be payable in cash in calendar years 2024, 2025, and 2026 if RavenVolt’s earnings before interest, taxes, depreciation, and amortization (“EBITDA”), as defined in the RavenVolt merger agreement, meets or exceeds certain defined targets.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2024, defined EBITDA targets were not achieved, and as a result, no contingent consideration payment was made in 2024 for calendar year 2023. At October 31, 2024, the estimate of the fair value of the contingent consideration was $109.1 million. In the third quarter of 2025, we made a $75.0 million payment for calendar year 2024, of which $16.0 million was classified as an operating cash outflow.</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July 31, 2026, the value of the contingent consideration was $32.5 million, and there was no change since October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350"/>
                <wp:effectExtent l="0" t="0" r="0" b="0"/>
                <wp:wrapNone/>
                <wp:docPr id="14" name="Frame1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4. REVENUES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Disaggregation of Revenues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Aviation, Education, and Technical Solutions, as described in Note 13, “Segment Information.” </w:t>
      </w:r>
    </w:p>
    <w:tbl>
      <w:tblPr>
        <w:tblW w:w="16312" w:type="dxa"/>
        <w:jc w:val="left"/>
        <w:tblInd w:w="0" w:type="dxa"/>
        <w:tblLayout w:type="fixed"/>
        <w:tblCellMar>
          <w:top w:w="28" w:type="dxa"/>
          <w:left w:w="28" w:type="dxa"/>
          <w:bottom w:w="28" w:type="dxa"/>
          <w:right w:w="28" w:type="dxa"/>
        </w:tblCellMar>
      </w:tblPr>
      <w:tblGrid>
        <w:gridCol w:w="543"/>
        <w:gridCol w:w="416"/>
        <w:gridCol w:w="197"/>
        <w:gridCol w:w="109"/>
        <w:gridCol w:w="109"/>
        <w:gridCol w:w="109"/>
        <w:gridCol w:w="196"/>
        <w:gridCol w:w="706"/>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706"/>
        <w:gridCol w:w="109"/>
        <w:gridCol w:w="109"/>
        <w:gridCol w:w="109"/>
        <w:gridCol w:w="109"/>
        <w:gridCol w:w="196"/>
        <w:gridCol w:w="706"/>
        <w:gridCol w:w="109"/>
        <w:gridCol w:w="109"/>
        <w:gridCol w:w="109"/>
        <w:gridCol w:w="109"/>
        <w:gridCol w:w="196"/>
        <w:gridCol w:w="706"/>
        <w:gridCol w:w="109"/>
        <w:gridCol w:w="109"/>
        <w:gridCol w:w="109"/>
        <w:gridCol w:w="109"/>
        <w:gridCol w:w="196"/>
        <w:gridCol w:w="571"/>
        <w:gridCol w:w="109"/>
        <w:gridCol w:w="109"/>
        <w:gridCol w:w="109"/>
        <w:gridCol w:w="109"/>
        <w:gridCol w:w="196"/>
        <w:gridCol w:w="571"/>
        <w:gridCol w:w="109"/>
        <w:gridCol w:w="327"/>
        <w:gridCol w:w="196"/>
        <w:gridCol w:w="571"/>
        <w:gridCol w:w="109"/>
        <w:gridCol w:w="327"/>
        <w:gridCol w:w="196"/>
        <w:gridCol w:w="70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Nine Months Ended July 31, 2026</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u w:val="single"/>
              </w:rPr>
            </w:pPr>
            <w:r>
              <w:rPr>
                <w:rFonts w:ascii="Times New Roman;serif" w:hAnsi="Times New Roman;serif"/>
                <w:b w:val="false"/>
                <w:i/>
                <w:color w:val="000000"/>
                <w:sz w:val="15"/>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Technical</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Technical</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Major Service Line</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Janitorial</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Aviation Services</w:t>
            </w:r>
            <w:r>
              <w:rPr>
                <w:rFonts w:ascii="Arial;sans-serif" w:hAnsi="Arial;sans-serif"/>
                <w:b w:val="false"/>
                <w:color w:val="000000"/>
                <w:sz w:val="10"/>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444.2 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444.2 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Parking and Transportation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Facility Solutions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805.3</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338.8</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313.0</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208.1</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1,665.3</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2,454.8</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1,052.9</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893.0</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616.1</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5,016.8</w:t>
            </w:r>
            <w:r>
              <w:rPr>
                <w:color w:val="000000"/>
              </w:rPr>
              <w:t>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Operations and Maintenance</w:t>
            </w:r>
            <w:r>
              <w:rPr>
                <w:rFonts w:ascii="Arial;sans-serif" w:hAnsi="Arial;sans-serif"/>
                <w:b w:val="false"/>
                <w:color w:val="000000"/>
                <w:sz w:val="10"/>
              </w:rPr>
              <w:t>(4)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135.2 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383.7 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634.3 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305.4 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1,064.0 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Building &amp; Energy Solutions</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Engineering and Infrastructure Solutions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207.0</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142.1</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15.1</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27.7</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259.9</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651.8</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638.4</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314.2</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43.6</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80.6</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757.0</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1,833.8</w:t>
            </w:r>
            <w:r>
              <w:rPr>
                <w:color w:val="000000"/>
              </w:rPr>
              <w:t>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1,012.2</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481.0</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328.1</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235.8</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259.9</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2,317.1</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3,093.2</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1,367.1</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936.6</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696.7</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757.0</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6,850.6</w:t>
            </w:r>
            <w:r>
              <w:rPr>
                <w:color w:val="000000"/>
              </w:rPr>
              <w:t> </w:t>
            </w:r>
          </w:p>
        </w:tc>
        <w:tc>
          <w:tcPr>
            <w:tcW w:w="154"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tbl>
      <w:tblPr>
        <w:tblW w:w="18383" w:type="dxa"/>
        <w:jc w:val="left"/>
        <w:tblInd w:w="0" w:type="dxa"/>
        <w:tblLayout w:type="fixed"/>
        <w:tblCellMar>
          <w:top w:w="28" w:type="dxa"/>
          <w:left w:w="28" w:type="dxa"/>
          <w:bottom w:w="28" w:type="dxa"/>
          <w:right w:w="28" w:type="dxa"/>
        </w:tblCellMar>
      </w:tblPr>
      <w:tblGrid>
        <w:gridCol w:w="543"/>
        <w:gridCol w:w="416"/>
        <w:gridCol w:w="197"/>
        <w:gridCol w:w="109"/>
        <w:gridCol w:w="109"/>
        <w:gridCol w:w="109"/>
        <w:gridCol w:w="196"/>
        <w:gridCol w:w="706"/>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706"/>
        <w:gridCol w:w="109"/>
        <w:gridCol w:w="109"/>
        <w:gridCol w:w="109"/>
        <w:gridCol w:w="109"/>
        <w:gridCol w:w="196"/>
        <w:gridCol w:w="706"/>
        <w:gridCol w:w="109"/>
        <w:gridCol w:w="109"/>
        <w:gridCol w:w="109"/>
        <w:gridCol w:w="109"/>
        <w:gridCol w:w="196"/>
        <w:gridCol w:w="706"/>
        <w:gridCol w:w="109"/>
        <w:gridCol w:w="109"/>
        <w:gridCol w:w="109"/>
        <w:gridCol w:w="109"/>
        <w:gridCol w:w="196"/>
        <w:gridCol w:w="571"/>
        <w:gridCol w:w="109"/>
        <w:gridCol w:w="109"/>
        <w:gridCol w:w="109"/>
        <w:gridCol w:w="109"/>
        <w:gridCol w:w="196"/>
        <w:gridCol w:w="571"/>
        <w:gridCol w:w="109"/>
        <w:gridCol w:w="327"/>
        <w:gridCol w:w="196"/>
        <w:gridCol w:w="571"/>
        <w:gridCol w:w="109"/>
        <w:gridCol w:w="327"/>
        <w:gridCol w:w="196"/>
        <w:gridCol w:w="70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Nine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u w:val="single"/>
              </w:rPr>
            </w:pPr>
            <w:r>
              <w:rPr>
                <w:rFonts w:ascii="Times New Roman;serif" w:hAnsi="Times New Roman;serif"/>
                <w:b w:val="false"/>
                <w:i/>
                <w:color w:val="000000"/>
                <w:sz w:val="15"/>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Technical</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Technical</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Major Service Line</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Janitorial</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Aviation Services</w:t>
            </w:r>
            <w:r>
              <w:rPr>
                <w:rFonts w:ascii="Arial;sans-serif" w:hAnsi="Arial;sans-serif"/>
                <w:b w:val="false"/>
                <w:color w:val="000000"/>
                <w:sz w:val="10"/>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134.5 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134.5 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368.2 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368.2 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Parking and Transportation</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Facility Solutions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827.1</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356.9</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278.8</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205.0</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1,667.8</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2,441.3</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1,049.8</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782.7</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599.6</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4,873.4</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Operations and Maintenance</w:t>
            </w:r>
            <w:r>
              <w:rPr>
                <w:rFonts w:ascii="Arial;sans-serif" w:hAnsi="Arial;sans-serif"/>
                <w:b w:val="false"/>
                <w:color w:val="000000"/>
                <w:sz w:val="10"/>
              </w:rPr>
              <w:t>(4)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304.8 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632.0 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910.4 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Building &amp; Energy Solutions</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Engineering and Infrastructure Solutions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211.7</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52.0</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12.9</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30.1</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249.5</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556.2</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635.9</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151.4</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39.3</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88.6</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662.0</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1,577.1</w:t>
            </w:r>
            <w:r>
              <w:rPr>
                <w:color w:val="000000"/>
              </w:rPr>
              <w:t>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1,038.7</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408.9</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291.8</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235.1</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249.5</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2,224.0</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3,077.2</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1,201.2</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822.0</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688.2</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662.0</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06" w:type="dxa"/>
            <w:tcBorders>
              <w:bottom w:val="double" w:sz="8" w:space="0" w:color="000000"/>
            </w:tcBorders>
            <w:shd w:fill="DCE2E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6,450.5</w:t>
            </w:r>
            <w:r>
              <w:rPr>
                <w:color w:val="000000"/>
              </w:rPr>
              <w:t> </w:t>
            </w:r>
          </w:p>
        </w:tc>
        <w:tc>
          <w:tcPr>
            <w:tcW w:w="109" w:type="dxa"/>
            <w:tcBorders>
              <w:bottom w:val="double" w:sz="8" w:space="0" w:color="000000"/>
            </w:tcBorders>
            <w:shd w:fill="DCE2E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180"/>
        <w:jc w:val="both"/>
        <w:rPr/>
      </w:pPr>
      <w:r>
        <w:rPr/>
      </w:r>
    </w:p>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Janitorial arrangements provide a wide range of essential cleaning services for commercial office buildings, airports and other transportation centers, educational institutions, government buildings, health facilities, industrial buildings, retail stores,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350"/>
                <wp:effectExtent l="0" t="0" r="0" b="0"/>
                <wp:wrapNone/>
                <wp:docPr id="15" name="Frame1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stadiums and arenas. These arrangements are often structured as monthly fixed-price, square-foot, cost-plus, and work order contracts.</w:t>
      </w:r>
    </w:p>
    <w:p>
      <w:pPr>
        <w:pStyle w:val="TextBody"/>
        <w:bidi w:val="0"/>
        <w:spacing w:lineRule="auto" w:line="288" w:before="12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Aviation Services arrangements support airlines and airports with services such as passenger assistance, catering logistics, and airplane cabin maintenance. These arrangements are often structured as monthly fixed-price, cost-plus, transaction price, and hourly contracts. </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(3) </w:t>
      </w:r>
      <w:r>
        <w:rPr>
          <w:rFonts w:ascii="Arial;sans-serif" w:hAnsi="Arial;sans-serif"/>
          <w:b w:val="false"/>
          <w:color w:val="000000"/>
          <w:sz w:val="18"/>
        </w:rPr>
        <w:t>Parking and Transportation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(4) </w:t>
      </w:r>
      <w:r>
        <w:rPr>
          <w:rFonts w:ascii="Arial;sans-serif" w:hAnsi="Arial;sans-serif"/>
          <w:b w:val="false"/>
          <w:color w:val="000000"/>
          <w:sz w:val="18"/>
        </w:rPr>
        <w:t>Operations and Maintenance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(5) </w:t>
      </w:r>
      <w:r>
        <w:rPr>
          <w:rFonts w:ascii="Arial;sans-serif" w:hAnsi="Arial;sans-serif"/>
          <w:b w:val="false"/>
          <w:color w:val="000000"/>
          <w:sz w:val="18"/>
        </w:rPr>
        <w:t xml:space="preserve">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 </w:t>
      </w:r>
    </w:p>
    <w:p>
      <w:pPr>
        <w:pStyle w:val="TextBody"/>
        <w:bidi w:val="0"/>
        <w:spacing w:before="120" w:after="283"/>
        <w:ind w:left="0" w:right="0" w:hanging="180"/>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Contract Types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arrangements under various contract types, as described in Note 2, “Basis of Presentation and Significant Accounting Policies,” in our Annual Report on Form 10-K for the year ended October 31, 2025.</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Remaining Performance Obligations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July 31, 2026, performance obligations that were unsatisfied for which we expect to recognize revenue totaled $287.3 million. We expect to recognize revenue on approximately 77% of the remaining performance obligations over the next 12 months, with the remainder recognized thereafter, based on our estimates of project timing.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350"/>
                <wp:effectExtent l="0" t="0" r="0" b="0"/>
                <wp:wrapNone/>
                <wp:docPr id="16" name="Frame1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ind w:left="0" w:right="0" w:firstLine="720"/>
        <w:jc w:val="both"/>
        <w:rPr/>
      </w:pPr>
      <w:r>
        <w:rPr>
          <w:rFonts w:ascii="Arial;sans-serif" w:hAnsi="Arial;sans-serif"/>
          <w:b w:val="false"/>
          <w:color w:val="000000"/>
          <w:sz w:val="20"/>
          <w:shd w:fill="FFFFFF" w:val="clear"/>
        </w:rPr>
        <w:t>These amounts exclude variable consideration primarily related to: (i) contr</w:t>
      </w:r>
      <w:r>
        <w:rPr>
          <w:rFonts w:ascii="Arial;sans-serif" w:hAnsi="Arial;sans-serif"/>
          <w:b w:val="false"/>
          <w:color w:val="000000"/>
          <w:sz w:val="20"/>
        </w:rPr>
        <w:t>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pStyle w:val="TextBody"/>
        <w:bidi w:val="0"/>
        <w:spacing w:lineRule="auto" w:line="288" w:before="180" w:after="283"/>
        <w:jc w:val="left"/>
        <w:rPr/>
      </w:pPr>
      <w:r>
        <w:rPr>
          <w:rFonts w:ascii="Arial;sans-serif" w:hAnsi="Arial;sans-serif"/>
          <w:b/>
          <w:color w:val="0046AD"/>
          <w:sz w:val="20"/>
        </w:rPr>
        <w:t>Contract Balances</w:t>
      </w:r>
      <w:r>
        <w:rPr>
          <w:color w:val="164FA2"/>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timing of revenue recognition, billings, and cash collections results in contract assets and contract liabilities, as further explained below. The timing of revenue recognition may differ from the timing of invoicing to customers.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tables present the balances in our contract assets and contract liabilities: </w:t>
      </w:r>
    </w:p>
    <w:tbl>
      <w:tblPr>
        <w:tblW w:w="7207" w:type="dxa"/>
        <w:jc w:val="center"/>
        <w:tblInd w:w="0" w:type="dxa"/>
        <w:tblLayout w:type="fixed"/>
        <w:tblCellMar>
          <w:top w:w="28" w:type="dxa"/>
          <w:left w:w="28" w:type="dxa"/>
          <w:bottom w:w="28" w:type="dxa"/>
          <w:right w:w="28" w:type="dxa"/>
        </w:tblCellMar>
      </w:tblPr>
      <w:tblGrid>
        <w:gridCol w:w="1285"/>
        <w:gridCol w:w="1128"/>
        <w:gridCol w:w="1141"/>
        <w:gridCol w:w="109"/>
        <w:gridCol w:w="109"/>
        <w:gridCol w:w="109"/>
        <w:gridCol w:w="253"/>
        <w:gridCol w:w="921"/>
        <w:gridCol w:w="131"/>
        <w:gridCol w:w="109"/>
        <w:gridCol w:w="109"/>
        <w:gridCol w:w="109"/>
        <w:gridCol w:w="316"/>
        <w:gridCol w:w="1148"/>
        <w:gridCol w:w="230"/>
      </w:tblGrid>
      <w:tr>
        <w:trPr/>
        <w:tc>
          <w:tcPr>
            <w:tcW w:w="128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October 31, 2025</w:t>
            </w:r>
          </w:p>
        </w:tc>
      </w:tr>
      <w:tr>
        <w:trPr/>
        <w:tc>
          <w:tcPr>
            <w:tcW w:w="355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Contract assets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Billed trade receivables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Unbilled trade receivables</w:t>
            </w:r>
            <w:r>
              <w:rPr>
                <w:rFonts w:ascii="Arial;sans-serif" w:hAnsi="Arial;sans-serif"/>
                <w:b w:val="false"/>
                <w:color w:val="000000"/>
                <w:sz w:val="12"/>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13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273.6 </w:t>
            </w:r>
          </w:p>
        </w:tc>
        <w:tc>
          <w:tcPr>
            <w:tcW w:w="23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incurred in excess of amounts 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Capitalized commissions</w:t>
            </w:r>
            <w:r>
              <w:rPr>
                <w:rFonts w:ascii="Arial;sans-serif" w:hAnsi="Arial;sans-serif"/>
                <w:b w:val="false"/>
                <w:color w:val="000000"/>
                <w:sz w:val="12"/>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3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23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Included in “Trade accounts receivable, net” on the unaudited Consolidated Balance Sheets. </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8"/>
        </w:rPr>
        <w:t>Included in “Other current assets” and “Other noncurrent assets” on the unaudited Consolidated Balance Sheets. During the nine months ended July 31, 2026, we capitalized $15.9 million of new costs and amortized $15.1 million of previously capitalized costs. There was no impairment loss recorded on the costs capitalized.</w:t>
      </w:r>
    </w:p>
    <w:tbl>
      <w:tblPr>
        <w:tblW w:w="4885" w:type="dxa"/>
        <w:jc w:val="left"/>
        <w:tblInd w:w="0" w:type="dxa"/>
        <w:tblLayout w:type="fixed"/>
        <w:tblCellMar>
          <w:top w:w="28" w:type="dxa"/>
          <w:left w:w="28" w:type="dxa"/>
          <w:bottom w:w="28" w:type="dxa"/>
          <w:right w:w="28" w:type="dxa"/>
        </w:tblCellMar>
      </w:tblPr>
      <w:tblGrid>
        <w:gridCol w:w="998"/>
        <w:gridCol w:w="876"/>
        <w:gridCol w:w="885"/>
        <w:gridCol w:w="109"/>
        <w:gridCol w:w="109"/>
        <w:gridCol w:w="109"/>
        <w:gridCol w:w="387"/>
        <w:gridCol w:w="1130"/>
        <w:gridCol w:w="282"/>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July 31, 2026</w:t>
            </w:r>
          </w:p>
        </w:tc>
      </w:tr>
      <w:tr>
        <w:trPr/>
        <w:tc>
          <w:tcPr>
            <w:tcW w:w="275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Contract liabilities</w:t>
            </w:r>
            <w:r>
              <w:rPr>
                <w:rFonts w:ascii="Arial;sans-serif" w:hAnsi="Arial;sans-serif"/>
                <w:b w:val="false"/>
                <w:color w:val="000000"/>
                <w:sz w:val="12"/>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contract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406.0 </w:t>
            </w:r>
          </w:p>
        </w:tc>
        <w:tc>
          <w:tcPr>
            <w:tcW w:w="28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Recognition of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DCE2EF" w:val="clear"/>
            <w:tcMar>
              <w:top w:w="0" w:type="dxa"/>
              <w:left w:w="0" w:type="dxa"/>
              <w:bottom w:w="0" w:type="dxa"/>
              <w:right w:w="0" w:type="dxa"/>
            </w:tcMar>
            <w:vAlign w:val="center"/>
          </w:tcPr>
          <w:p>
            <w:pPr>
              <w:pStyle w:val="TableContents"/>
              <w:bidi w:val="0"/>
              <w:spacing w:lineRule="auto" w:line="240"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0"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226.9 </w:t>
            </w:r>
          </w:p>
        </w:tc>
        <w:tc>
          <w:tcPr>
            <w:tcW w:w="282"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Included in “Deferred revenue” and “Other accrued liabilities” on the unaudited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350"/>
                <wp:effectExtent l="0" t="0" r="0" b="0"/>
                <wp:wrapNone/>
                <wp:docPr id="17" name="Frame1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240" w:after="60"/>
        <w:jc w:val="left"/>
        <w:rPr/>
      </w:pPr>
      <w:r>
        <w:rPr>
          <w:rFonts w:ascii="Arial;sans-serif" w:hAnsi="Arial;sans-serif"/>
          <w:b/>
          <w:color w:val="0046AD"/>
          <w:sz w:val="20"/>
        </w:rPr>
        <w:t>5</w:t>
      </w:r>
      <w:r>
        <w:rPr>
          <w:rFonts w:ascii="Arial;sans-serif" w:hAnsi="Arial;sans-serif"/>
          <w:b w:val="false"/>
          <w:color w:val="000000"/>
          <w:sz w:val="20"/>
        </w:rPr>
        <w:t xml:space="preserve">. </w:t>
      </w:r>
      <w:r>
        <w:rPr>
          <w:rFonts w:ascii="Arial;sans-serif" w:hAnsi="Arial;sans-serif"/>
          <w:b/>
          <w:color w:val="0046AD"/>
          <w:sz w:val="20"/>
        </w:rPr>
        <w:t xml:space="preserve">RESTRUCTURING AND RELATED COSTS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fourth quarter of 2025, we implemented a restructuring program (the “Restructuring Program”) to further streamline our operations and improve the efficiency of our support functions. This initiative is intended to enhance overall organizational effectiveness and ensure alignment between the Company’s cost structure and our strategic growth objectives. We recognized $28.0 million of cumulative restructuring charges under this program through the third quarter of 2026, which includes employee severance, asset impairment charges, and other related costs. We continue to review our overhead and cost structure for additional efficiency opportunities under this program. We expect these actions to be completed in 2026.</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Rollforward of Restructuring and Related Liabilities</w:t>
      </w:r>
    </w:p>
    <w:tbl>
      <w:tblPr>
        <w:tblW w:w="8892" w:type="dxa"/>
        <w:jc w:val="left"/>
        <w:tblInd w:w="0" w:type="dxa"/>
        <w:tblLayout w:type="fixed"/>
        <w:tblCellMar>
          <w:top w:w="28" w:type="dxa"/>
          <w:left w:w="28" w:type="dxa"/>
          <w:bottom w:w="28" w:type="dxa"/>
          <w:right w:w="28" w:type="dxa"/>
        </w:tblCellMar>
      </w:tblPr>
      <w:tblGrid>
        <w:gridCol w:w="859"/>
        <w:gridCol w:w="754"/>
        <w:gridCol w:w="756"/>
        <w:gridCol w:w="109"/>
        <w:gridCol w:w="109"/>
        <w:gridCol w:w="109"/>
        <w:gridCol w:w="551"/>
        <w:gridCol w:w="1098"/>
        <w:gridCol w:w="285"/>
        <w:gridCol w:w="109"/>
        <w:gridCol w:w="109"/>
        <w:gridCol w:w="109"/>
        <w:gridCol w:w="518"/>
        <w:gridCol w:w="997"/>
        <w:gridCol w:w="269"/>
        <w:gridCol w:w="109"/>
        <w:gridCol w:w="109"/>
        <w:gridCol w:w="109"/>
        <w:gridCol w:w="211"/>
        <w:gridCol w:w="406"/>
        <w:gridCol w:w="109"/>
        <w:gridCol w:w="109"/>
        <w:gridCol w:w="109"/>
        <w:gridCol w:w="109"/>
        <w:gridCol w:w="211"/>
        <w:gridCol w:w="40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Employee 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Asset Impairment</w:t>
            </w:r>
            <w:r>
              <w:rPr>
                <w:rFonts w:ascii="Arial;sans-serif" w:hAnsi="Arial;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3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October 31, 2025</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85"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Costs recognized</w:t>
            </w:r>
            <w:r>
              <w:rPr>
                <w:rFonts w:ascii="Arial;sans-serif" w:hAnsi="Arial;sans-serif"/>
                <w:b w:val="false"/>
                <w:color w:val="000000"/>
                <w:sz w:val="12"/>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28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Balance, July 31, 2026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85"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8"/>
        </w:rPr>
        <w:t>We include these costs within corporate expenses and are included within “Restructuring and related expenses” on the unaudited Consolidated Statements of Comprehensive Income.</w:t>
      </w:r>
    </w:p>
    <w:p>
      <w:pPr>
        <w:pStyle w:val="TextBody"/>
        <w:bidi w:val="0"/>
        <w:spacing w:lineRule="auto" w:line="288" w:before="240" w:after="283"/>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8"/>
        </w:rPr>
        <w:t>Represents various ROU asset impairments due to lease terminations or subleases as part of a real estate optimization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6. NET INCOME PER COMMON SHARE</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Basic and Diluted Net Income Per Common Share Calculations</w:t>
      </w:r>
    </w:p>
    <w:tbl>
      <w:tblPr>
        <w:tblW w:w="9257" w:type="dxa"/>
        <w:jc w:val="left"/>
        <w:tblInd w:w="0" w:type="dxa"/>
        <w:tblLayout w:type="fixed"/>
        <w:tblCellMar>
          <w:top w:w="28" w:type="dxa"/>
          <w:left w:w="28" w:type="dxa"/>
          <w:bottom w:w="28" w:type="dxa"/>
          <w:right w:w="28" w:type="dxa"/>
        </w:tblCellMar>
      </w:tblPr>
      <w:tblGrid>
        <w:gridCol w:w="1399"/>
        <w:gridCol w:w="1230"/>
        <w:gridCol w:w="1240"/>
        <w:gridCol w:w="272"/>
        <w:gridCol w:w="659"/>
        <w:gridCol w:w="140"/>
        <w:gridCol w:w="140"/>
        <w:gridCol w:w="140"/>
        <w:gridCol w:w="140"/>
        <w:gridCol w:w="272"/>
        <w:gridCol w:w="659"/>
        <w:gridCol w:w="140"/>
        <w:gridCol w:w="109"/>
        <w:gridCol w:w="109"/>
        <w:gridCol w:w="109"/>
        <w:gridCol w:w="235"/>
        <w:gridCol w:w="687"/>
        <w:gridCol w:w="121"/>
        <w:gridCol w:w="121"/>
        <w:gridCol w:w="121"/>
        <w:gridCol w:w="121"/>
        <w:gridCol w:w="235"/>
        <w:gridCol w:w="687"/>
        <w:gridCol w:w="171"/>
      </w:tblGrid>
      <w:tr>
        <w:trPr/>
        <w:tc>
          <w:tcPr>
            <w:tcW w:w="139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 except per share amounts)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Net income </w:t>
            </w:r>
          </w:p>
        </w:tc>
        <w:tc>
          <w:tcPr>
            <w:tcW w:w="27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40"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40"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2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7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Weighted-average common and common </w:t>
            </w:r>
          </w:p>
          <w:p>
            <w:pPr>
              <w:pStyle w:val="TableContents"/>
              <w:bidi w:val="0"/>
              <w:spacing w:lineRule="auto" w:line="240" w:before="0" w:after="0"/>
              <w:ind w:left="0" w:right="0" w:firstLine="180"/>
              <w:jc w:val="left"/>
              <w:rPr>
                <w:color w:val="000000"/>
              </w:rPr>
            </w:pPr>
            <w:r>
              <w:rPr>
                <w:color w:val="000000"/>
              </w:rPr>
              <w:t>  </w:t>
            </w:r>
            <w:r>
              <w:rPr>
                <w:rFonts w:ascii="Arial;sans-serif" w:hAnsi="Arial;sans-serif"/>
                <w:b/>
                <w:color w:val="000000"/>
                <w:sz w:val="18"/>
              </w:rPr>
              <w:t>equivalent shares outstanding — Basic</w:t>
            </w:r>
          </w:p>
        </w:tc>
        <w:tc>
          <w:tcPr>
            <w:tcW w:w="93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4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4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w:t>
            </w:r>
          </w:p>
        </w:tc>
        <w:tc>
          <w:tcPr>
            <w:tcW w:w="93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4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4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shares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Weighted-average common and common</w:t>
            </w:r>
          </w:p>
          <w:p>
            <w:pPr>
              <w:pStyle w:val="TableContents"/>
              <w:bidi w:val="0"/>
              <w:spacing w:lineRule="auto" w:line="240" w:before="0" w:after="0"/>
              <w:ind w:left="0" w:right="0" w:firstLine="180"/>
              <w:jc w:val="left"/>
              <w:rPr>
                <w:color w:val="000000"/>
              </w:rPr>
            </w:pPr>
            <w:r>
              <w:rPr>
                <w:color w:val="000000"/>
              </w:rPr>
              <w:t>  </w:t>
            </w:r>
            <w:r>
              <w:rPr>
                <w:rFonts w:ascii="Arial;sans-serif" w:hAnsi="Arial;sans-serif"/>
                <w:b/>
                <w:color w:val="000000"/>
                <w:sz w:val="18"/>
              </w:rPr>
              <w:t>equivalent shares outstanding — Diluted</w:t>
            </w:r>
          </w:p>
        </w:tc>
        <w:tc>
          <w:tcPr>
            <w:tcW w:w="931"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40"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40"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2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7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per common share</w:t>
            </w:r>
          </w:p>
        </w:tc>
        <w:tc>
          <w:tcPr>
            <w:tcW w:w="107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72"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0.84 </w:t>
            </w:r>
          </w:p>
        </w:tc>
        <w:tc>
          <w:tcPr>
            <w:tcW w:w="14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4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180"/>
        <w:jc w:val="both"/>
        <w:rPr/>
      </w:pPr>
      <w:r>
        <w:rPr/>
      </w: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Anti-Dilutive Outstanding Stock Awards Issued Under Share-Based Compensation Plans</w:t>
      </w:r>
    </w:p>
    <w:tbl>
      <w:tblPr>
        <w:tblW w:w="6537" w:type="dxa"/>
        <w:jc w:val="left"/>
        <w:tblInd w:w="0" w:type="dxa"/>
        <w:tblLayout w:type="fixed"/>
        <w:tblCellMar>
          <w:top w:w="28" w:type="dxa"/>
          <w:left w:w="28" w:type="dxa"/>
          <w:bottom w:w="28" w:type="dxa"/>
          <w:right w:w="28" w:type="dxa"/>
        </w:tblCellMar>
      </w:tblPr>
      <w:tblGrid>
        <w:gridCol w:w="412"/>
        <w:gridCol w:w="363"/>
        <w:gridCol w:w="366"/>
        <w:gridCol w:w="285"/>
        <w:gridCol w:w="285"/>
        <w:gridCol w:w="285"/>
        <w:gridCol w:w="285"/>
        <w:gridCol w:w="285"/>
        <w:gridCol w:w="285"/>
        <w:gridCol w:w="285"/>
        <w:gridCol w:w="285"/>
        <w:gridCol w:w="285"/>
        <w:gridCol w:w="109"/>
        <w:gridCol w:w="109"/>
        <w:gridCol w:w="109"/>
        <w:gridCol w:w="266"/>
        <w:gridCol w:w="266"/>
        <w:gridCol w:w="266"/>
        <w:gridCol w:w="266"/>
        <w:gridCol w:w="266"/>
        <w:gridCol w:w="266"/>
        <w:gridCol w:w="266"/>
        <w:gridCol w:w="266"/>
        <w:gridCol w:w="376"/>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w:t>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14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Anti-dilutive</w:t>
            </w:r>
          </w:p>
        </w:tc>
        <w:tc>
          <w:tcPr>
            <w:tcW w:w="570"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85"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85"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6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7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350"/>
                <wp:effectExtent l="0" t="0" r="0" b="0"/>
                <wp:wrapNone/>
                <wp:docPr id="18" name="Frame1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7. FAIR VALUE OF FINANCIAL INSTRUMENTS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Fair Value Hierarchy of Our Financial Instruments</w:t>
      </w:r>
    </w:p>
    <w:p>
      <w:pPr>
        <w:pStyle w:val="TextBody"/>
        <w:bidi w:val="0"/>
        <w:spacing w:lineRule="auto" w:line="288" w:before="180" w:after="120"/>
        <w:jc w:val="both"/>
        <w:rPr>
          <w:rFonts w:ascii="Arial;sans-serif" w:hAnsi="Arial;sans-serif"/>
          <w:b/>
          <w:i/>
          <w:color w:val="0046AD"/>
          <w:sz w:val="20"/>
        </w:rPr>
      </w:pPr>
      <w:r>
        <w:rPr>
          <w:rFonts w:ascii="Arial;sans-serif" w:hAnsi="Arial;sans-serif"/>
          <w:b/>
          <w:i/>
          <w:color w:val="0046AD"/>
          <w:sz w:val="20"/>
        </w:rPr>
        <w:t xml:space="preserve">Financial Assets and Liabilities Measured at Fair Value on a Recurring Basis </w:t>
      </w:r>
    </w:p>
    <w:tbl>
      <w:tblPr>
        <w:tblW w:w="9712" w:type="dxa"/>
        <w:jc w:val="left"/>
        <w:tblInd w:w="0" w:type="dxa"/>
        <w:tblLayout w:type="fixed"/>
        <w:tblCellMar>
          <w:top w:w="28" w:type="dxa"/>
          <w:left w:w="28" w:type="dxa"/>
          <w:bottom w:w="28" w:type="dxa"/>
          <w:right w:w="28" w:type="dxa"/>
        </w:tblCellMar>
      </w:tblPr>
      <w:tblGrid>
        <w:gridCol w:w="1579"/>
        <w:gridCol w:w="1386"/>
        <w:gridCol w:w="1399"/>
        <w:gridCol w:w="619"/>
        <w:gridCol w:w="619"/>
        <w:gridCol w:w="621"/>
        <w:gridCol w:w="109"/>
        <w:gridCol w:w="109"/>
        <w:gridCol w:w="109"/>
        <w:gridCol w:w="277"/>
        <w:gridCol w:w="810"/>
        <w:gridCol w:w="143"/>
        <w:gridCol w:w="109"/>
        <w:gridCol w:w="109"/>
        <w:gridCol w:w="109"/>
        <w:gridCol w:w="345"/>
        <w:gridCol w:w="1008"/>
        <w:gridCol w:w="252"/>
      </w:tblGrid>
      <w:tr>
        <w:trPr/>
        <w:tc>
          <w:tcPr>
            <w:tcW w:w="15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(in millions)</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October 31, 2025</w:t>
            </w:r>
          </w:p>
        </w:tc>
      </w:tr>
      <w:tr>
        <w:trPr/>
        <w:tc>
          <w:tcPr>
            <w:tcW w:w="436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and cash equivalents</w:t>
            </w:r>
            <w:r>
              <w:rPr>
                <w:rFonts w:ascii="Arial;sans-serif" w:hAnsi="Arial;sans-serif"/>
                <w:b w:val="false"/>
                <w:color w:val="000000"/>
                <w:sz w:val="12"/>
              </w:rPr>
              <w:t>(1)</w:t>
            </w:r>
          </w:p>
        </w:tc>
        <w:tc>
          <w:tcPr>
            <w:tcW w:w="185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4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104.1 </w:t>
            </w:r>
          </w:p>
        </w:tc>
        <w:tc>
          <w:tcPr>
            <w:tcW w:w="25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Insurance deposits</w:t>
            </w:r>
            <w:r>
              <w:rPr>
                <w:rFonts w:ascii="Arial;sans-serif" w:hAnsi="Arial;sans-serif"/>
                <w:b w:val="false"/>
                <w:color w:val="000000"/>
                <w:sz w:val="12"/>
              </w:rPr>
              <w:t>(2)</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Assets held in funded deferred compensation plan</w:t>
            </w:r>
            <w:r>
              <w:rPr>
                <w:rFonts w:ascii="Arial;sans-serif" w:hAnsi="Arial;sans-serif"/>
                <w:b w:val="false"/>
                <w:color w:val="000000"/>
                <w:sz w:val="12"/>
              </w:rPr>
              <w:t>(3)</w:t>
            </w:r>
          </w:p>
        </w:tc>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Credit facility</w:t>
            </w:r>
            <w:r>
              <w:rPr>
                <w:rFonts w:ascii="Arial;sans-serif" w:hAnsi="Arial;sans-serif"/>
                <w:b w:val="false"/>
                <w:color w:val="000000"/>
                <w:sz w:val="12"/>
              </w:rPr>
              <w:t>(4)</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Receivables Financing Agreement</w:t>
            </w:r>
            <w:r>
              <w:rPr>
                <w:rFonts w:ascii="Arial;sans-serif" w:hAnsi="Arial;sans-serif"/>
                <w:b w:val="false"/>
                <w:color w:val="000000"/>
                <w:sz w:val="12"/>
              </w:rPr>
              <w:t>(5)</w:t>
            </w:r>
          </w:p>
        </w:tc>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4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rate swap assets</w:t>
            </w:r>
            <w:r>
              <w:rPr>
                <w:rFonts w:ascii="Arial;sans-serif" w:hAnsi="Arial;sans-serif"/>
                <w:b w:val="false"/>
                <w:color w:val="000000"/>
                <w:sz w:val="12"/>
              </w:rPr>
              <w:t>(6)</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rate swap liabilities</w:t>
            </w:r>
            <w:r>
              <w:rPr>
                <w:rFonts w:ascii="Arial;sans-serif" w:hAnsi="Arial;sans-serif"/>
                <w:b w:val="false"/>
                <w:color w:val="000000"/>
                <w:sz w:val="12"/>
              </w:rPr>
              <w:t>(6)</w:t>
            </w:r>
          </w:p>
        </w:tc>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Investments in equity investments</w:t>
            </w:r>
            <w:r>
              <w:rPr>
                <w:rFonts w:ascii="Arial;sans-serif" w:hAnsi="Arial;sans-serif"/>
                <w:b w:val="false"/>
                <w:color w:val="000000"/>
                <w:sz w:val="12"/>
              </w:rPr>
              <w:t>(7)</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Contingent consideration</w:t>
            </w:r>
            <w:r>
              <w:rPr>
                <w:rFonts w:ascii="Arial;sans-serif" w:hAnsi="Arial;sans-serif"/>
                <w:b w:val="false"/>
                <w:color w:val="000000"/>
                <w:sz w:val="12"/>
              </w:rPr>
              <w:t>(8)(9)</w:t>
            </w:r>
          </w:p>
        </w:tc>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4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8"/>
        </w:rPr>
        <w:t>Cash and cash equivalents are stated at nominal value, which equals fair value.</w:t>
      </w:r>
    </w:p>
    <w:p>
      <w:pPr>
        <w:pStyle w:val="TextBody"/>
        <w:bidi w:val="0"/>
        <w:spacing w:lineRule="auto" w:line="288" w:before="12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8, “Insurance,” for further information.</w:t>
      </w:r>
    </w:p>
    <w:p>
      <w:pPr>
        <w:pStyle w:val="TextBody"/>
        <w:bidi w:val="0"/>
        <w:spacing w:lineRule="auto" w:line="288" w:before="120" w:after="283"/>
        <w:ind w:left="0" w:right="0" w:hanging="18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 xml:space="preserve">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 </w:t>
      </w:r>
    </w:p>
    <w:p>
      <w:pPr>
        <w:pStyle w:val="TextBody"/>
        <w:bidi w:val="0"/>
        <w:spacing w:lineRule="auto" w:line="288" w:before="120" w:after="283"/>
        <w:ind w:left="0" w:right="0" w:hanging="180"/>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Represents gross outstanding borrowings under our Amended Credit Facility. Due to variable interest rates, the carrying value of outstanding borrowings under this facility approximates the fair value. See Note 9, “Debt,” for further information.</w:t>
      </w:r>
    </w:p>
    <w:p>
      <w:pPr>
        <w:pStyle w:val="TextBody"/>
        <w:bidi w:val="0"/>
        <w:spacing w:lineRule="auto" w:line="288" w:before="120" w:after="283"/>
        <w:ind w:left="0" w:right="0" w:hanging="180"/>
        <w:jc w:val="both"/>
        <w:rPr/>
      </w:pPr>
      <w:r>
        <w:rPr>
          <w:rFonts w:ascii="Arial;sans-serif" w:hAnsi="Arial;sans-serif"/>
          <w:b w:val="false"/>
          <w:color w:val="000000"/>
          <w:sz w:val="12"/>
        </w:rPr>
        <w:t>(5)</w:t>
      </w:r>
      <w:r>
        <w:rPr>
          <w:color w:val="000000"/>
        </w:rPr>
        <w:t xml:space="preserve"> </w:t>
      </w:r>
      <w:r>
        <w:rPr>
          <w:rFonts w:ascii="Arial;sans-serif" w:hAnsi="Arial;sans-serif"/>
          <w:b w:val="false"/>
          <w:color w:val="000000"/>
          <w:sz w:val="18"/>
        </w:rPr>
        <w:t>Represents gross outstanding borrowings under our Receivables Financing Agreement. Due to variable interest rates, the carrying value of outstanding borrowings under this program approximates the fair value. See Note 9, “Debt,” for further information.</w:t>
      </w:r>
    </w:p>
    <w:p>
      <w:pPr>
        <w:pStyle w:val="TextBody"/>
        <w:bidi w:val="0"/>
        <w:spacing w:lineRule="auto" w:line="288" w:before="120" w:after="283"/>
        <w:ind w:left="0" w:right="0" w:hanging="180"/>
        <w:jc w:val="both"/>
        <w:rPr/>
      </w:pPr>
      <w:r>
        <w:rPr>
          <w:rFonts w:ascii="Arial;sans-serif" w:hAnsi="Arial;sans-serif"/>
          <w:b w:val="false"/>
          <w:color w:val="000000"/>
          <w:sz w:val="12"/>
        </w:rPr>
        <w:t>(6)</w:t>
      </w:r>
      <w:r>
        <w:rPr>
          <w:color w:val="000000"/>
        </w:rPr>
        <w:t xml:space="preserve"> </w:t>
      </w:r>
      <w:r>
        <w:rPr>
          <w:rFonts w:ascii="Arial;sans-serif" w:hAnsi="Arial;sans-serif"/>
          <w:b w:val="false"/>
          <w:color w:val="000000"/>
          <w:sz w:val="18"/>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are included in “Other noncurrent assets,” and our interest rate swap liabilities are included in “Other current liabilities” on the accompanying unaudited Consolidated Balance Sheets. See Note 9, “Debt,” for further information. The majority of our interest rate swaps matured in June 2026.</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(7) </w:t>
      </w:r>
      <w:r>
        <w:rPr>
          <w:rFonts w:ascii="Arial;sans-serif" w:hAnsi="Arial;sans-serif"/>
          <w:b w:val="false"/>
          <w:color w:val="000000"/>
          <w:sz w:val="18"/>
        </w:rPr>
        <w:t>During the three months ended October 31, 2025, we purchased a $20.0 million call option to acquire an ownership interest in WGNSTAR. This acquisition has now been completed—refer to Note 3, “Acquisitions,” for further information. 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(8) </w:t>
      </w:r>
      <w:r>
        <w:rPr>
          <w:rFonts w:ascii="Arial;sans-serif" w:hAnsi="Arial;sans-serif"/>
          <w:b w:val="false"/>
          <w:color w:val="000000"/>
          <w:sz w:val="18"/>
        </w:rPr>
        <w:t>Our contingent consideration payable related to the RavenVolt Acquisition is remeasured at each reporting date, based on significant inputs not observable in the market. The contingent consideration payment related to calendar year 2025, which is expected to be made in 2026, represents a Level 3 measurement at July 31, 2026, and at October 31, 2025,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See Note 3, “Acquisitions,” for further information.</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(9) </w:t>
      </w:r>
      <w:r>
        <w:rPr>
          <w:rFonts w:ascii="Arial;sans-serif" w:hAnsi="Arial;sans-serif"/>
          <w:b w:val="false"/>
          <w:color w:val="000000"/>
          <w:sz w:val="18"/>
        </w:rPr>
        <w:t>The balance at July 31, 2026, and October 31, 2025, also includes the contingent consideration payable in calendar year 2027 related to the LMC Acquisition.</w:t>
      </w:r>
    </w:p>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350"/>
                <wp:effectExtent l="0" t="0" r="0" b="0"/>
                <wp:wrapNone/>
                <wp:docPr id="19" name="Frame1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Non-Financial Assets Measured at Fair Value on a Non-Recurring Basis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then we would evaluate these non-financial assets for impairment. If an impairment were to occur, then the asset would be recorded at the estimated fair value, using primarily unobservable Level 3 inputs.</w:t>
      </w:r>
    </w:p>
    <w:p>
      <w:pPr>
        <w:pStyle w:val="TextBody"/>
        <w:bidi w:val="0"/>
        <w:spacing w:before="1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6AD"/>
          <w:sz w:val="20"/>
        </w:rPr>
      </w:pPr>
      <w:r>
        <w:rPr>
          <w:rFonts w:ascii="Arial;sans-serif" w:hAnsi="Arial;sans-serif"/>
          <w:b/>
          <w:color w:val="0046AD"/>
          <w:sz w:val="20"/>
        </w:rPr>
        <w:t>8. INSURANCE</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use a combination of insured and self-insurance programs to cover workers’ compensation, general liability, automobile liability, property damage, and other insurable risks. For the majority of these insurance programs, we retain the initial $1.0 million to $5.0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Interim Review Performed During 2026</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third quarter of 2026, we performed a review of the majority of our casualty insurance programs that considered changes in claims development and claims payment activity through July 31, 2026. Based on the results of the review, it was determined that there was no adjustment required for our total reserves related to prior years during the nine months ended July 31, 2026. During the nine months ended July 31, 2025, based on the results of the actuarial review, we made an insignificant adjustment to our total reserves for known claims as well as our estimate of the loss amounts associated with incurred but not reported claims (“IBNR claims”).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Insurance-Related Balances and Activity</w:t>
      </w:r>
    </w:p>
    <w:tbl>
      <w:tblPr>
        <w:tblW w:w="7811" w:type="dxa"/>
        <w:jc w:val="left"/>
        <w:tblInd w:w="0" w:type="dxa"/>
        <w:tblLayout w:type="fixed"/>
        <w:tblCellMar>
          <w:top w:w="28" w:type="dxa"/>
          <w:left w:w="28" w:type="dxa"/>
          <w:bottom w:w="28" w:type="dxa"/>
          <w:right w:w="28" w:type="dxa"/>
        </w:tblCellMar>
      </w:tblPr>
      <w:tblGrid>
        <w:gridCol w:w="1683"/>
        <w:gridCol w:w="1473"/>
        <w:gridCol w:w="1493"/>
        <w:gridCol w:w="277"/>
        <w:gridCol w:w="810"/>
        <w:gridCol w:w="143"/>
        <w:gridCol w:w="109"/>
        <w:gridCol w:w="109"/>
        <w:gridCol w:w="109"/>
        <w:gridCol w:w="345"/>
        <w:gridCol w:w="1008"/>
        <w:gridCol w:w="252"/>
      </w:tblGrid>
      <w:tr>
        <w:trPr/>
        <w:tc>
          <w:tcPr>
            <w:tcW w:w="168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October 31, 2025</w:t>
            </w:r>
          </w:p>
        </w:tc>
      </w:tr>
      <w:tr>
        <w:trPr/>
        <w:tc>
          <w:tcPr>
            <w:tcW w:w="464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claim reserves, excluding medical and dental</w:t>
            </w:r>
          </w:p>
        </w:tc>
        <w:tc>
          <w:tcPr>
            <w:tcW w:w="27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664.9 </w:t>
            </w:r>
          </w:p>
        </w:tc>
        <w:tc>
          <w:tcPr>
            <w:tcW w:w="14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649.5 </w:t>
            </w:r>
          </w:p>
        </w:tc>
        <w:tc>
          <w:tcPr>
            <w:tcW w:w="25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and dental claim reserves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recoverables</w:t>
            </w:r>
          </w:p>
        </w:tc>
        <w:tc>
          <w:tcPr>
            <w:tcW w:w="10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4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2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At July 31, 2026, and October 31, 2025, insurance recoverables are included in both “Other current assets” and “Other noncurrent assets” on the accompanying unaudited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350"/>
                <wp:effectExtent l="0" t="0" r="0" b="0"/>
                <wp:wrapNone/>
                <wp:docPr id="20" name="Frame1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60"/>
        <w:jc w:val="both"/>
        <w:rPr>
          <w:rFonts w:ascii="Arial;sans-serif" w:hAnsi="Arial;sans-serif"/>
          <w:b/>
          <w:i/>
          <w:color w:val="0046AD"/>
          <w:sz w:val="20"/>
        </w:rPr>
      </w:pPr>
      <w:r>
        <w:rPr>
          <w:rFonts w:ascii="Arial;sans-serif" w:hAnsi="Arial;sans-serif"/>
          <w:b/>
          <w:i/>
          <w:color w:val="0046AD"/>
          <w:sz w:val="20"/>
        </w:rPr>
        <w:t>Instruments Used to Collateralize Our Insurance Obligations</w:t>
      </w:r>
    </w:p>
    <w:tbl>
      <w:tblPr>
        <w:tblW w:w="7151" w:type="dxa"/>
        <w:jc w:val="left"/>
        <w:tblInd w:w="0" w:type="dxa"/>
        <w:tblLayout w:type="fixed"/>
        <w:tblCellMar>
          <w:top w:w="28" w:type="dxa"/>
          <w:left w:w="28" w:type="dxa"/>
          <w:bottom w:w="28" w:type="dxa"/>
          <w:right w:w="28" w:type="dxa"/>
        </w:tblCellMar>
      </w:tblPr>
      <w:tblGrid>
        <w:gridCol w:w="1446"/>
        <w:gridCol w:w="1265"/>
        <w:gridCol w:w="1278"/>
        <w:gridCol w:w="277"/>
        <w:gridCol w:w="810"/>
        <w:gridCol w:w="143"/>
        <w:gridCol w:w="109"/>
        <w:gridCol w:w="109"/>
        <w:gridCol w:w="109"/>
        <w:gridCol w:w="345"/>
        <w:gridCol w:w="1008"/>
        <w:gridCol w:w="252"/>
      </w:tblGrid>
      <w:tr>
        <w:trPr/>
        <w:tc>
          <w:tcPr>
            <w:tcW w:w="14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October 31, 2025</w:t>
            </w:r>
          </w:p>
        </w:tc>
      </w:tr>
      <w:tr>
        <w:trPr/>
        <w:tc>
          <w:tcPr>
            <w:tcW w:w="398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Standby letters of credit </w:t>
            </w:r>
          </w:p>
        </w:tc>
        <w:tc>
          <w:tcPr>
            <w:tcW w:w="27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4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5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Surety bonds and surety-backed letters of credit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insurance deposits</w:t>
            </w:r>
          </w:p>
        </w:tc>
        <w:tc>
          <w:tcPr>
            <w:tcW w:w="10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237.4 </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9. DEBT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tbl>
      <w:tblPr>
        <w:tblW w:w="7601" w:type="dxa"/>
        <w:jc w:val="left"/>
        <w:tblInd w:w="0" w:type="dxa"/>
        <w:tblLayout w:type="fixed"/>
        <w:tblCellMar>
          <w:top w:w="28" w:type="dxa"/>
          <w:left w:w="28" w:type="dxa"/>
          <w:bottom w:w="28" w:type="dxa"/>
          <w:right w:w="28" w:type="dxa"/>
        </w:tblCellMar>
      </w:tblPr>
      <w:tblGrid>
        <w:gridCol w:w="1605"/>
        <w:gridCol w:w="1408"/>
        <w:gridCol w:w="1427"/>
        <w:gridCol w:w="239"/>
        <w:gridCol w:w="868"/>
        <w:gridCol w:w="123"/>
        <w:gridCol w:w="109"/>
        <w:gridCol w:w="109"/>
        <w:gridCol w:w="109"/>
        <w:gridCol w:w="299"/>
        <w:gridCol w:w="1087"/>
        <w:gridCol w:w="218"/>
      </w:tblGrid>
      <w:tr>
        <w:trPr/>
        <w:tc>
          <w:tcPr>
            <w:tcW w:w="16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October 31, 2025</w:t>
            </w:r>
          </w:p>
        </w:tc>
      </w:tr>
      <w:tr>
        <w:trPr/>
        <w:tc>
          <w:tcPr>
            <w:tcW w:w="4440" w:type="dxa"/>
            <w:gridSpan w:val="3"/>
            <w:tcBorders/>
            <w:shd w:fill="DDE2F0"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shd w:fill="DDE2F0" w:val="clear"/>
              </w:rPr>
              <w:t xml:space="preserve">Current portion of long-term debt </w:t>
            </w:r>
            <w:r>
              <w:rPr>
                <w:rFonts w:ascii="Arial;sans-serif" w:hAnsi="Arial;sans-serif"/>
                <w:b/>
                <w:color w:val="000000"/>
                <w:sz w:val="12"/>
                <w:shd w:fill="DDE2F0" w:val="clear"/>
              </w:rPr>
              <w:t>(1)(2)</w:t>
            </w:r>
          </w:p>
        </w:tc>
        <w:tc>
          <w:tcPr>
            <w:tcW w:w="1230" w:type="dxa"/>
            <w:gridSpan w:val="3"/>
            <w:tcBorders>
              <w:top w:val="single" w:sz="8" w:space="0" w:color="000000"/>
            </w:tcBorders>
            <w:shd w:fill="DDE2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DDE2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term loan</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deferred financing costs</w:t>
            </w:r>
          </w:p>
        </w:tc>
        <w:tc>
          <w:tcPr>
            <w:tcW w:w="110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18"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portion of term loan, net</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Long-term debt </w:t>
            </w:r>
            <w:r>
              <w:rPr>
                <w:rFonts w:ascii="Arial;sans-serif" w:hAnsi="Arial;sans-serif"/>
                <w:b w:val="false"/>
                <w:color w:val="000000"/>
                <w:sz w:val="12"/>
              </w:rPr>
              <w:t>(1)(2)</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w:t>
            </w:r>
          </w:p>
        </w:tc>
        <w:tc>
          <w:tcPr>
            <w:tcW w:w="239"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760.9 </w:t>
            </w:r>
          </w:p>
        </w:tc>
        <w:tc>
          <w:tcPr>
            <w:tcW w:w="12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555.0 </w:t>
            </w:r>
          </w:p>
        </w:tc>
        <w:tc>
          <w:tcPr>
            <w:tcW w:w="218"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under Receivables Financing Agreement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DE2F0"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Revolving line of credit </w:t>
            </w:r>
            <w:r>
              <w:rPr>
                <w:rFonts w:ascii="Arial;sans-serif" w:hAnsi="Arial;sans-serif"/>
                <w:b w:val="false"/>
                <w:color w:val="000000"/>
                <w:sz w:val="12"/>
              </w:rPr>
              <w:t>(3)</w:t>
            </w:r>
          </w:p>
        </w:tc>
        <w:tc>
          <w:tcPr>
            <w:tcW w:w="110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12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984.0 </w:t>
            </w:r>
          </w:p>
        </w:tc>
        <w:tc>
          <w:tcPr>
            <w:tcW w:w="218"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 gross</w:t>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1,539.0 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deferred financing costs</w:t>
            </w:r>
          </w:p>
        </w:tc>
        <w:tc>
          <w:tcPr>
            <w:tcW w:w="110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2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18"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 net</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1,732.2 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1,537.1 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6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8"/>
        </w:rPr>
        <w:t>At July 31, 2026, and October 31, 2025, the weighted average interest rate on all outstanding borrowings, not including letters of credit and swaps, was 5.53% and 5.84%, respectively.</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8"/>
        </w:rPr>
        <w:t>At July 31, 2026, we had borrowing capacity of $495.3 million.</w:t>
      </w:r>
    </w:p>
    <w:p>
      <w:pPr>
        <w:pStyle w:val="TextBody"/>
        <w:bidi w:val="0"/>
        <w:spacing w:lineRule="auto" w:line="288" w:before="120" w:after="283"/>
        <w:ind w:left="0" w:right="0" w:hanging="18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At July 31, 2026, standby letters of credit amounted to $22.4 million.</w:t>
      </w:r>
    </w:p>
    <w:p>
      <w:pPr>
        <w:pStyle w:val="TextBody"/>
        <w:bidi w:val="0"/>
        <w:spacing w:before="24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350"/>
                <wp:effectExtent l="0" t="0" r="0" b="0"/>
                <wp:wrapNone/>
                <wp:docPr id="21" name="Frame1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were scheduled to mature on September 1, 2022. In accordance with terms of the Credit Facility, the revolver was reduced to $800.0 million on September 1, 2018. The Credit Facility was amended on June 28, 2021, to increase the capacity of the Revolver and term loan to $1.3 billion and $650 million, respectively, and to extend the maturity to June 28, 2026. It was further amended on November 1, 2022, to transition the benchmark interest rate from London Interbank Offered Rate (“LIBOR”) to Secured Overnight Financing Rate (“SOFR”).</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26, 2025, we amended and restated the Credit Facility (the “Amended Credit Facility”), extending the maturity date to February 26, 2030, and increasing the capacity of the revolving credit facility from $1.3 billion to $1.6 billion and the then-remaining term loan outstanding from $528.1 million to $600.0 million. The Amended Credit Facility provides for the issuance of up to $250.0 million for standby letters of credit and the issuance of up to $100.0 million in swingline advances. Borrowings under the Amended Credit Facility bear interest at a rate equal to an applicable margin that varies based on ABM’s total net leverage ratio plus Term SOFR. Under the terms of the Amended Credit Facility, ABM will also pay a commitment fee based on the total net leverage ratio, payable quarterly in arrears, ranging from 0.20% to 0.40%. The obligations under the Amended Credit Facility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 Additionally, we may repay amounts borrowed under the Amended Credit Facility at any time without penalty.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July 31, 2026, we were in compliance with these covenants.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incurred deferred financing costs of $8.0 million in conjunction with the execution of the Amended Credit Facility and carried over $2.9 million of unamortized deferred financing costs from initial execution and previous amendments of the Credit Facility. Total deferred financing costs of $10.9 million, consisting of $3.0 million related to the term loan and $7.9 million related to the Revolver, are being amortized to interest expense over the term of the Amended Credit Facility.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February 3, 2026, we entered into the First Amendment to the Amended Credit Facility to provide for a new incremental term loan in an aggregate principal amount equal to $255.0 million (the “First Incremental Term Loan”). The terms and conditions that apply to the First Incremental Term Loan are substantially the same as the terms and conditions that apply to the other term loans outstanding under the Amended Credit Facility. No amounts under the Amended Credit Facility were repaid as a result of the execution of the First Incremental Term Loan.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28, 2026, we entered into a trade receivables financing agreement (the “Receivables Financing Agreement”) involving several of our wholly owned subsidiaries and certain financial institutions. The Receivables Financing Agreement provides for a maximum revolving borrowing amount of $300.0 million and expires on July 27, 2029. Under the arrangement, certain of our wholly owned subsidiaries sell a portfolio of eligible U.S. trade accounts receivable and related rights to our wholly owned subsidiary, ABM Receivables, LLC, a consolidated and bankruptcy-remote special purpose entity. Eligible receivables sold to ABM Receivables, LLC are pledged as collateral for borrowings under the Receivables Financing Agreement and are subject to a security interest in favor of the participating institutions. The borrowings under the Receivables Financing Agreement bear interest at a rate of Term SOFR plus an applicable margin ranging from 0.90% to 1.00% based on ABM’s total net leverage ratio, payable monthly in arrears. The arrangement also provides for an undrawn fee of 0.35% on unused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350"/>
                <wp:effectExtent l="0" t="0" r="0" b="0"/>
                <wp:wrapNone/>
                <wp:docPr id="22" name="Frame2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The Receivables Financing Agreement transaction does not qualify as a sale of assets under ASC 860, </w:t>
      </w:r>
      <w:r>
        <w:rPr>
          <w:rFonts w:ascii="Arial;sans-serif" w:hAnsi="Arial;sans-serif"/>
          <w:b w:val="false"/>
          <w:i/>
          <w:color w:val="000000"/>
          <w:sz w:val="20"/>
        </w:rPr>
        <w:t>Transfers and Servicing</w:t>
      </w:r>
      <w:r>
        <w:rPr>
          <w:rFonts w:ascii="Arial;sans-serif" w:hAnsi="Arial;sans-serif"/>
          <w:b w:val="false"/>
          <w:color w:val="000000"/>
          <w:sz w:val="20"/>
        </w:rPr>
        <w:t>, and as a result, is accounted for as a secured borrowing. Accordingly, receivables used to secure the borrowings are presented as trade accounts receivable, net, and borrowings are presented as long-term debt, net, on the unaudited Consolidated Balance Sheets. Cash receipts from customers related to the underlying receivables are reflected as operating activities, while borrowings and repayments under the Receivables Financing Agreement are reflected as financing activities in the unaudited Consolidated Statements of Cash Flows.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July 31, 2026, the total amount of receivables pledged as collateral under the Receivables Financing Agreement was $402.4 million, and the total amount of outstanding borrowings under the Receivables Financing Agreement was $300.0 million.</w:t>
      </w:r>
    </w:p>
    <w:p>
      <w:pPr>
        <w:pStyle w:val="TextBody"/>
        <w:bidi w:val="0"/>
        <w:spacing w:before="180" w:after="283"/>
        <w:ind w:left="0" w:right="0" w:firstLine="720"/>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Long-Term Debt Maturities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nine months ended July 31, 2026, we made principal payments under the term loan of $36.4 million. At July 31, 2026, the following principal payments are required under the terms of the long-term debt:</w:t>
      </w:r>
    </w:p>
    <w:tbl>
      <w:tblPr>
        <w:tblW w:w="7545" w:type="dxa"/>
        <w:jc w:val="left"/>
        <w:tblInd w:w="0" w:type="dxa"/>
        <w:tblLayout w:type="fixed"/>
        <w:tblCellMar>
          <w:top w:w="28" w:type="dxa"/>
          <w:left w:w="28" w:type="dxa"/>
          <w:bottom w:w="28" w:type="dxa"/>
          <w:right w:w="28" w:type="dxa"/>
        </w:tblCellMar>
      </w:tblPr>
      <w:tblGrid>
        <w:gridCol w:w="488"/>
        <w:gridCol w:w="429"/>
        <w:gridCol w:w="433"/>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76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2030</w:t>
            </w:r>
          </w:p>
        </w:tc>
      </w:tr>
      <w:tr>
        <w:trPr/>
        <w:tc>
          <w:tcPr>
            <w:tcW w:w="135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maturities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342.8 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1,339.7 </w:t>
            </w:r>
          </w:p>
        </w:tc>
        <w:tc>
          <w:tcPr>
            <w:tcW w:w="15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Interest Rate Swaps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7, “Fair Value of Financial Instruments.” </w:t>
      </w:r>
    </w:p>
    <w:tbl>
      <w:tblPr>
        <w:tblW w:w="7219" w:type="dxa"/>
        <w:jc w:val="left"/>
        <w:tblInd w:w="0" w:type="dxa"/>
        <w:tblLayout w:type="fixed"/>
        <w:tblCellMar>
          <w:top w:w="28" w:type="dxa"/>
          <w:left w:w="28" w:type="dxa"/>
          <w:bottom w:w="28" w:type="dxa"/>
          <w:right w:w="28" w:type="dxa"/>
        </w:tblCellMar>
      </w:tblPr>
      <w:tblGrid>
        <w:gridCol w:w="559"/>
        <w:gridCol w:w="492"/>
        <w:gridCol w:w="494"/>
        <w:gridCol w:w="109"/>
        <w:gridCol w:w="109"/>
        <w:gridCol w:w="109"/>
        <w:gridCol w:w="574"/>
        <w:gridCol w:w="574"/>
        <w:gridCol w:w="576"/>
        <w:gridCol w:w="109"/>
        <w:gridCol w:w="109"/>
        <w:gridCol w:w="109"/>
        <w:gridCol w:w="439"/>
        <w:gridCol w:w="439"/>
        <w:gridCol w:w="441"/>
        <w:gridCol w:w="109"/>
        <w:gridCol w:w="109"/>
        <w:gridCol w:w="109"/>
        <w:gridCol w:w="482"/>
        <w:gridCol w:w="482"/>
        <w:gridCol w:w="68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$248.6 million</w:t>
            </w:r>
            <w:r>
              <w:rPr>
                <w:rFonts w:ascii="Arial;sans-serif" w:hAnsi="Arial;sans-serif"/>
                <w:b w:val="false"/>
                <w:color w:val="000000"/>
                <w:sz w:val="12"/>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26, 2030</w:t>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 xml:space="preserve">In April 2026, we entered into an amortizing interest rate swap agreement with an initial notional amount of $255.0 million, reducing by $3.2 million at the end of every quarter before maturing on February 26, 2030.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July 31, 2026, and October 31, 2025, amounts recorded in accumulated other comprehensive loss (“AOCL”) for interest rate swaps were a gain of $1.6 million, net of taxes of $1.6 million, and a gain of $2.4 million, net of taxes of $1.9 million, respectively. At July 31, 2026, the total amount expected to be reclassified from AOCL to earnings during the next 12 months is a gain of $0.6 million, net of taxes of $0.2 million.</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0350"/>
                <wp:effectExtent l="0" t="0" r="0" b="0"/>
                <wp:wrapNone/>
                <wp:docPr id="23" name="Frame2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20" w:after="283"/>
        <w:jc w:val="left"/>
        <w:rPr>
          <w:rFonts w:ascii="Arial;sans-serif" w:hAnsi="Arial;sans-serif"/>
          <w:b/>
          <w:color w:val="0046AD"/>
          <w:sz w:val="20"/>
        </w:rPr>
      </w:pPr>
      <w:r>
        <w:rPr>
          <w:rFonts w:ascii="Arial;sans-serif" w:hAnsi="Arial;sans-serif"/>
          <w:b/>
          <w:color w:val="0046AD"/>
          <w:sz w:val="20"/>
        </w:rPr>
        <w:t xml:space="preserve">10. COMMON STOCK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Arial;sans-serif" w:hAnsi="Arial;sans-serif"/>
          <w:b w:val="false"/>
          <w:color w:val="000000"/>
          <w:sz w:val="20"/>
        </w:rPr>
        <w:t>Effective September 3, 2025, our Board of Directors expanded our existing share repurchase program by an additional $150.0 million of our common stock.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w:t>
      </w:r>
      <w:r>
        <w:rPr>
          <w:color w:val="000000"/>
          <w:shd w:fill="FFFFFF" w:val="clear"/>
        </w:rPr>
        <w:t xml:space="preserve"> </w:t>
      </w:r>
      <w:r>
        <w:rPr>
          <w:rFonts w:ascii="Arial;sans-serif" w:hAnsi="Arial;sans-serif"/>
          <w:b w:val="false"/>
          <w:color w:val="000000"/>
          <w:sz w:val="20"/>
          <w:shd w:fill="FFFFFF" w:val="clear"/>
        </w:rPr>
        <w:t>The repurchase program may be suspended or discontinued at any time without prior notice.</w:t>
      </w:r>
    </w:p>
    <w:p>
      <w:pPr>
        <w:pStyle w:val="TextBody"/>
        <w:bidi w:val="0"/>
        <w:spacing w:lineRule="auto" w:line="288" w:before="180" w:after="283"/>
        <w:ind w:left="0" w:right="0" w:firstLine="180"/>
        <w:jc w:val="left"/>
        <w:rPr>
          <w:rFonts w:ascii="Arial;sans-serif" w:hAnsi="Arial;sans-serif"/>
          <w:b/>
          <w:i/>
          <w:color w:val="0046AD"/>
          <w:sz w:val="20"/>
        </w:rPr>
      </w:pPr>
      <w:r>
        <w:rPr>
          <w:rFonts w:ascii="Arial;sans-serif" w:hAnsi="Arial;sans-serif"/>
          <w:b/>
          <w:i/>
          <w:color w:val="0046AD"/>
          <w:sz w:val="20"/>
        </w:rPr>
        <w:t>Repurchase Activity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 shares were repurchased during the three months ended July 31, 2026. During the nine months ended July 31, 2026, there were share repurchases as summarized below. At July 31, 2026, authorization for $89.0 million of repurchases remained under our share repurchase program.</w:t>
      </w:r>
    </w:p>
    <w:tbl>
      <w:tblPr>
        <w:tblW w:w="8829" w:type="dxa"/>
        <w:jc w:val="left"/>
        <w:tblInd w:w="0" w:type="dxa"/>
        <w:tblLayout w:type="fixed"/>
        <w:tblCellMar>
          <w:top w:w="28" w:type="dxa"/>
          <w:left w:w="28" w:type="dxa"/>
          <w:bottom w:w="28" w:type="dxa"/>
          <w:right w:w="28" w:type="dxa"/>
        </w:tblCellMar>
      </w:tblPr>
      <w:tblGrid>
        <w:gridCol w:w="1212"/>
        <w:gridCol w:w="1064"/>
        <w:gridCol w:w="1069"/>
        <w:gridCol w:w="109"/>
        <w:gridCol w:w="109"/>
        <w:gridCol w:w="109"/>
        <w:gridCol w:w="538"/>
        <w:gridCol w:w="1039"/>
        <w:gridCol w:w="283"/>
        <w:gridCol w:w="109"/>
        <w:gridCol w:w="109"/>
        <w:gridCol w:w="109"/>
        <w:gridCol w:w="639"/>
        <w:gridCol w:w="1865"/>
        <w:gridCol w:w="466"/>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 2026</w:t>
            </w:r>
          </w:p>
        </w:tc>
      </w:tr>
      <w:tr>
        <w:trPr/>
        <w:tc>
          <w:tcPr>
            <w:tcW w:w="334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number of shares purchased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price paid per share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cash paid for share repurchases</w:t>
            </w:r>
            <w:r>
              <w:rPr>
                <w:rFonts w:ascii="Arial;sans-serif" w:hAnsi="Arial;sans-serif"/>
                <w:b w:val="false"/>
                <w:color w:val="000000"/>
                <w:sz w:val="12"/>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9"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5"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46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180"/>
        <w:jc w:val="left"/>
        <w:rPr/>
      </w:pPr>
      <w:r>
        <w:rPr/>
      </w:r>
    </w:p>
    <w:tbl>
      <w:tblPr>
        <w:tblW w:w="9998" w:type="dxa"/>
        <w:jc w:val="left"/>
        <w:tblInd w:w="0" w:type="dxa"/>
        <w:tblLayout w:type="fixed"/>
        <w:tblCellMar>
          <w:top w:w="28" w:type="dxa"/>
          <w:left w:w="28" w:type="dxa"/>
          <w:bottom w:w="28" w:type="dxa"/>
          <w:right w:w="28" w:type="dxa"/>
        </w:tblCellMar>
      </w:tblPr>
      <w:tblGrid>
        <w:gridCol w:w="1212"/>
        <w:gridCol w:w="1064"/>
        <w:gridCol w:w="1069"/>
        <w:gridCol w:w="109"/>
        <w:gridCol w:w="109"/>
        <w:gridCol w:w="109"/>
        <w:gridCol w:w="683"/>
        <w:gridCol w:w="1994"/>
        <w:gridCol w:w="352"/>
        <w:gridCol w:w="109"/>
        <w:gridCol w:w="109"/>
        <w:gridCol w:w="109"/>
        <w:gridCol w:w="639"/>
        <w:gridCol w:w="1865"/>
        <w:gridCol w:w="466"/>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 2025</w:t>
            </w:r>
          </w:p>
        </w:tc>
      </w:tr>
      <w:tr>
        <w:trPr/>
        <w:tc>
          <w:tcPr>
            <w:tcW w:w="334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number of shares purchased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price paid per share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cash paid for share repurchases</w:t>
            </w:r>
            <w:r>
              <w:rPr>
                <w:rFonts w:ascii="Arial;sans-serif" w:hAnsi="Arial;sans-serif"/>
                <w:b w:val="false"/>
                <w:color w:val="000000"/>
                <w:sz w:val="12"/>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94"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3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5"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46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 xml:space="preserve">Average price paid per share and total cash paid for share repurchases do not include any excise tax for share repurchases as part of the Inflation Reduction Act of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 xml:space="preserve">11. COMMITMENTS AND CONTINGENCIES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Letters of Credit and Surety Bonds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letters of credit and surety bonds to secure certain commitments related to insurance programs and for other purposes. As of July 31, 2026, these letters of credit totaled $22.4 million and surety bonds and surety-backed letters of credit totaled $1,211.8 million.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Guarantees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some instances, we offer clients guaranteed energy savings under certain energy savings contracts. At July 31, 2026, total guarantees were $179.9 million and extend through 2046.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350"/>
                <wp:effectExtent l="0" t="0" r="0" b="0"/>
                <wp:wrapNone/>
                <wp:docPr id="24" name="Frame2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Sales Taxes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 </w:t>
      </w:r>
    </w:p>
    <w:p>
      <w:pPr>
        <w:pStyle w:val="TextBody"/>
        <w:bidi w:val="0"/>
        <w:spacing w:lineRule="auto" w:line="288" w:before="180" w:after="283"/>
        <w:ind w:left="0" w:right="0" w:firstLine="720"/>
        <w:jc w:val="both"/>
        <w:rPr/>
      </w:pPr>
      <w:r>
        <w:rPr>
          <w:rFonts w:ascii="Arial;sans-serif" w:hAnsi="Arial;sans-serif"/>
          <w:b w:val="false"/>
          <w:color w:val="000000"/>
          <w:sz w:val="20"/>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r>
        <w:rPr>
          <w:rFonts w:ascii="Arial;sans-serif" w:hAnsi="Arial;sans-serif"/>
          <w:b/>
          <w:color w:val="0046AD"/>
          <w:sz w:val="20"/>
        </w:rPr>
        <w:t>.</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Legal Matters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July 31, 2026, the total amount accrued for probable litigation losses where a reasonable estimate of the loss could be made was $8.8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$14.9 million. Factors underlying this estimated range of loss may change from time to time, and actual results may vary significantly from this estimate.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 xml:space="preserve">12. INCOME TAXES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quarterly tax provision is calculated using an estimated annual effective tax rate that is adjusted for discrete items occurring during the period to arrive at our effective tax rate. During the three and nine months ended July 31, 2026, we had effective tax rates of 21.3% and 24.8%, respectively. During the three and nine months ended July 31, 2025, we had effective tax rates of 29.6% and 26.9%, respectively. The difference between the estimated annual effective tax rate before discrete items and statutory rate is primarily related to state income taxes, non-deductible compensation, and tax credits. </w:t>
      </w:r>
    </w:p>
    <w:p>
      <w:pPr>
        <w:pStyle w:val="TextBody"/>
        <w:bidi w:val="0"/>
        <w:spacing w:before="18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0350"/>
                <wp:effectExtent l="0" t="0" r="0" b="0"/>
                <wp:wrapNone/>
                <wp:docPr id="25" name="Frame2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effective tax rate for the three months ended July 31, 2026, was reduced by discrete items, primarily research and development tax credits and enhanced Work Opportunity Tax Credits (“WOTC”). Our effective tax rate for the three months ended July 31, 2025, was not impacted by any significant discrete items.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effective tax rate for the nine months ended July 31, 2026, was reduced by discrete items, primarily research and development tax credits, enhanced WOTC, and share-based compensation. Our effective tax rate for the nine months ended July 31, 2025, benefited from discrete items, primarily from return to provision adjustments related to our non-U.S operations.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WOTC and Federal Empowerment Zone (“FEZ”) credit are federal tax credits available to employers for hiring individuals from certain targeted groups. The Company has historically benefited from these tax credits, which expired on December 31, 2025. As of July 31, 2026, the credits have not been renewed, and our effective tax rate for the three and nine months ended July 31, 2026, only includes a benefit for those employees who started work before December 31, 2025.</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Organisation for Economic Co-operation and Development (“OECD”) Pillar Two Model Rules established a minimum global effective tax rate of 15% on country-by-country profits of large multinational companies. European Union member states along with many other countries have adopted or expect to adopt the OECD Pillar Two Model effective January 1, 2024, or thereafter. The OECD and other countries continue to publish guidelines and legislation that include transition and safe harbor rules. We continue to monitor new legislative changes and assess the global impact of the Pillar Two Model Rules. Based on our initial assessment, Pillar Two should not have a material impact to the Company’s income tax provision.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plan to reinvest our foreign earnings to fund future non-U.S. growth and expansion, and we do not anticipate remitting such earnings to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0350"/>
                <wp:effectExtent l="0" t="0" r="0" b="0"/>
                <wp:wrapNone/>
                <wp:docPr id="26" name="Frame2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 xml:space="preserve">13. SEGMENT INFORMATION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current reportable segments consist of B&amp;I, M&amp;D, Aviation, Education, and Technical Solutions, as further described below. </w:t>
      </w:r>
    </w:p>
    <w:tbl>
      <w:tblPr>
        <w:tblW w:w="10205" w:type="dxa"/>
        <w:jc w:val="left"/>
        <w:tblInd w:w="0" w:type="dxa"/>
        <w:tblLayout w:type="fixed"/>
        <w:tblCellMar>
          <w:top w:w="28" w:type="dxa"/>
          <w:left w:w="28" w:type="dxa"/>
          <w:bottom w:w="28" w:type="dxa"/>
          <w:right w:w="28" w:type="dxa"/>
        </w:tblCellMar>
      </w:tblPr>
      <w:tblGrid>
        <w:gridCol w:w="520"/>
        <w:gridCol w:w="290"/>
        <w:gridCol w:w="290"/>
        <w:gridCol w:w="2865"/>
        <w:gridCol w:w="2680"/>
        <w:gridCol w:w="3560"/>
      </w:tblGrid>
      <w:tr>
        <w:trPr/>
        <w:tc>
          <w:tcPr>
            <w:tcW w:w="5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DCE2EF" w:val="clear"/>
            <w:tcMar>
              <w:top w:w="52" w:type="dxa"/>
              <w:bottom w:w="0" w:type="dxa"/>
            </w:tcMar>
            <w:vAlign w:val="center"/>
          </w:tcPr>
          <w:p>
            <w:pPr>
              <w:pStyle w:val="TableContents"/>
              <w:bidi w:val="0"/>
              <w:spacing w:lineRule="auto" w:line="240" w:before="0" w:after="283"/>
              <w:jc w:val="center"/>
              <w:rPr>
                <w:rFonts w:ascii="Arial;sans-serif" w:hAnsi="Arial;sans-serif"/>
                <w:b/>
                <w:color w:val="0046AD"/>
                <w:sz w:val="18"/>
              </w:rPr>
            </w:pPr>
            <w:r>
              <w:rPr>
                <w:rFonts w:ascii="Arial;sans-serif" w:hAnsi="Arial;sans-serif"/>
                <w:b/>
                <w:color w:val="0046AD"/>
                <w:sz w:val="18"/>
              </w:rPr>
              <w:t>REPORTABLE SEGMENTS AND DESCRIPTIONS</w:t>
            </w:r>
          </w:p>
        </w:tc>
      </w:tr>
      <w:tr>
        <w:trPr/>
        <w:tc>
          <w:tcPr>
            <w:tcW w:w="1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B&amp;I</w:t>
            </w:r>
          </w:p>
        </w:tc>
        <w:tc>
          <w:tcPr>
            <w:tcW w:w="91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120" w:after="120"/>
              <w:jc w:val="both"/>
              <w:rPr>
                <w:rFonts w:ascii="Arial;sans-serif" w:hAnsi="Arial;sans-serif"/>
                <w:b w:val="false"/>
                <w:color w:val="000000"/>
                <w:sz w:val="18"/>
              </w:rPr>
            </w:pPr>
            <w:r>
              <w:rPr>
                <w:rFonts w:ascii="Arial;sans-serif" w:hAnsi="Arial;sans-serif"/>
                <w:b w:val="false"/>
                <w:color w:val="000000"/>
                <w:sz w:val="18"/>
              </w:rPr>
              <w:t>B&amp;I, our largest reportable segment, encompasses comprehensive facility solutions, including janitorial and maintenance, facilities engineering, and parking and transportation management to a diverse range of clients. Our expertise extends to commercial real estate properties, including corporate offices for high-tech clients, sports and entertainment venues, and both traditional hospitals and non-acute healthcare facilities. We typically provide these services pursuant to monthly fixed-price, square-foot, cost-plus, and parking arrangements (i.e., management reimbursement, leased location, or allowance) that are obtained through a competitive bid process as well as pursuant to work orders.</w:t>
            </w:r>
          </w:p>
        </w:tc>
      </w:tr>
      <w:tr>
        <w:trPr/>
        <w:tc>
          <w:tcPr>
            <w:tcW w:w="1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M&amp;D</w:t>
            </w:r>
          </w:p>
        </w:tc>
        <w:tc>
          <w:tcPr>
            <w:tcW w:w="91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M&amp;D provides integrated facility services, engineering, janitorial and maintenance, and other specialized solutions to a variety of manufacturing, distribution, and data center facilities. We typically provide these services pursuant to monthly fixed-price, square-foot, and cost-plus arrangements, that are obtained through a competitive bid process as well as pursuant to work orders.</w:t>
            </w:r>
          </w:p>
        </w:tc>
      </w:tr>
      <w:tr>
        <w:trPr/>
        <w:tc>
          <w:tcPr>
            <w:tcW w:w="1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Aviation</w:t>
            </w:r>
          </w:p>
        </w:tc>
        <w:tc>
          <w:tcPr>
            <w:tcW w:w="91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 xml:space="preserve">Aviation provides comprehensive support services to airlines and airports, including parking and transportation management, janitorial and maintenance services, passenger assistance, catering logistics, aircraft cabin maintenance, and transportation solutions. We typically provide services to clients in this segment under master services agreements. These agreements are typically re-bid upon renewal and are generally structured as monthly fixed-price, square-foot, cost-plus, parking, transaction-price, and hourly arrangements. </w:t>
            </w:r>
          </w:p>
        </w:tc>
      </w:tr>
      <w:tr>
        <w:trPr/>
        <w:tc>
          <w:tcPr>
            <w:tcW w:w="1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Education</w:t>
            </w:r>
          </w:p>
        </w:tc>
        <w:tc>
          <w:tcPr>
            <w:tcW w:w="91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120" w:after="120"/>
              <w:jc w:val="both"/>
              <w:rPr>
                <w:rFonts w:ascii="Arial;sans-serif" w:hAnsi="Arial;sans-serif"/>
                <w:b w:val="false"/>
                <w:color w:val="000000"/>
                <w:sz w:val="18"/>
              </w:rPr>
            </w:pPr>
            <w:r>
              <w:rPr>
                <w:rFonts w:ascii="Arial;sans-serif" w:hAnsi="Arial;sans-serif"/>
                <w:b w:val="false"/>
                <w:color w:val="000000"/>
                <w:sz w:val="18"/>
              </w:rPr>
              <w:t>Education delivers comprehensive facility services to public school districts, private schools, colleges, and universities. Our services include janitorial and custodial services, landscaping and grounds maintenance, facilities engineering, and parking management. These services are typically provided pursuant to monthly fixed-price, square-foot, and cost-plus arrangements that are obtained through either a competitive bid process or re-bid upon renewal as well as pursuant to work orders.</w:t>
            </w:r>
          </w:p>
        </w:tc>
      </w:tr>
      <w:tr>
        <w:trPr/>
        <w:tc>
          <w:tcPr>
            <w:tcW w:w="11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Technical Solutions</w:t>
            </w:r>
          </w:p>
        </w:tc>
        <w:tc>
          <w:tcPr>
            <w:tcW w:w="91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120" w:after="120"/>
              <w:jc w:val="both"/>
              <w:rPr>
                <w:rFonts w:ascii="Arial;sans-serif" w:hAnsi="Arial;sans-serif"/>
                <w:b w:val="false"/>
                <w:color w:val="000000"/>
                <w:sz w:val="18"/>
              </w:rPr>
            </w:pPr>
            <w:r>
              <w:rPr>
                <w:rFonts w:ascii="Arial;sans-serif" w:hAnsi="Arial;sans-serif"/>
                <w:b w:val="false"/>
                <w:color w:val="000000"/>
                <w:sz w:val="18"/>
              </w:rPr>
              <w:t>Technical Solutions specializes in comprehensive facility infrastructure services, including mechanical and electrical systems, EV charging station design, installation, and maintenance, as well as microgrid systems encompassing uninterrupted power supply (“UPS”) systems and power distribution units. These offerings are strategically leveraged for cross-selling across all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July 31, 2026, the Company’s Chief Operating Decision Makers (the “CODMs”), consisting of the Chief Executive Officer and the Chief Operating Officer, evaluate the performance of ABM’s operating segments and allocate resources based on segment operating profit and revenue. These metrics are regularly reviewed as part of ABM’s internal reporting package.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Segment operating profits are used to allocate resources, including investment spending, primarily as part of the annual budget process. On a monthly basis, the CODMs review budget-to-actual variances to assess performance, monitor trends, and compare results across segments. Segment performance is also considered in the determination of incentive compensation for segment leadership. Segment asset information is not provided to the CODMs, nor is it used in evaluating segment performance or making resource allocation decisions. Accordingly, segment assets are not disclosed in this note.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0350"/>
                <wp:effectExtent l="0" t="0" r="0" b="0"/>
                <wp:wrapNone/>
                <wp:docPr id="27" name="Frame2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tables present the measure of profit or loss used by the CODMs, along with other significant segment items that are regularly provided and used in managing the business:</w:t>
      </w:r>
    </w:p>
    <w:p>
      <w:pPr>
        <w:pStyle w:val="TextBody"/>
        <w:bidi w:val="0"/>
        <w:spacing w:lineRule="auto" w:line="288" w:before="240" w:after="283"/>
        <w:ind w:left="0" w:right="0" w:firstLine="720"/>
        <w:jc w:val="both"/>
        <w:rPr>
          <w:rFonts w:ascii="Arial;sans-serif" w:hAnsi="Arial;sans-serif"/>
          <w:b/>
          <w:i/>
          <w:color w:val="0046AD"/>
          <w:sz w:val="20"/>
        </w:rPr>
      </w:pPr>
      <w:r>
        <w:rPr>
          <w:rFonts w:ascii="Arial;sans-serif" w:hAnsi="Arial;sans-serif"/>
          <w:b/>
          <w:i/>
          <w:color w:val="0046AD"/>
          <w:sz w:val="20"/>
        </w:rPr>
        <w:t>Financial Information by Reportable Segment</w:t>
      </w:r>
    </w:p>
    <w:tbl>
      <w:tblPr>
        <w:tblW w:w="10205" w:type="dxa"/>
        <w:jc w:val="center"/>
        <w:tblInd w:w="0" w:type="dxa"/>
        <w:tblLayout w:type="fixed"/>
        <w:tblCellMar>
          <w:top w:w="28" w:type="dxa"/>
          <w:left w:w="28" w:type="dxa"/>
          <w:bottom w:w="28" w:type="dxa"/>
          <w:right w:w="28" w:type="dxa"/>
        </w:tblCellMar>
      </w:tblPr>
      <w:tblGrid>
        <w:gridCol w:w="867"/>
        <w:gridCol w:w="704"/>
        <w:gridCol w:w="66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6"/>
        <w:gridCol w:w="632"/>
        <w:gridCol w:w="113"/>
        <w:gridCol w:w="109"/>
        <w:gridCol w:w="109"/>
        <w:gridCol w:w="109"/>
        <w:gridCol w:w="288"/>
        <w:gridCol w:w="841"/>
        <w:gridCol w:w="148"/>
        <w:gridCol w:w="109"/>
        <w:gridCol w:w="109"/>
        <w:gridCol w:w="109"/>
        <w:gridCol w:w="211"/>
        <w:gridCol w:w="766"/>
        <w:gridCol w:w="157"/>
      </w:tblGrid>
      <w:tr>
        <w:trPr/>
        <w:tc>
          <w:tcPr>
            <w:tcW w:w="86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July 31, 2026</w:t>
            </w:r>
          </w:p>
        </w:tc>
      </w:tr>
      <w:tr>
        <w:trPr/>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Technical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2,317.1 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Significant Segment Expenses</w:t>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Direct labor costs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1,325.6 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General and administrative </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646.2 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w:t>
            </w:r>
          </w:p>
        </w:tc>
        <w:tc>
          <w:tcPr>
            <w:tcW w:w="157" w:type="dxa"/>
            <w:tcBorders>
              <w:top w:val="double" w:sz="8" w:space="0" w:color="000000"/>
            </w:tcBorders>
            <w:shd w:fill="DCE2E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income from unconsolidated affiliates, included in Aviation and Technical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Adjustment for tax deductions for energy efficient government </w:t>
              <w:br/>
              <w:t>buildings, included in Technical Solutions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7" w:type="dxa"/>
            <w:tcBorders>
              <w:top w:val="doub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57"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Other significant segment items</w:t>
            </w:r>
            <w:r>
              <w:rPr>
                <w:rFonts w:ascii="Arial;sans-serif" w:hAnsi="Arial;sans-serif"/>
                <w:b/>
                <w:color w:val="000000"/>
                <w:sz w:val="12"/>
              </w:rPr>
              <w:t>(2)</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and wages (other than direct)</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Consulting and professional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and entertainment (other than direct)</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0350"/>
                <wp:effectExtent l="0" t="0" r="0" b="0"/>
                <wp:wrapNone/>
                <wp:docPr id="28" name="Frame2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30" w:after="283"/>
        <w:jc w:val="both"/>
        <w:rPr/>
      </w:pPr>
      <w:r>
        <w:rPr/>
      </w:r>
    </w:p>
    <w:tbl>
      <w:tblPr>
        <w:tblW w:w="10205" w:type="dxa"/>
        <w:jc w:val="left"/>
        <w:tblInd w:w="0" w:type="dxa"/>
        <w:tblLayout w:type="fixed"/>
        <w:tblCellMar>
          <w:top w:w="28" w:type="dxa"/>
          <w:left w:w="28" w:type="dxa"/>
          <w:bottom w:w="28" w:type="dxa"/>
          <w:right w:w="28" w:type="dxa"/>
        </w:tblCellMar>
      </w:tblPr>
      <w:tblGrid>
        <w:gridCol w:w="831"/>
        <w:gridCol w:w="668"/>
        <w:gridCol w:w="630"/>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6"/>
        <w:gridCol w:w="632"/>
        <w:gridCol w:w="113"/>
        <w:gridCol w:w="109"/>
        <w:gridCol w:w="109"/>
        <w:gridCol w:w="109"/>
        <w:gridCol w:w="279"/>
        <w:gridCol w:w="816"/>
        <w:gridCol w:w="144"/>
        <w:gridCol w:w="109"/>
        <w:gridCol w:w="109"/>
        <w:gridCol w:w="109"/>
        <w:gridCol w:w="211"/>
        <w:gridCol w:w="766"/>
        <w:gridCol w:w="156"/>
      </w:tblGrid>
      <w:tr>
        <w:trPr/>
        <w:tc>
          <w:tcPr>
            <w:tcW w:w="83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 2026</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Technical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1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696.7 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757.0 </w:t>
            </w:r>
          </w:p>
        </w:tc>
        <w:tc>
          <w:tcPr>
            <w:tcW w:w="14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6,850.6 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Significant Segment Expenses</w:t>
            </w:r>
          </w:p>
        </w:tc>
      </w:tr>
      <w:tr>
        <w:trPr/>
        <w:tc>
          <w:tcPr>
            <w:tcW w:w="212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Direct labor costs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450.7 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4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3,905.0 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General and administrative </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4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245.6 </w:t>
            </w:r>
          </w:p>
        </w:tc>
        <w:tc>
          <w:tcPr>
            <w:tcW w:w="14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1,942.4 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5"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w:t>
            </w:r>
          </w:p>
        </w:tc>
        <w:tc>
          <w:tcPr>
            <w:tcW w:w="156" w:type="dxa"/>
            <w:tcBorders>
              <w:top w:val="double" w:sz="8" w:space="0" w:color="000000"/>
            </w:tcBorders>
            <w:shd w:fill="DCE2E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4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income from unconsolidated affiliates, included in Aviation and Technical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5"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Adjustment for tax deductions for energy efficient government </w:t>
              <w:br/>
              <w:t>buildings, included in Technical Solutions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5"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6" w:type="dxa"/>
            <w:tcBorders>
              <w:top w:val="doub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5"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5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Other significant segment items</w:t>
            </w:r>
            <w:r>
              <w:rPr>
                <w:rFonts w:ascii="Arial;sans-serif" w:hAnsi="Arial;sans-serif"/>
                <w:b/>
                <w:color w:val="000000"/>
                <w:sz w:val="12"/>
              </w:rPr>
              <w:t>(2)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and wages (other than direct)</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14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Consulting and professional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and entertainment (other than direct)</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4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ind w:left="0" w:right="0" w:hanging="180"/>
        <w:jc w:val="both"/>
        <w:rPr/>
      </w:pPr>
      <w:r>
        <w:rPr/>
      </w:r>
    </w:p>
    <w:p>
      <w:pPr>
        <w:pStyle w:val="TextBody"/>
        <w:bidi w:val="0"/>
        <w:spacing w:before="18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0350"/>
                <wp:effectExtent l="0" t="0" r="0" b="0"/>
                <wp:wrapNone/>
                <wp:docPr id="29" name="Frame2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30" w:after="283"/>
        <w:jc w:val="both"/>
        <w:rPr/>
      </w:pPr>
      <w:r>
        <w:rPr/>
      </w:r>
    </w:p>
    <w:tbl>
      <w:tblPr>
        <w:tblW w:w="10205" w:type="dxa"/>
        <w:jc w:val="center"/>
        <w:tblInd w:w="0" w:type="dxa"/>
        <w:tblLayout w:type="fixed"/>
        <w:tblCellMar>
          <w:top w:w="28" w:type="dxa"/>
          <w:left w:w="28" w:type="dxa"/>
          <w:bottom w:w="28" w:type="dxa"/>
          <w:right w:w="28" w:type="dxa"/>
        </w:tblCellMar>
      </w:tblPr>
      <w:tblGrid>
        <w:gridCol w:w="867"/>
        <w:gridCol w:w="704"/>
        <w:gridCol w:w="66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6"/>
        <w:gridCol w:w="632"/>
        <w:gridCol w:w="113"/>
        <w:gridCol w:w="109"/>
        <w:gridCol w:w="109"/>
        <w:gridCol w:w="109"/>
        <w:gridCol w:w="288"/>
        <w:gridCol w:w="841"/>
        <w:gridCol w:w="148"/>
        <w:gridCol w:w="109"/>
        <w:gridCol w:w="109"/>
        <w:gridCol w:w="109"/>
        <w:gridCol w:w="211"/>
        <w:gridCol w:w="766"/>
        <w:gridCol w:w="157"/>
      </w:tblGrid>
      <w:tr>
        <w:trPr/>
        <w:tc>
          <w:tcPr>
            <w:tcW w:w="86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July 31, 2025</w:t>
            </w:r>
          </w:p>
        </w:tc>
      </w:tr>
      <w:tr>
        <w:trPr/>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Technical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w:t>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235.1 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2,224.0 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Significant Segment Expenses</w:t>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Direct labor costs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1,260.0 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General and administrative </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636.1 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w:t>
            </w:r>
          </w:p>
        </w:tc>
        <w:tc>
          <w:tcPr>
            <w:tcW w:w="157" w:type="dxa"/>
            <w:tcBorders>
              <w:top w:val="double" w:sz="8" w:space="0" w:color="000000"/>
            </w:tcBorders>
            <w:shd w:fill="DCE2E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income from unconsolidated affiliates, included in Aviation and Technical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Adjustment for tax deductions for energy efficient government </w:t>
              <w:br/>
              <w:t>buildings, included in Technical Solutions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7" w:type="dxa"/>
            <w:tcBorders>
              <w:top w:val="doub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57"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Other significant segment items</w:t>
            </w:r>
            <w:r>
              <w:rPr>
                <w:rFonts w:ascii="Arial;sans-serif" w:hAnsi="Arial;sans-serif"/>
                <w:b/>
                <w:color w:val="000000"/>
                <w:sz w:val="12"/>
              </w:rPr>
              <w:t>(2)</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and wages (other than direct)</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Consulting and professional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and entertainment (other than direct)</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60350"/>
                <wp:effectExtent l="0" t="0" r="0" b="0"/>
                <wp:wrapNone/>
                <wp:docPr id="30" name="Frame2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130" w:after="283"/>
        <w:jc w:val="both"/>
        <w:rPr/>
      </w:pPr>
      <w:r>
        <w:rPr/>
      </w:r>
    </w:p>
    <w:tbl>
      <w:tblPr>
        <w:tblW w:w="10205" w:type="dxa"/>
        <w:jc w:val="center"/>
        <w:tblInd w:w="0" w:type="dxa"/>
        <w:tblLayout w:type="fixed"/>
        <w:tblCellMar>
          <w:top w:w="28" w:type="dxa"/>
          <w:left w:w="28" w:type="dxa"/>
          <w:bottom w:w="28" w:type="dxa"/>
          <w:right w:w="28" w:type="dxa"/>
        </w:tblCellMar>
      </w:tblPr>
      <w:tblGrid>
        <w:gridCol w:w="831"/>
        <w:gridCol w:w="668"/>
        <w:gridCol w:w="62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6"/>
        <w:gridCol w:w="632"/>
        <w:gridCol w:w="113"/>
        <w:gridCol w:w="109"/>
        <w:gridCol w:w="109"/>
        <w:gridCol w:w="109"/>
        <w:gridCol w:w="279"/>
        <w:gridCol w:w="816"/>
        <w:gridCol w:w="144"/>
        <w:gridCol w:w="109"/>
        <w:gridCol w:w="109"/>
        <w:gridCol w:w="109"/>
        <w:gridCol w:w="211"/>
        <w:gridCol w:w="766"/>
        <w:gridCol w:w="157"/>
      </w:tblGrid>
      <w:tr>
        <w:trPr/>
        <w:tc>
          <w:tcPr>
            <w:tcW w:w="83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 2025</w:t>
            </w:r>
          </w:p>
        </w:tc>
      </w:tr>
      <w:tr>
        <w:trPr/>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Technical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128"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3,077.2 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1,201.2 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822.0 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688.2 </w:t>
            </w:r>
          </w:p>
        </w:tc>
        <w:tc>
          <w:tcPr>
            <w:tcW w:w="11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662.0 </w:t>
            </w:r>
          </w:p>
        </w:tc>
        <w:tc>
          <w:tcPr>
            <w:tcW w:w="144"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6,450.5 </w:t>
            </w:r>
          </w:p>
        </w:tc>
        <w:tc>
          <w:tcPr>
            <w:tcW w:w="157"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Significant Segment Expenses</w:t>
            </w:r>
          </w:p>
        </w:tc>
      </w:tr>
      <w:tr>
        <w:trPr/>
        <w:tc>
          <w:tcPr>
            <w:tcW w:w="2128"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labor costs</w:t>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1,705.8 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786.0 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481.6 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455.8 </w:t>
            </w:r>
          </w:p>
        </w:tc>
        <w:tc>
          <w:tcPr>
            <w:tcW w:w="11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210.9 </w:t>
            </w:r>
          </w:p>
        </w:tc>
        <w:tc>
          <w:tcPr>
            <w:tcW w:w="144"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3,640.2 </w:t>
            </w:r>
          </w:p>
        </w:tc>
        <w:tc>
          <w:tcPr>
            <w:tcW w:w="157"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44"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194.7 </w:t>
            </w:r>
          </w:p>
        </w:tc>
        <w:tc>
          <w:tcPr>
            <w:tcW w:w="157"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DE2F0"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953.5 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1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44"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1,834.5 </w:t>
            </w:r>
          </w:p>
        </w:tc>
        <w:tc>
          <w:tcPr>
            <w:tcW w:w="157"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top w:val="double" w:sz="8" w:space="0" w:color="000000"/>
            </w:tcBorders>
            <w:shd w:fill="DDE2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DE2F0"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w:t>
            </w:r>
          </w:p>
        </w:tc>
        <w:tc>
          <w:tcPr>
            <w:tcW w:w="157" w:type="dxa"/>
            <w:tcBorders>
              <w:top w:val="double" w:sz="8" w:space="0" w:color="000000"/>
            </w:tcBorders>
            <w:shd w:fill="DDE2F0"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income from unconsolidated affiliates, included in Aviation and Technical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Adjustment for tax deductions for energy efficient government </w:t>
              <w:br/>
              <w:t>buildings, included in Technical Solutions</w:t>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7"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DE2F0"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7" w:type="dxa"/>
            <w:tcBorders>
              <w:top w:val="double" w:sz="8" w:space="0" w:color="000000"/>
            </w:tcBorders>
            <w:shd w:fill="DDE2F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E2F0"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DE2F0"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157" w:type="dxa"/>
            <w:tcBorders>
              <w:top w:val="single" w:sz="8" w:space="0" w:color="000000"/>
              <w:bottom w:val="double" w:sz="8" w:space="0" w:color="000000"/>
            </w:tcBorders>
            <w:shd w:fill="DDE2F0" w:val="clear"/>
            <w:tcMar>
              <w:top w:w="52"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0"/>
            <w:tcBorders/>
            <w:shd w:fill="DDE2F0"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Other significant segment items</w:t>
            </w:r>
            <w:r>
              <w:rPr>
                <w:rFonts w:ascii="Arial;sans-serif" w:hAnsi="Arial;sans-serif"/>
                <w:b/>
                <w:color w:val="000000"/>
                <w:sz w:val="12"/>
              </w:rPr>
              <w:t>(2)</w:t>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DDE2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and wages (other than direct)</w:t>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95.9 </w:t>
            </w:r>
          </w:p>
        </w:tc>
        <w:tc>
          <w:tcPr>
            <w:tcW w:w="144"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Consulting and professional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DE2F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and entertainment (other than direct)</w:t>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3"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DE2F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44" w:type="dxa"/>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DE2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8"/>
        </w:rPr>
        <w:t>Other segment items consist of payroll-related expenses, materials and supplies, insurance costs, depreciation and amortization, consulting and professional services, and various other expense items.</w:t>
      </w:r>
    </w:p>
    <w:p>
      <w:pPr>
        <w:pStyle w:val="TextBody"/>
        <w:bidi w:val="0"/>
        <w:spacing w:lineRule="auto" w:line="288" w:before="240" w:after="283"/>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8"/>
        </w:rPr>
        <w:t>Note these items are included in the segment expenses and operating profit shown above and are listed separately below segment operating profit as they are metrics that are separately provided to the CODMs on a regular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0350"/>
                <wp:effectExtent l="0" t="0" r="0" b="0"/>
                <wp:wrapNone/>
                <wp:docPr id="31" name="Frame2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ITEM 2. MANAGEMENT’S DISCUSSION AND ANALYSIS OF FINANCIAL CONDITION AND RESULTS OF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2025,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Throughout the MD&amp;A, amounts and percentages may not recalculate due to rounding. Unless otherwise indicated, all information in the MD&amp;A and references to years are based on our fiscal years, which end on October 31.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Business Overview</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Arial;sans-serif" w:hAnsi="Arial;sans-serif"/>
          <w:b w:val="false"/>
          <w:color w:val="000000"/>
          <w:sz w:val="20"/>
        </w:rPr>
        <w:t xml:space="preserve">ABM is a leading provider of integrated facility solutions, customized by industry, with a mission to </w:t>
      </w:r>
      <w:r>
        <w:rPr>
          <w:rFonts w:ascii="Arial;sans-serif" w:hAnsi="Arial;sans-serif"/>
          <w:b/>
          <w:color w:val="326ABD"/>
          <w:sz w:val="20"/>
        </w:rPr>
        <w:t>make a difference, every person, every day.</w:t>
      </w:r>
      <w:r>
        <w:rPr>
          <w:color w:val="000000"/>
        </w:rPr>
        <w:t xml:space="preserve"> </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In 2021, we launched our multiyear </w:t>
      </w:r>
      <w:r>
        <w:rPr>
          <w:rFonts w:ascii="Arial;sans-serif" w:hAnsi="Arial;sans-serif"/>
          <w:b/>
          <w:color w:val="E98300"/>
          <w:sz w:val="20"/>
        </w:rPr>
        <w:t xml:space="preserve">ELEVATE </w:t>
      </w:r>
      <w:r>
        <w:rPr>
          <w:rFonts w:ascii="Arial;sans-serif" w:hAnsi="Arial;sans-serif"/>
          <w:b w:val="false"/>
          <w:color w:val="000000"/>
          <w:sz w:val="20"/>
        </w:rPr>
        <w:t>transformation and systems modernization plan to strengthen our industry leadership, enhance our core service capabilities, and modernize our systems, processes, and tools — with a goal of advancing data integrity, technology enablement, and operational consistency to support long-term growth and value creation.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As this work progresses, ABM is entering a phase of turning modernization efforts into measurable performance improvements across our enterprise.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Looking ahead, ABM will continue to advance this transformation and modernization program where appropriate while optimizing systems and processes company-wide that we expect to drive performance, strengthen client trust, and create long-term value for shareholders.</w:t>
      </w:r>
    </w:p>
    <w:p>
      <w:pPr>
        <w:pStyle w:val="TextBody"/>
        <w:bidi w:val="0"/>
        <w:spacing w:lineRule="auto" w:line="288" w:before="180" w:after="283"/>
        <w:jc w:val="left"/>
        <w:rPr>
          <w:rFonts w:ascii="Arial;sans-serif" w:hAnsi="Arial;sans-serif"/>
          <w:b/>
          <w:color w:val="0046AD"/>
          <w:sz w:val="20"/>
          <w:shd w:fill="FFFFFF" w:val="clear"/>
        </w:rPr>
      </w:pPr>
      <w:r>
        <w:rPr>
          <w:rFonts w:ascii="Arial;sans-serif" w:hAnsi="Arial;sans-serif"/>
          <w:b/>
          <w:color w:val="0046AD"/>
          <w:sz w:val="20"/>
          <w:shd w:fill="FFFFFF" w:val="clear"/>
        </w:rPr>
        <w:t>Restructuring Program</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fourth quarter of 2025, we launched a Restructuring Program to further streamline our operations and improve the efficiency of our support functions. This initiative is intended to enhance overall organizational effectiveness and ensure alignment between our cost structure and strategic growth objectives. Once fully implemented in 2026, this program is expected to deliver approximately $35.0 million of annualized cost savings. We recognized $28.0 million of cumulative restructuring charges under this program through the third quarter of 2026. The range of the remaining costs to be incurred related to the Restructuring Program cannot be reasonably estimated at this time. </w:t>
      </w:r>
    </w:p>
    <w:p>
      <w:pPr>
        <w:pStyle w:val="TextBody"/>
        <w:bidi w:val="0"/>
        <w:spacing w:lineRule="auto" w:line="288" w:before="180" w:after="283"/>
        <w:ind w:left="0" w:right="0" w:firstLine="720"/>
        <w:jc w:val="both"/>
        <w:rPr/>
      </w:pPr>
      <w:r>
        <w:rPr>
          <w:rFonts w:ascii="Arial;sans-serif" w:hAnsi="Arial;sans-serif"/>
          <w:b w:val="false"/>
          <w:color w:val="000000"/>
          <w:sz w:val="20"/>
        </w:rPr>
        <w:t>We will continue to review our overhead and cost structure for efficiency opportunities under this program.</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60350"/>
                <wp:effectExtent l="0" t="0" r="0" b="0"/>
                <wp:wrapNone/>
                <wp:docPr id="32" name="Frame3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30" w:after="283"/>
        <w:jc w:val="both"/>
        <w:rPr/>
      </w:pPr>
      <w:r>
        <w:rPr/>
      </w:r>
    </w:p>
    <w:p>
      <w:pPr>
        <w:pStyle w:val="TextBody"/>
        <w:bidi w:val="0"/>
        <w:spacing w:lineRule="auto" w:line="268" w:before="180" w:after="283"/>
        <w:jc w:val="both"/>
        <w:rPr>
          <w:rFonts w:ascii="Arial;sans-serif" w:hAnsi="Arial;sans-serif"/>
          <w:b/>
          <w:color w:val="0046AD"/>
          <w:sz w:val="20"/>
        </w:rPr>
      </w:pPr>
      <w:r>
        <w:rPr>
          <w:rFonts w:ascii="Arial;sans-serif" w:hAnsi="Arial;sans-serif"/>
          <w:b/>
          <w:color w:val="0046AD"/>
          <w:sz w:val="20"/>
        </w:rPr>
        <w:t>Segment Reporting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reportable segments consist of B&amp;I, M&amp;D, Aviation, Education, and Technical Solutions, as further described below.</w:t>
      </w:r>
    </w:p>
    <w:tbl>
      <w:tblPr>
        <w:tblW w:w="10205" w:type="dxa"/>
        <w:jc w:val="left"/>
        <w:tblInd w:w="0" w:type="dxa"/>
        <w:tblLayout w:type="fixed"/>
        <w:tblCellMar>
          <w:top w:w="28" w:type="dxa"/>
          <w:left w:w="28" w:type="dxa"/>
          <w:bottom w:w="28" w:type="dxa"/>
          <w:right w:w="28" w:type="dxa"/>
        </w:tblCellMar>
      </w:tblPr>
      <w:tblGrid>
        <w:gridCol w:w="747"/>
        <w:gridCol w:w="601"/>
        <w:gridCol w:w="286"/>
        <w:gridCol w:w="2711"/>
        <w:gridCol w:w="2524"/>
        <w:gridCol w:w="3336"/>
      </w:tblGrid>
      <w:tr>
        <w:trPr/>
        <w:tc>
          <w:tcPr>
            <w:tcW w:w="74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DCE2EF" w:val="clear"/>
            <w:tcMar>
              <w:top w:w="52" w:type="dxa"/>
              <w:bottom w:w="0" w:type="dxa"/>
            </w:tcMar>
            <w:vAlign w:val="center"/>
          </w:tcPr>
          <w:p>
            <w:pPr>
              <w:pStyle w:val="TableContents"/>
              <w:bidi w:val="0"/>
              <w:spacing w:lineRule="auto" w:line="240" w:before="0" w:after="283"/>
              <w:jc w:val="center"/>
              <w:rPr>
                <w:rFonts w:ascii="Arial;sans-serif" w:hAnsi="Arial;sans-serif"/>
                <w:b/>
                <w:color w:val="0046AD"/>
                <w:sz w:val="18"/>
              </w:rPr>
            </w:pPr>
            <w:r>
              <w:rPr>
                <w:rFonts w:ascii="Arial;sans-serif" w:hAnsi="Arial;sans-serif"/>
                <w:b/>
                <w:color w:val="0046AD"/>
                <w:sz w:val="18"/>
              </w:rPr>
              <w:t>REPORTABLE SEGMENTS AND DESCRIPTIONS</w:t>
            </w:r>
          </w:p>
        </w:tc>
      </w:tr>
      <w:tr>
        <w:trPr/>
        <w:tc>
          <w:tcPr>
            <w:tcW w:w="16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819150" cy="819150"/>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4"/>
                          <a:stretch>
                            <a:fillRect/>
                          </a:stretch>
                        </pic:blipFill>
                        <pic:spPr bwMode="auto">
                          <a:xfrm>
                            <a:off x="0" y="0"/>
                            <a:ext cx="819150" cy="819150"/>
                          </a:xfrm>
                          <a:prstGeom prst="rect">
                            <a:avLst/>
                          </a:prstGeom>
                        </pic:spPr>
                      </pic:pic>
                    </a:graphicData>
                  </a:graphic>
                </wp:inline>
              </w:drawing>
            </w:r>
            <w:bookmarkStart w:id="3" w:name="i-3"/>
            <w:bookmarkEnd w:id="3"/>
          </w:p>
        </w:tc>
        <w:tc>
          <w:tcPr>
            <w:tcW w:w="85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120" w:after="120"/>
              <w:jc w:val="both"/>
              <w:rPr>
                <w:rFonts w:ascii="Arial;sans-serif" w:hAnsi="Arial;sans-serif"/>
                <w:b w:val="false"/>
                <w:color w:val="000000"/>
                <w:sz w:val="18"/>
              </w:rPr>
            </w:pPr>
            <w:r>
              <w:rPr>
                <w:rFonts w:ascii="Arial;sans-serif" w:hAnsi="Arial;sans-serif"/>
                <w:b w:val="false"/>
                <w:color w:val="000000"/>
                <w:sz w:val="18"/>
              </w:rPr>
              <w:t>B&amp;I, our largest reportable segment, encompasses comprehensive facility solutions, including janitorial and maintenance, facilities engineering, and parking and transportation management to a diverse range of clients. Our expertise extends to commercial real estate properties, including corporate offices for high-tech clients, sports and entertainment venues, and both traditional hospitals and non-acute healthcare facilities. We typically provide these services pursuant to monthly fixed-price, square-foot, cost-plus, and parking arrangements (i.e., management reimbursement, leased location, or allowance) that are obtained through a competitive bid process as well as pursuant to work orders.</w:t>
            </w:r>
          </w:p>
        </w:tc>
      </w:tr>
      <w:tr>
        <w:trPr/>
        <w:tc>
          <w:tcPr>
            <w:tcW w:w="16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933450" cy="819150"/>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5"/>
                          <a:stretch>
                            <a:fillRect/>
                          </a:stretch>
                        </pic:blipFill>
                        <pic:spPr bwMode="auto">
                          <a:xfrm>
                            <a:off x="0" y="0"/>
                            <a:ext cx="933450" cy="819150"/>
                          </a:xfrm>
                          <a:prstGeom prst="rect">
                            <a:avLst/>
                          </a:prstGeom>
                        </pic:spPr>
                      </pic:pic>
                    </a:graphicData>
                  </a:graphic>
                </wp:inline>
              </w:drawing>
            </w:r>
            <w:bookmarkStart w:id="4" w:name="i-4"/>
            <w:bookmarkEnd w:id="4"/>
          </w:p>
        </w:tc>
        <w:tc>
          <w:tcPr>
            <w:tcW w:w="85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M&amp;D provides integrated facility services, engineering, janitorial and maintenance, and other specialized solutions to a variety of manufacturing, distribution, and data center facilities. We typically provide these services pursuant to monthly fixed-price, square-foot, and cost-plus arrangements, that are obtained through a competitive bid process as well as pursuant to work orders.</w:t>
            </w:r>
          </w:p>
        </w:tc>
      </w:tr>
      <w:tr>
        <w:trPr/>
        <w:tc>
          <w:tcPr>
            <w:tcW w:w="16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723900" cy="781050"/>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6"/>
                          <a:stretch>
                            <a:fillRect/>
                          </a:stretch>
                        </pic:blipFill>
                        <pic:spPr bwMode="auto">
                          <a:xfrm>
                            <a:off x="0" y="0"/>
                            <a:ext cx="723900" cy="781050"/>
                          </a:xfrm>
                          <a:prstGeom prst="rect">
                            <a:avLst/>
                          </a:prstGeom>
                        </pic:spPr>
                      </pic:pic>
                    </a:graphicData>
                  </a:graphic>
                </wp:inline>
              </w:drawing>
            </w:r>
            <w:bookmarkStart w:id="5" w:name="i-5"/>
            <w:bookmarkEnd w:id="5"/>
          </w:p>
        </w:tc>
        <w:tc>
          <w:tcPr>
            <w:tcW w:w="85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 xml:space="preserve">Aviation provides comprehensive support services to airlines and airports, including parking and transportation management, janitorial and maintenance services, passenger assistance, catering logistics, aircraft cabin maintenance, and transportation solutions. We typically provide services to clients in this segment under master services agreements. These agreements are typically re-bid upon renewal and are generally structured as monthly fixed-price, square-foot, cost-plus, parking, transaction-price, and hourly arrangements. </w:t>
            </w:r>
          </w:p>
        </w:tc>
      </w:tr>
      <w:tr>
        <w:trPr/>
        <w:tc>
          <w:tcPr>
            <w:tcW w:w="16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723900" cy="74295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723900" cy="742950"/>
                          </a:xfrm>
                          <a:prstGeom prst="rect">
                            <a:avLst/>
                          </a:prstGeom>
                        </pic:spPr>
                      </pic:pic>
                    </a:graphicData>
                  </a:graphic>
                </wp:inline>
              </w:drawing>
            </w:r>
            <w:bookmarkStart w:id="6" w:name="i-6"/>
            <w:bookmarkEnd w:id="6"/>
          </w:p>
        </w:tc>
        <w:tc>
          <w:tcPr>
            <w:tcW w:w="85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120" w:after="120"/>
              <w:jc w:val="both"/>
              <w:rPr>
                <w:rFonts w:ascii="Arial;sans-serif" w:hAnsi="Arial;sans-serif"/>
                <w:b w:val="false"/>
                <w:color w:val="000000"/>
                <w:sz w:val="18"/>
              </w:rPr>
            </w:pPr>
            <w:r>
              <w:rPr>
                <w:rFonts w:ascii="Arial;sans-serif" w:hAnsi="Arial;sans-serif"/>
                <w:b w:val="false"/>
                <w:color w:val="000000"/>
                <w:sz w:val="18"/>
              </w:rPr>
              <w:t>Education delivers comprehensive facility services to public school districts, private schools, colleges, and universities. Our services include janitorial and custodial services, landscaping and grounds maintenance, facilities engineering, and parking management. These services are typically provided pursuant to monthly fixed-price, square-foot, and cost-plus arrangements that are obtained through either a competitive bid process or re-bid upon renewal as well as pursuant to work orders.</w:t>
            </w:r>
          </w:p>
        </w:tc>
      </w:tr>
      <w:tr>
        <w:trPr/>
        <w:tc>
          <w:tcPr>
            <w:tcW w:w="163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819150" cy="857250"/>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8"/>
                          <a:stretch>
                            <a:fillRect/>
                          </a:stretch>
                        </pic:blipFill>
                        <pic:spPr bwMode="auto">
                          <a:xfrm>
                            <a:off x="0" y="0"/>
                            <a:ext cx="819150" cy="857250"/>
                          </a:xfrm>
                          <a:prstGeom prst="rect">
                            <a:avLst/>
                          </a:prstGeom>
                        </pic:spPr>
                      </pic:pic>
                    </a:graphicData>
                  </a:graphic>
                </wp:inline>
              </w:drawing>
            </w:r>
            <w:bookmarkStart w:id="7" w:name="i-7"/>
            <w:bookmarkEnd w:id="7"/>
          </w:p>
        </w:tc>
        <w:tc>
          <w:tcPr>
            <w:tcW w:w="857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120" w:after="120"/>
              <w:jc w:val="both"/>
              <w:rPr>
                <w:rFonts w:ascii="Arial;sans-serif" w:hAnsi="Arial;sans-serif"/>
                <w:b w:val="false"/>
                <w:color w:val="000000"/>
                <w:sz w:val="18"/>
              </w:rPr>
            </w:pPr>
            <w:r>
              <w:rPr>
                <w:rFonts w:ascii="Arial;sans-serif" w:hAnsi="Arial;sans-serif"/>
                <w:b w:val="false"/>
                <w:color w:val="000000"/>
                <w:sz w:val="18"/>
              </w:rPr>
              <w:t>Technical Solutions specializes in comprehensive facility infrastructure services, including mechanical and electrical systems, EV charging station design, installation, and maintenance, as well as microgrid systems encompassing uninterrupted power supply (“UPS”) systems and power distribution units. These offerings are strategically leveraged for cross-selling across all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0350"/>
                <wp:effectExtent l="0" t="0" r="0" b="0"/>
                <wp:wrapNone/>
                <wp:docPr id="38" name="Frame3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Key Financial Highlights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Revenues increased by $93.1 million, or 4.2%, to $2,317.1 million during the three months ended July 31, 2026, as compared to the prior year period. Revenue growth was comprised of organic growth of 2.1% and acquisition growth of 2.1%. The organic revenue growth was due to net new business and expansion of business with existing clients in Aviation and M&amp;D, partially offset by attrition of certain clients within B&amp;I and a decrease in microgrid project revenue due to project delays within Technical Solutions. Acquisition growth was driven by a $45.6 million revenue increase from the WGNSTAR and LMC acquisitions.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had an increase in operating profit of $8.1 million, to $91.5 million, during the three months ended July 31, 2026, as compared to the prior year period. The increase was primarily attributed to an increase in revenues and a decrease in certain general and administrative compensation expenses, primarily due to reduced headcount as a result of the Restructuring Program. The increase was partially offset by restructuring charges incurred during the third quarter of 2026 under our Restructuring Program.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Our effective tax rates for the three months ended July 31, 2026, and July 31, 2025, were 21.3% and 29.6%, respectively. Our effective tax rate for the three months ended July 31, 2026, was reduced by discrete tax benefits, primarily related to research and development tax credits and enhanced WOTC.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Net cash provided by operating activities was $275.0 million for the nine months ended July 31, 2026, as compared to $101.0 million for the nine months ended July 31, 2025. The $174.0 million improvement was primarily driven by favorable working capital changes, including improved cash collections, and timing of payments.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Dividends of $51.2 million were paid to shareholders, and dividends totaling $0.87 per common share were declared during the nine months ended July 31, 2026.</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At July 31, 2026, total outstanding borrowings were $1.8 billion. At July 31, 2026, we had up to $495.3 million of borrowing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60350"/>
                <wp:effectExtent l="0" t="0" r="0" b="0"/>
                <wp:wrapNone/>
                <wp:docPr id="39" name="Frame3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Results of Operations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Arial;sans-serif" w:hAnsi="Arial;sans-serif"/>
          <w:b/>
          <w:i/>
          <w:color w:val="0046AD"/>
          <w:sz w:val="20"/>
          <w:shd w:fill="FFFFFF" w:val="clear"/>
        </w:rPr>
      </w:pPr>
      <w:r>
        <w:rPr>
          <w:rFonts w:ascii="Arial;sans-serif" w:hAnsi="Arial;sans-serif"/>
          <w:b/>
          <w:i/>
          <w:color w:val="0046AD"/>
          <w:sz w:val="20"/>
          <w:shd w:fill="FFFFFF" w:val="clear"/>
        </w:rPr>
        <w:t>Three Months Ended July 31, 2026, Compared with the Three Months Ended July 31, 2025</w:t>
      </w:r>
    </w:p>
    <w:p>
      <w:pPr>
        <w:pStyle w:val="TextBody"/>
        <w:bidi w:val="0"/>
        <w:spacing w:lineRule="auto" w:line="288" w:before="180" w:after="60"/>
        <w:jc w:val="left"/>
        <w:rPr>
          <w:rFonts w:ascii="Arial;sans-serif" w:hAnsi="Arial;sans-serif"/>
          <w:b/>
          <w:i/>
          <w:color w:val="0046AD"/>
          <w:sz w:val="20"/>
          <w:shd w:fill="FFFFFF" w:val="clear"/>
        </w:rPr>
      </w:pPr>
      <w:r>
        <w:rPr>
          <w:rFonts w:ascii="Arial;sans-serif" w:hAnsi="Arial;sans-serif"/>
          <w:b/>
          <w:i/>
          <w:color w:val="0046AD"/>
          <w:sz w:val="20"/>
          <w:shd w:fill="FFFFFF" w:val="clear"/>
        </w:rPr>
        <w:t>Consolidated</w:t>
      </w:r>
    </w:p>
    <w:tbl>
      <w:tblPr>
        <w:tblW w:w="9218" w:type="dxa"/>
        <w:jc w:val="left"/>
        <w:tblInd w:w="0" w:type="dxa"/>
        <w:tblLayout w:type="fixed"/>
        <w:tblCellMar>
          <w:top w:w="28" w:type="dxa"/>
          <w:left w:w="28" w:type="dxa"/>
          <w:bottom w:w="28" w:type="dxa"/>
          <w:right w:w="28" w:type="dxa"/>
        </w:tblCellMar>
      </w:tblPr>
      <w:tblGrid>
        <w:gridCol w:w="1375"/>
        <w:gridCol w:w="1207"/>
        <w:gridCol w:w="1212"/>
        <w:gridCol w:w="211"/>
        <w:gridCol w:w="766"/>
        <w:gridCol w:w="256"/>
        <w:gridCol w:w="109"/>
        <w:gridCol w:w="109"/>
        <w:gridCol w:w="109"/>
        <w:gridCol w:w="211"/>
        <w:gridCol w:w="766"/>
        <w:gridCol w:w="256"/>
        <w:gridCol w:w="109"/>
        <w:gridCol w:w="109"/>
        <w:gridCol w:w="109"/>
        <w:gridCol w:w="275"/>
        <w:gridCol w:w="666"/>
        <w:gridCol w:w="142"/>
        <w:gridCol w:w="142"/>
        <w:gridCol w:w="142"/>
        <w:gridCol w:w="142"/>
        <w:gridCol w:w="233"/>
        <w:gridCol w:w="233"/>
        <w:gridCol w:w="329"/>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 except per share amounts)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Revenues </w:t>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2,317.1 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2,224.0 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4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expenses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Gross margin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12.3</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12.3</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 bps</w:t>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related expenses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4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15.8%</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Operating profit </w:t>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4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4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(16.6)%</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23.3%</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18.9%</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w:t>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4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(55.7)%</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5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5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42"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w:t>
            </w:r>
          </w:p>
        </w:tc>
      </w:tr>
    </w:tbl>
    <w:p>
      <w:pPr>
        <w:pStyle w:val="TextBody"/>
        <w:bidi w:val="0"/>
        <w:spacing w:lineRule="auto" w:line="288" w:before="140" w:after="180"/>
        <w:jc w:val="both"/>
        <w:rPr>
          <w:rFonts w:ascii="Arial;sans-serif" w:hAnsi="Arial;sans-serif"/>
          <w:b w:val="false"/>
          <w:color w:val="000000"/>
          <w:sz w:val="18"/>
        </w:rPr>
      </w:pPr>
      <w:r>
        <w:rPr>
          <w:rFonts w:ascii="Arial;sans-serif" w:hAnsi="Arial;sans-serif"/>
          <w:b w:val="false"/>
          <w:color w:val="000000"/>
          <w:sz w:val="18"/>
        </w:rPr>
        <w:t>*Not meaningful</w:t>
      </w:r>
    </w:p>
    <w:p>
      <w:pPr>
        <w:pStyle w:val="TextBody"/>
        <w:bidi w:val="0"/>
        <w:spacing w:lineRule="auto" w:line="288" w:before="180" w:after="283"/>
        <w:jc w:val="left"/>
        <w:rPr/>
      </w:pPr>
      <w:r>
        <w:rPr>
          <w:rFonts w:ascii="Arial;sans-serif" w:hAnsi="Arial;sans-serif"/>
          <w:b/>
          <w:i/>
          <w:color w:val="0046AD"/>
          <w:sz w:val="20"/>
        </w:rPr>
        <w:t>Revenues</w:t>
      </w:r>
      <w:r>
        <w:rPr>
          <w:color w:val="0046AD"/>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Revenues increased by $93.1 million, or 4.2%, to $2,317.1 million during the three months ended July 31, 2026, as compared to the prior year period. Revenue growth was comprised of organic growth of 2.1% and acquisition growth of 2.1%. The organic revenue growth was due to net new business and expansion of business with existing clients in Aviation and M&amp;D, partially offset by attrition of certain clients within B&amp;I and a decrease in microgrid project revenue due to project delays within Technical Solutions. Acquisition growth was driven by a $45.6 million revenue increase from the WGNSTAR and LMC acquisitions.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Operating Expenses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expenses increased by $81.4 million, or 4.2%, to $2,031.0 million during the three months ended July 31, 2026, as compared to the prior year period. The increase in operating expenses was generally in line with revenue growth, resulting in gross margin remaining consistent at 12.3% year-over-year.</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Selling, General and Administrative Expenses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Selling, general and administrative expenses decreased by $6.2 million, or 3.5%, to $171.3 million during the three months ended July 31, 2026, as compared to the prior year period. The decrease in selling, general and administrative expenses was primarily attributable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$7.3 million decrease in compensation and related expenses primarily due to reduced headcount as a result of the Restructuring Program, partially offset by headcount expansion from the WGNSTAR Acquisition within M&amp;D;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$4.8 million decrease in certain discrete transformational costs under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 for developing the new ERP system, client-facing technology, workforce management tools, and data analytics.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decrease was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60350"/>
                <wp:effectExtent l="0" t="0" r="0" b="0"/>
                <wp:wrapNone/>
                <wp:docPr id="40" name="Frame3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$4.2 million increase in costs associated with systems’ go-live.</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Amortization of Intangible Assets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Amortization of intangible assets increased by $2.1 million, or 15.8%, to $15.5 million during the three months ended July 31, 2026, as compared to the prior year period. The increase was primarily attributable to the amortization of intangibles acquired as part of the WGNSTAR Acquisition.</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Interest Expense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expense increased by $4.2 million, or 16.6%, to $29.5 million during the three months ended July 31, 2026, as compared to the prior year period, and was driven by higher borrowings from our Amended Credit Facility, including the First Incremental Term Loan, to fund the WGNSTAR Acquisition and working capital requirements.</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Income Taxes from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effective tax rates from income on operations for the three months ended July 31, 2026, and July 31, 2025, were 21.3% and 29.6%, respectively, resulting in provisions for taxes of $13.5 million and $17.6 million, respectively.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effective tax rate for the three months ended July 31, 2026, was reduced by discrete items, primarily research and development tax credits and enhanced WOTC. Our effective tax rate for the three months ended July 31, 2025, was not impacted by any significant discrete items.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WOTC and FEZ credit are federal tax credits available to employers for hiring individuals from certain targeted groups. We have historically benefited from these credits, and they expired on December 31, 2025. As of July 31, 2026, the credits have not been renewed and our effective tax rate for the three months ended July 31, 2026, includes a benefit only for those employees who started work before December 31, 2025.</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Interest Rate Swaps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had a gain of $2.5 million on interest rate swaps during the three months ended July 31, 2026, as compared to a gain of $0.8 million during the three months ended July 31, 2025, primarily due to underlying changes in the fair value of our interest rate swaps.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Foreign Currency Translation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had a foreign currency translation loss of $2.3 million during the three months ended July 31, 2026, as compared to a foreign currency translation loss of $1.5 million during the three months ended July 31, 2025.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60350"/>
                <wp:effectExtent l="0" t="0" r="0" b="0"/>
                <wp:wrapNone/>
                <wp:docPr id="41" name="Frame3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Segment Information</w:t>
      </w:r>
    </w:p>
    <w:p>
      <w:pPr>
        <w:pStyle w:val="TextBody"/>
        <w:bidi w:val="0"/>
        <w:spacing w:lineRule="auto" w:line="288" w:before="180" w:after="60"/>
        <w:jc w:val="both"/>
        <w:rPr>
          <w:rFonts w:ascii="Arial;sans-serif" w:hAnsi="Arial;sans-serif"/>
          <w:b/>
          <w:i/>
          <w:color w:val="0046AD"/>
          <w:sz w:val="20"/>
        </w:rPr>
      </w:pPr>
      <w:r>
        <w:rPr>
          <w:rFonts w:ascii="Arial;sans-serif" w:hAnsi="Arial;sans-serif"/>
          <w:b/>
          <w:i/>
          <w:color w:val="0046AD"/>
          <w:sz w:val="20"/>
        </w:rPr>
        <w:t>Financial Information for Each Reportable Segment</w:t>
      </w:r>
    </w:p>
    <w:tbl>
      <w:tblPr>
        <w:tblW w:w="10205" w:type="dxa"/>
        <w:jc w:val="left"/>
        <w:tblInd w:w="0" w:type="dxa"/>
        <w:tblLayout w:type="fixed"/>
        <w:tblCellMar>
          <w:top w:w="28" w:type="dxa"/>
          <w:left w:w="28" w:type="dxa"/>
          <w:bottom w:w="28" w:type="dxa"/>
          <w:right w:w="28" w:type="dxa"/>
        </w:tblCellMar>
      </w:tblPr>
      <w:tblGrid>
        <w:gridCol w:w="1952"/>
        <w:gridCol w:w="1578"/>
        <w:gridCol w:w="1588"/>
        <w:gridCol w:w="211"/>
        <w:gridCol w:w="766"/>
        <w:gridCol w:w="256"/>
        <w:gridCol w:w="109"/>
        <w:gridCol w:w="109"/>
        <w:gridCol w:w="109"/>
        <w:gridCol w:w="211"/>
        <w:gridCol w:w="766"/>
        <w:gridCol w:w="256"/>
        <w:gridCol w:w="109"/>
        <w:gridCol w:w="109"/>
        <w:gridCol w:w="109"/>
        <w:gridCol w:w="237"/>
        <w:gridCol w:w="631"/>
        <w:gridCol w:w="122"/>
        <w:gridCol w:w="122"/>
        <w:gridCol w:w="122"/>
        <w:gridCol w:w="122"/>
        <w:gridCol w:w="191"/>
        <w:gridCol w:w="170"/>
        <w:gridCol w:w="250"/>
      </w:tblGrid>
      <w:tr>
        <w:trPr/>
        <w:tc>
          <w:tcPr>
            <w:tcW w:w="195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&amp; Industry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 &amp; Distribution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17.6%</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w:t>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2,317.1 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2,224.0 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2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w:t>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&amp; Industry</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30 bps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 &amp; Distribution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11.4%</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(48) bps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(6.9)%</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(117) bps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75 bps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Solutions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50 bps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0.3%</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income from unconsolidated affiliates, included in Aviation and Technical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2.1%</w:t>
            </w:r>
          </w:p>
        </w:tc>
      </w:tr>
      <w:tr>
        <w:trPr/>
        <w:tc>
          <w:tcPr>
            <w:tcW w:w="51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tax deductions for energy efficient government buildings, included in Technical Solutions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w:t>
            </w:r>
          </w:p>
        </w:tc>
      </w:tr>
    </w:tbl>
    <w:p>
      <w:pPr>
        <w:pStyle w:val="TextBody"/>
        <w:bidi w:val="0"/>
        <w:spacing w:lineRule="auto" w:line="288" w:before="140" w:after="180"/>
        <w:jc w:val="both"/>
        <w:rPr>
          <w:rFonts w:ascii="Arial;sans-serif" w:hAnsi="Arial;sans-serif"/>
          <w:b w:val="false"/>
          <w:color w:val="000000"/>
          <w:sz w:val="18"/>
        </w:rPr>
      </w:pPr>
      <w:r>
        <w:rPr>
          <w:rFonts w:ascii="Arial;sans-serif" w:hAnsi="Arial;sans-serif"/>
          <w:b w:val="false"/>
          <w:color w:val="000000"/>
          <w:sz w:val="18"/>
        </w:rPr>
        <w:t>*Not meaningful</w:t>
      </w:r>
    </w:p>
    <w:tbl>
      <w:tblPr>
        <w:tblW w:w="7198" w:type="dxa"/>
        <w:jc w:val="left"/>
        <w:tblInd w:w="0" w:type="dxa"/>
        <w:tblLayout w:type="fixed"/>
        <w:tblCellMar>
          <w:top w:w="28" w:type="dxa"/>
          <w:left w:w="28" w:type="dxa"/>
          <w:bottom w:w="28" w:type="dxa"/>
          <w:right w:w="28" w:type="dxa"/>
        </w:tblCellMar>
      </w:tblPr>
      <w:tblGrid>
        <w:gridCol w:w="673"/>
        <w:gridCol w:w="591"/>
        <w:gridCol w:w="595"/>
        <w:gridCol w:w="211"/>
        <w:gridCol w:w="766"/>
        <w:gridCol w:w="256"/>
        <w:gridCol w:w="109"/>
        <w:gridCol w:w="109"/>
        <w:gridCol w:w="109"/>
        <w:gridCol w:w="211"/>
        <w:gridCol w:w="766"/>
        <w:gridCol w:w="256"/>
        <w:gridCol w:w="109"/>
        <w:gridCol w:w="109"/>
        <w:gridCol w:w="109"/>
        <w:gridCol w:w="262"/>
        <w:gridCol w:w="728"/>
        <w:gridCol w:w="135"/>
        <w:gridCol w:w="135"/>
        <w:gridCol w:w="135"/>
        <w:gridCol w:w="135"/>
        <w:gridCol w:w="201"/>
        <w:gridCol w:w="201"/>
        <w:gridCol w:w="287"/>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Business &amp; Industry</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(Decrease) / Increase</w:t>
            </w:r>
          </w:p>
        </w:tc>
      </w:tr>
      <w:tr>
        <w:trPr/>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1,038.7 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35"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7.4</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7.1</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30 bps</w:t>
            </w:r>
          </w:p>
        </w:tc>
        <w:tc>
          <w:tcPr>
            <w:tcW w:w="40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B&amp;I revenues decreased by $26.5 million, or 2.6%, to $1,012.2 million during the three months ended July 31, 2026, as compared to the prior year period. The revenue decrease was primarily driven by attrition of certain domestic clients and a large U.K.-based transportation client. Management reimbursement revenues for this segment totaled $76.4 million and $75.4 million for the three months ended July 31, 2026 and 2025, respectively.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profit increased by $1.2 million, or 1.5%, to $75.0 million during the three months ended July 31, 2026, as compared to the prior year period. Operating profit margin increased by 30 bps to 7.4% in the three months ended July 31, 2026, from 7.1% in the prior year period. The increase in operating profit margin was primarily driven by labor efficiencies.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60350"/>
                <wp:effectExtent l="0" t="0" r="0" b="0"/>
                <wp:wrapNone/>
                <wp:docPr id="42" name="Frame3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130" w:after="283"/>
        <w:jc w:val="both"/>
        <w:rPr/>
      </w:pPr>
      <w:r>
        <w:rPr/>
      </w:r>
    </w:p>
    <w:tbl>
      <w:tblPr>
        <w:tblW w:w="7639" w:type="dxa"/>
        <w:jc w:val="center"/>
        <w:tblInd w:w="0" w:type="dxa"/>
        <w:tblLayout w:type="fixed"/>
        <w:tblCellMar>
          <w:top w:w="28" w:type="dxa"/>
          <w:left w:w="28" w:type="dxa"/>
          <w:bottom w:w="28" w:type="dxa"/>
          <w:right w:w="28" w:type="dxa"/>
        </w:tblCellMar>
      </w:tblPr>
      <w:tblGrid>
        <w:gridCol w:w="928"/>
        <w:gridCol w:w="816"/>
        <w:gridCol w:w="820"/>
        <w:gridCol w:w="217"/>
        <w:gridCol w:w="634"/>
        <w:gridCol w:w="263"/>
        <w:gridCol w:w="112"/>
        <w:gridCol w:w="112"/>
        <w:gridCol w:w="112"/>
        <w:gridCol w:w="217"/>
        <w:gridCol w:w="634"/>
        <w:gridCol w:w="263"/>
        <w:gridCol w:w="109"/>
        <w:gridCol w:w="109"/>
        <w:gridCol w:w="109"/>
        <w:gridCol w:w="275"/>
        <w:gridCol w:w="666"/>
        <w:gridCol w:w="142"/>
        <w:gridCol w:w="142"/>
        <w:gridCol w:w="142"/>
        <w:gridCol w:w="142"/>
        <w:gridCol w:w="197"/>
        <w:gridCol w:w="197"/>
        <w:gridCol w:w="281"/>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Manufacturing &amp; Distribution</w:t>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256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4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17.6%</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11.4%</w:t>
            </w:r>
          </w:p>
        </w:tc>
      </w:tr>
      <w:tr>
        <w:trPr/>
        <w:tc>
          <w:tcPr>
            <w:tcW w:w="256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8.4</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8.9</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(48) bps</w:t>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M&amp;D revenues increased by $72.1 million, or 17.6%, to $481.0 million during the three months ended July 31, 2026, as compared to the prior year period. Revenue growth was comprised of acquisition growth of 9.9% and organic growth of 7.8%. Acquisition growth was driven by a $40.4 million revenue increase from the WGNSTAR Acquisition. The increase in organic revenue was primarily attributable to expansion of business with existing clients and new business wins primarily within the semiconductor industry. </w:t>
      </w:r>
    </w:p>
    <w:p>
      <w:pPr>
        <w:pStyle w:val="TextBody"/>
        <w:bidi w:val="0"/>
        <w:spacing w:lineRule="auto" w:line="288" w:before="0" w:after="180"/>
        <w:ind w:left="0" w:right="0" w:firstLine="720"/>
        <w:jc w:val="both"/>
        <w:rPr>
          <w:rFonts w:ascii="Arial;sans-serif" w:hAnsi="Arial;sans-serif"/>
          <w:b w:val="false"/>
          <w:color w:val="000000"/>
          <w:sz w:val="20"/>
        </w:rPr>
      </w:pPr>
      <w:r>
        <w:rPr>
          <w:rFonts w:ascii="Arial;sans-serif" w:hAnsi="Arial;sans-serif"/>
          <w:b w:val="false"/>
          <w:color w:val="000000"/>
          <w:sz w:val="20"/>
        </w:rPr>
        <w:t>Operating profit increased by $4.1 million, or 11.4%, to $40.5 million during the three months ended July 31, 2026, as compared to the prior year period. Operating profit margin decreased by 48 bps to 8.4% in the three months ended July 31, 2026, from 8.9% in the prior year period. The decrease in operating profit margin was primarily attributable to contract mix and amortization of intangible assets related to the WGNSTAR Acquisition.</w:t>
      </w:r>
    </w:p>
    <w:tbl>
      <w:tblPr>
        <w:tblW w:w="6874" w:type="dxa"/>
        <w:jc w:val="center"/>
        <w:tblInd w:w="0" w:type="dxa"/>
        <w:tblLayout w:type="fixed"/>
        <w:tblCellMar>
          <w:top w:w="28" w:type="dxa"/>
          <w:left w:w="28" w:type="dxa"/>
          <w:bottom w:w="28" w:type="dxa"/>
          <w:right w:w="28" w:type="dxa"/>
        </w:tblCellMar>
      </w:tblPr>
      <w:tblGrid>
        <w:gridCol w:w="646"/>
        <w:gridCol w:w="568"/>
        <w:gridCol w:w="571"/>
        <w:gridCol w:w="217"/>
        <w:gridCol w:w="634"/>
        <w:gridCol w:w="263"/>
        <w:gridCol w:w="112"/>
        <w:gridCol w:w="112"/>
        <w:gridCol w:w="112"/>
        <w:gridCol w:w="217"/>
        <w:gridCol w:w="634"/>
        <w:gridCol w:w="263"/>
        <w:gridCol w:w="109"/>
        <w:gridCol w:w="109"/>
        <w:gridCol w:w="109"/>
        <w:gridCol w:w="275"/>
        <w:gridCol w:w="666"/>
        <w:gridCol w:w="142"/>
        <w:gridCol w:w="142"/>
        <w:gridCol w:w="142"/>
        <w:gridCol w:w="142"/>
        <w:gridCol w:w="201"/>
        <w:gridCol w:w="201"/>
        <w:gridCol w:w="287"/>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 xml:space="preserve">Aviation </w:t>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4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(6.9)%</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5.6 </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6.8 </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(117) bps</w:t>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Arial;sans-serif" w:hAnsi="Arial;sans-serif"/>
          <w:b w:val="false"/>
          <w:color w:val="000000"/>
          <w:sz w:val="20"/>
        </w:rPr>
      </w:pPr>
      <w:r>
        <w:rPr>
          <w:rFonts w:ascii="Arial;sans-serif" w:hAnsi="Arial;sans-serif"/>
          <w:b w:val="false"/>
          <w:color w:val="000000"/>
          <w:sz w:val="20"/>
        </w:rPr>
        <w:t>Aviation revenues increased by $36.4 million, or 12.5%, to $328.1 million during the three months ended July 31, 2026, as compared to the prior year period. The increase was primarily attributable to new business wins driven largely by a U.K.-based airport and new business and scope expansions across the domestic and international markets. Management reimbursement revenues for this segment totaled $12.5 million and $13.3 million for the three months ended July 31, 2026 and 2025, respectively.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decreased by $1.3 million, or 6.9%, to $18.4 million for the three months ended July 31, 2026, as compared to the prior year period. Operating profit margin decreased by 117 bps to 5.6% in the three months ended July 31, 2026. The operating profit margin decreased primarily due to contract and service mix.</w:t>
      </w:r>
    </w:p>
    <w:tbl>
      <w:tblPr>
        <w:tblW w:w="6298" w:type="dxa"/>
        <w:jc w:val="center"/>
        <w:tblInd w:w="0" w:type="dxa"/>
        <w:tblLayout w:type="fixed"/>
        <w:tblCellMar>
          <w:top w:w="28" w:type="dxa"/>
          <w:left w:w="28" w:type="dxa"/>
          <w:bottom w:w="28" w:type="dxa"/>
          <w:right w:w="28" w:type="dxa"/>
        </w:tblCellMar>
      </w:tblPr>
      <w:tblGrid>
        <w:gridCol w:w="646"/>
        <w:gridCol w:w="568"/>
        <w:gridCol w:w="571"/>
        <w:gridCol w:w="217"/>
        <w:gridCol w:w="634"/>
        <w:gridCol w:w="263"/>
        <w:gridCol w:w="112"/>
        <w:gridCol w:w="112"/>
        <w:gridCol w:w="112"/>
        <w:gridCol w:w="217"/>
        <w:gridCol w:w="634"/>
        <w:gridCol w:w="263"/>
        <w:gridCol w:w="109"/>
        <w:gridCol w:w="109"/>
        <w:gridCol w:w="109"/>
        <w:gridCol w:w="211"/>
        <w:gridCol w:w="406"/>
        <w:gridCol w:w="109"/>
        <w:gridCol w:w="109"/>
        <w:gridCol w:w="109"/>
        <w:gridCol w:w="109"/>
        <w:gridCol w:w="165"/>
        <w:gridCol w:w="165"/>
        <w:gridCol w:w="239"/>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Education</w:t>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235.1 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9.7</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9.0 </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75 bps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Education revenues increased by $0.7 million, or 0.3%, to $235.8 million during the three months ended July 31, 2026, as compared to the prior year period. The increase was primarily attributable to price escalations on certain contracts.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increased by $1.9 million, or 8.7%, to $23.0 million for the three months ended July 31, 2026, as compared to the prior year period. Operating profit margin increased by 75 bps to 9.7% in the three months ended July 31, 2026, from 9.0% in the prior year period. The increase in operating profit margin was primarily attributable to favorable pricing and labor management, including strict control over overtime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60350"/>
                <wp:effectExtent l="0" t="0" r="0" b="0"/>
                <wp:wrapNone/>
                <wp:docPr id="43" name="Frame3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30" w:after="283"/>
        <w:jc w:val="both"/>
        <w:rPr/>
      </w:pPr>
      <w:r>
        <w:rPr/>
      </w:r>
    </w:p>
    <w:tbl>
      <w:tblPr>
        <w:tblW w:w="6509" w:type="dxa"/>
        <w:jc w:val="center"/>
        <w:tblInd w:w="0" w:type="dxa"/>
        <w:tblLayout w:type="fixed"/>
        <w:tblCellMar>
          <w:top w:w="28" w:type="dxa"/>
          <w:left w:w="28" w:type="dxa"/>
          <w:bottom w:w="28" w:type="dxa"/>
          <w:right w:w="28" w:type="dxa"/>
        </w:tblCellMar>
      </w:tblPr>
      <w:tblGrid>
        <w:gridCol w:w="645"/>
        <w:gridCol w:w="568"/>
        <w:gridCol w:w="572"/>
        <w:gridCol w:w="217"/>
        <w:gridCol w:w="634"/>
        <w:gridCol w:w="263"/>
        <w:gridCol w:w="112"/>
        <w:gridCol w:w="112"/>
        <w:gridCol w:w="112"/>
        <w:gridCol w:w="217"/>
        <w:gridCol w:w="634"/>
        <w:gridCol w:w="263"/>
        <w:gridCol w:w="109"/>
        <w:gridCol w:w="109"/>
        <w:gridCol w:w="109"/>
        <w:gridCol w:w="211"/>
        <w:gridCol w:w="511"/>
        <w:gridCol w:w="109"/>
        <w:gridCol w:w="109"/>
        <w:gridCol w:w="109"/>
        <w:gridCol w:w="109"/>
        <w:gridCol w:w="196"/>
        <w:gridCol w:w="196"/>
        <w:gridCol w:w="28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Technical Solutions</w:t>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249.5 </w:t>
            </w:r>
          </w:p>
        </w:tc>
        <w:tc>
          <w:tcPr>
            <w:tcW w:w="26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profit </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8.3</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7.8 </w:t>
            </w:r>
          </w:p>
        </w:tc>
        <w:tc>
          <w:tcPr>
            <w:tcW w:w="263"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50 bps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Technical Solutions revenues increased by $10.4 million, or 4.2%, to $259.9 million during the three months ended July 31, 2026, as compared to the prior year period. Revenue growth was comprised of organic growth of 2.1% and acquisition growth of 2.1%. The organic revenue growth was primarily driven by higher project revenues in energy and power solutions and HVAC services, partially offset by a decrease in microgrid revenue due to project delays. Acquisition growth was driven by a $5.3 million revenue increase from the LMC Acquisition.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increased by $2.1 million, or 10.8%, to $21.5 million during the three months ended July 31, 2026, as compared to the prior year period. Operating profit margin increased by 50 bps to 8.3% in the three months ended July 31, 2026, from 7.8% in the prior year period. The increase in operating profit margin was primarily attributable to service mix.</w:t>
      </w:r>
    </w:p>
    <w:tbl>
      <w:tblPr>
        <w:tblW w:w="6446" w:type="dxa"/>
        <w:jc w:val="center"/>
        <w:tblInd w:w="0" w:type="dxa"/>
        <w:tblLayout w:type="fixed"/>
        <w:tblCellMar>
          <w:top w:w="28" w:type="dxa"/>
          <w:left w:w="28" w:type="dxa"/>
          <w:bottom w:w="28" w:type="dxa"/>
          <w:right w:w="28" w:type="dxa"/>
        </w:tblCellMar>
      </w:tblPr>
      <w:tblGrid>
        <w:gridCol w:w="647"/>
        <w:gridCol w:w="567"/>
        <w:gridCol w:w="570"/>
        <w:gridCol w:w="253"/>
        <w:gridCol w:w="702"/>
        <w:gridCol w:w="130"/>
        <w:gridCol w:w="130"/>
        <w:gridCol w:w="130"/>
        <w:gridCol w:w="130"/>
        <w:gridCol w:w="253"/>
        <w:gridCol w:w="702"/>
        <w:gridCol w:w="130"/>
        <w:gridCol w:w="109"/>
        <w:gridCol w:w="109"/>
        <w:gridCol w:w="109"/>
        <w:gridCol w:w="211"/>
        <w:gridCol w:w="406"/>
        <w:gridCol w:w="109"/>
        <w:gridCol w:w="109"/>
        <w:gridCol w:w="109"/>
        <w:gridCol w:w="109"/>
        <w:gridCol w:w="203"/>
        <w:gridCol w:w="203"/>
        <w:gridCol w:w="316"/>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Corporate</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Decrease</w:t>
            </w:r>
          </w:p>
        </w:tc>
      </w:tr>
      <w:tr>
        <w:trPr/>
        <w:tc>
          <w:tcPr>
            <w:tcW w:w="17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253"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w:t>
            </w:r>
          </w:p>
        </w:tc>
        <w:tc>
          <w:tcPr>
            <w:tcW w:w="130"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w:t>
            </w:r>
          </w:p>
        </w:tc>
        <w:tc>
          <w:tcPr>
            <w:tcW w:w="130"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Corporate expenses decreased by $0.3 million, or 0.3%, to $85.4 million during the three months ended July 31, 2026, as compared to the prior year period. The decrease in corporate expenses was primarily attributable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$7.5 million decrease in compensation and related expenses primarily due to reduced headcount as a result of the Restructuring Program;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$4.8 million decrease in certain discrete transformational costs under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decrease was partially offset by: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$7.8 million increase in restructuring charges under our Restructuring Program;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$4.0 million increase in accruals for potential legal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0350"/>
                <wp:effectExtent l="0" t="0" r="0" b="0"/>
                <wp:wrapNone/>
                <wp:docPr id="44" name="Frame3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Results of Operations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i/>
          <w:color w:val="0046AD"/>
          <w:sz w:val="20"/>
        </w:rPr>
        <w:t>Nine Months Ended July 31, 2026,</w:t>
      </w:r>
      <w:r>
        <w:rPr>
          <w:color w:val="0046AD"/>
        </w:rPr>
        <w:t xml:space="preserve"> </w:t>
      </w:r>
      <w:r>
        <w:rPr>
          <w:rFonts w:ascii="Arial;sans-serif" w:hAnsi="Arial;sans-serif"/>
          <w:b/>
          <w:i/>
          <w:color w:val="0046AD"/>
          <w:sz w:val="20"/>
        </w:rPr>
        <w:t>Compared with the Nine Months Ended July 31, 2025</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 xml:space="preserve">Consolidated </w:t>
      </w:r>
    </w:p>
    <w:tbl>
      <w:tblPr>
        <w:tblW w:w="9250" w:type="dxa"/>
        <w:jc w:val="left"/>
        <w:tblInd w:w="0" w:type="dxa"/>
        <w:tblLayout w:type="fixed"/>
        <w:tblCellMar>
          <w:top w:w="28" w:type="dxa"/>
          <w:left w:w="28" w:type="dxa"/>
          <w:bottom w:w="28" w:type="dxa"/>
          <w:right w:w="28" w:type="dxa"/>
        </w:tblCellMar>
      </w:tblPr>
      <w:tblGrid>
        <w:gridCol w:w="1371"/>
        <w:gridCol w:w="1202"/>
        <w:gridCol w:w="1221"/>
        <w:gridCol w:w="211"/>
        <w:gridCol w:w="766"/>
        <w:gridCol w:w="256"/>
        <w:gridCol w:w="109"/>
        <w:gridCol w:w="109"/>
        <w:gridCol w:w="109"/>
        <w:gridCol w:w="211"/>
        <w:gridCol w:w="766"/>
        <w:gridCol w:w="256"/>
        <w:gridCol w:w="109"/>
        <w:gridCol w:w="109"/>
        <w:gridCol w:w="109"/>
        <w:gridCol w:w="257"/>
        <w:gridCol w:w="752"/>
        <w:gridCol w:w="133"/>
        <w:gridCol w:w="133"/>
        <w:gridCol w:w="133"/>
        <w:gridCol w:w="133"/>
        <w:gridCol w:w="233"/>
        <w:gridCol w:w="233"/>
        <w:gridCol w:w="329"/>
      </w:tblGrid>
      <w:tr>
        <w:trPr/>
        <w:tc>
          <w:tcPr>
            <w:tcW w:w="137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Revenues </w:t>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6,850.6 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6,450.5 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400.1 </w:t>
            </w:r>
          </w:p>
        </w:tc>
        <w:tc>
          <w:tcPr>
            <w:tcW w:w="13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expenses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Gross margin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12.0</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12.5</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(46) bps</w:t>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related</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3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w:t>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3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3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3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w:t>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82.5%</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(34.5)%</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(85.3)%</w:t>
            </w:r>
          </w:p>
        </w:tc>
      </w:tr>
      <w:tr>
        <w:trPr/>
        <w:tc>
          <w:tcPr>
            <w:tcW w:w="37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134.2 </w:t>
            </w:r>
          </w:p>
        </w:tc>
        <w:tc>
          <w:tcPr>
            <w:tcW w:w="25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256"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2"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3" w:type="dxa"/>
            <w:tcBorders>
              <w:top w:val="single" w:sz="8" w:space="0" w:color="000000"/>
              <w:bottom w:val="double" w:sz="8" w:space="0" w:color="000000"/>
            </w:tcBorders>
            <w:shd w:fill="DCE2E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*Not meaningful</w:t>
      </w:r>
    </w:p>
    <w:p>
      <w:pPr>
        <w:pStyle w:val="TextBody"/>
        <w:bidi w:val="0"/>
        <w:spacing w:lineRule="auto" w:line="288" w:before="180" w:after="283"/>
        <w:jc w:val="left"/>
        <w:rPr/>
      </w:pPr>
      <w:r>
        <w:rPr>
          <w:rFonts w:ascii="Arial;sans-serif" w:hAnsi="Arial;sans-serif"/>
          <w:b/>
          <w:i/>
          <w:color w:val="0046AD"/>
          <w:sz w:val="20"/>
        </w:rPr>
        <w:t>Revenues</w:t>
      </w:r>
      <w:r>
        <w:rPr>
          <w:color w:val="0046AD"/>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Revenues increased by $400.1 million, or 6.2%, to $6,850.6 million during the nine months ended July 31, 2026, as compared to the prior year period. Revenue growth was comprised of organic growth of 4.5% and acquisition growth of 1.7%. The organic revenue growth was primarily driven by net new business and expansion of business with existing clients primarily within Aviation and M&amp;D, as well as higher project revenues in energy and power solutions and HVAC services within Technical Solutions. Acquisition growth was driven by a $107.1 million revenue increase from the WGNSTAR and LMC acquisitions.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Operating Expenses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expenses increased by $381.8 million, or 6.8%, to $6,027.5 million during the nine months ended July 31, 2026, as compared to the prior year period. Gross margin decreased by 46 bps to 12.0% in the nine months ended July 31, 2026, from 12.5% in the nine months ended July 31, 2025. The decrease in gross margin was primarily driven by contract and service mix within B&amp;I, M&amp;D, Aviation, and Technical Solutions, partially offset by favorable pricing and operational efficiencies, particularly in managing overtime, within Education.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Selling, General and Administrative Expenses</w:t>
      </w:r>
    </w:p>
    <w:p>
      <w:pPr>
        <w:pStyle w:val="TextBody"/>
        <w:bidi w:val="0"/>
        <w:spacing w:lineRule="auto" w:line="288" w:before="180" w:after="283"/>
        <w:jc w:val="both"/>
        <w:rPr>
          <w:color w:val="000000"/>
        </w:rPr>
      </w:pPr>
      <w:r>
        <w:rPr>
          <w:color w:val="000000"/>
        </w:rPr>
        <w:t>    </w:t>
      </w:r>
      <w:r>
        <w:rPr>
          <w:rFonts w:ascii="Arial;sans-serif" w:hAnsi="Arial;sans-serif"/>
          <w:b w:val="false"/>
          <w:color w:val="000000"/>
          <w:sz w:val="20"/>
        </w:rPr>
        <w:t>Selling, general and administrative expenses decreased by $9.5 million, or 1.8%, to $512.2 million during the nine months ended July 31, 2026, as compared to the nine months ended July 31, 2025. The decrease in selling, general and administrative expenses was primarily attributable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$9.5 million decrease in certain discrete transformational costs under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 for developing the new ERP system, client-facing technology, workforce management tools, and data analytics;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$5.3 million decrease in compensation and related expenses primarily due to reduced headcount as a result of the Restructuring Program, partially offset by headcount expansion from the WGNSTAR Acquisition within M&amp;D;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60350"/>
                <wp:effectExtent l="0" t="0" r="0" b="0"/>
                <wp:wrapNone/>
                <wp:docPr id="45" name="Frame3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$4.1 million decrease in bad debt expense.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decrease was partially offset by: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$9.5 million increase in costs associated with systems’ go-live.</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Amortization of Intangible Assets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Amortization of intangible assets increased by $3.5 million, or 8.8%, to $43.4 million during the nine months ended July 31, 2026, as compared to the nine months ended July 31, 2025. This increase was due to the amortization of intangibles acquired as part of the WGNSTAR Acquisition.</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Interest Expense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expense increased by $9.5 million to $81.6 million during the nine months ended July 31, 2026, as compared to the nine months ended July 31, 2025. The increase was driven by higher borrowings from our Amended Credit Facility, including the First Incremental Term Loan, to fund the WGNSTAR Acquisition and working capital requirements.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Income Taxes from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effective tax rates on income from operations for the nine months ended July 31, 2026, and July 31, 2025, were 24.8% and 26.9%, respectively, resulting in provisions for taxes of $43.5 million and $47.0 million, respectively.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effective tax rate for the nine months ended July 31, 2026, was reduced by discrete items, primarily research and development tax credits, enhanced WOTC, and share-based compensation. Our effective tax rate for the nine months ended July 31, 2025, was reduced by discrete items, primarily return to provision adjustments related to our non-U.S. operations.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Interest Rate Swaps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had a loss of $1.0 million during the nine months ended July 31, 2026, as compared to a loss of $5.7 million during the nine months ended July 31, 2025, primarily due to underlying changes in the fair value of our interest rate swaps.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Foreign Currency Translation</w:t>
      </w:r>
    </w:p>
    <w:p>
      <w:pPr>
        <w:pStyle w:val="TextBody"/>
        <w:bidi w:val="0"/>
        <w:spacing w:lineRule="auto" w:line="288" w:before="180" w:after="283"/>
        <w:jc w:val="both"/>
        <w:rPr>
          <w:color w:val="000000"/>
        </w:rPr>
      </w:pPr>
      <w:r>
        <w:rPr>
          <w:color w:val="000000"/>
        </w:rPr>
        <w:t>    </w:t>
      </w:r>
      <w:r>
        <w:rPr>
          <w:rFonts w:ascii="Arial;sans-serif" w:hAnsi="Arial;sans-serif"/>
          <w:b w:val="false"/>
          <w:color w:val="000000"/>
          <w:sz w:val="20"/>
        </w:rPr>
        <w:t xml:space="preserve">We had a foreign currency translation gain of $3.4 million during the nine months ended July 31, 2026, as compared to a foreign currency translation gain of $5.2 million during the nine months ended July 31, 2025. This change was due to fluctuations in the exchange rate between the USD and the GBP. Future gains and losses on foreign currency translation will be dependent upon changes in the relative value of foreign currencies to the USD and the extent of our foreign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60350"/>
                <wp:effectExtent l="0" t="0" r="0" b="0"/>
                <wp:wrapNone/>
                <wp:docPr id="46" name="Frame3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Segment Information</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Financial Information for Each Reportable Segment</w:t>
      </w:r>
    </w:p>
    <w:tbl>
      <w:tblPr>
        <w:tblW w:w="10205" w:type="dxa"/>
        <w:jc w:val="left"/>
        <w:tblInd w:w="0" w:type="dxa"/>
        <w:tblLayout w:type="fixed"/>
        <w:tblCellMar>
          <w:top w:w="28" w:type="dxa"/>
          <w:left w:w="28" w:type="dxa"/>
          <w:bottom w:w="28" w:type="dxa"/>
          <w:right w:w="28" w:type="dxa"/>
        </w:tblCellMar>
      </w:tblPr>
      <w:tblGrid>
        <w:gridCol w:w="1937"/>
        <w:gridCol w:w="1563"/>
        <w:gridCol w:w="1573"/>
        <w:gridCol w:w="211"/>
        <w:gridCol w:w="766"/>
        <w:gridCol w:w="256"/>
        <w:gridCol w:w="109"/>
        <w:gridCol w:w="109"/>
        <w:gridCol w:w="109"/>
        <w:gridCol w:w="211"/>
        <w:gridCol w:w="766"/>
        <w:gridCol w:w="256"/>
        <w:gridCol w:w="109"/>
        <w:gridCol w:w="109"/>
        <w:gridCol w:w="109"/>
        <w:gridCol w:w="234"/>
        <w:gridCol w:w="686"/>
        <w:gridCol w:w="121"/>
        <w:gridCol w:w="121"/>
        <w:gridCol w:w="121"/>
        <w:gridCol w:w="121"/>
        <w:gridCol w:w="185"/>
        <w:gridCol w:w="185"/>
        <w:gridCol w:w="238"/>
      </w:tblGrid>
      <w:tr>
        <w:trPr/>
        <w:tc>
          <w:tcPr>
            <w:tcW w:w="193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&amp; Industry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 &amp; Distribution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1,201.2 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13.8%</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14.0%</w:t>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14.4%</w:t>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6,850.6 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6,450.5 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400.1 </w:t>
            </w:r>
          </w:p>
        </w:tc>
        <w:tc>
          <w:tcPr>
            <w:tcW w:w="12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w:t>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&amp; Industry</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(20) bps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 &amp; Distribution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(103) bps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(85) bps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24.6%</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164 bps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Solutions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 xml:space="preserve">(129) bps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07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2.2%</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income from unconsolidated affiliates, included in Aviation and Technical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8"/>
              </w:rPr>
            </w:pPr>
            <w:r>
              <w:rPr>
                <w:rFonts w:ascii="Arial;sans-serif" w:hAnsi="Arial;sans-serif"/>
                <w:b w:val="false"/>
                <w:color w:val="000000"/>
                <w:sz w:val="18"/>
              </w:rPr>
              <w:t>(7.2)%</w:t>
            </w:r>
          </w:p>
        </w:tc>
      </w:tr>
      <w:tr>
        <w:trPr/>
        <w:tc>
          <w:tcPr>
            <w:tcW w:w="507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tax deductions for energy efficient government buildings, included in Technical Solutions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bl>
    <w:p>
      <w:pPr>
        <w:pStyle w:val="TextBody"/>
        <w:bidi w:val="0"/>
        <w:spacing w:lineRule="auto" w:line="288" w:before="140" w:after="180"/>
        <w:jc w:val="left"/>
        <w:rPr>
          <w:rFonts w:ascii="Arial;sans-serif" w:hAnsi="Arial;sans-serif"/>
          <w:b w:val="false"/>
          <w:color w:val="000000"/>
          <w:sz w:val="18"/>
        </w:rPr>
      </w:pPr>
      <w:r>
        <w:rPr>
          <w:rFonts w:ascii="Arial;sans-serif" w:hAnsi="Arial;sans-serif"/>
          <w:b w:val="false"/>
          <w:color w:val="000000"/>
          <w:sz w:val="18"/>
        </w:rPr>
        <w:t>*Not meaningful</w:t>
      </w:r>
    </w:p>
    <w:tbl>
      <w:tblPr>
        <w:tblW w:w="7177" w:type="dxa"/>
        <w:jc w:val="left"/>
        <w:tblInd w:w="0" w:type="dxa"/>
        <w:tblLayout w:type="fixed"/>
        <w:tblCellMar>
          <w:top w:w="28" w:type="dxa"/>
          <w:left w:w="28" w:type="dxa"/>
          <w:bottom w:w="28" w:type="dxa"/>
          <w:right w:w="28" w:type="dxa"/>
        </w:tblCellMar>
      </w:tblPr>
      <w:tblGrid>
        <w:gridCol w:w="673"/>
        <w:gridCol w:w="591"/>
        <w:gridCol w:w="595"/>
        <w:gridCol w:w="211"/>
        <w:gridCol w:w="766"/>
        <w:gridCol w:w="256"/>
        <w:gridCol w:w="109"/>
        <w:gridCol w:w="109"/>
        <w:gridCol w:w="109"/>
        <w:gridCol w:w="211"/>
        <w:gridCol w:w="766"/>
        <w:gridCol w:w="256"/>
        <w:gridCol w:w="109"/>
        <w:gridCol w:w="109"/>
        <w:gridCol w:w="109"/>
        <w:gridCol w:w="275"/>
        <w:gridCol w:w="666"/>
        <w:gridCol w:w="142"/>
        <w:gridCol w:w="142"/>
        <w:gridCol w:w="142"/>
        <w:gridCol w:w="142"/>
        <w:gridCol w:w="202"/>
        <w:gridCol w:w="202"/>
        <w:gridCol w:w="285"/>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Business &amp; Industry</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3,093.2 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3,077.2 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4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18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7.5</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7.7</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(20) bps</w:t>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Arial;sans-serif" w:hAnsi="Arial;sans-serif"/>
          <w:b w:val="false"/>
          <w:color w:val="000000"/>
          <w:sz w:val="20"/>
        </w:rPr>
      </w:pPr>
      <w:r>
        <w:rPr>
          <w:rFonts w:ascii="Arial;sans-serif" w:hAnsi="Arial;sans-serif"/>
          <w:b w:val="false"/>
          <w:color w:val="000000"/>
          <w:sz w:val="20"/>
        </w:rPr>
        <w:t>B&amp;I revenues increased by $16.0 million, or 0.5%, to $3,093.2 million during the nine months ended July 31, 2026, as compared to the prior year period. The revenue increase was primarily driven by client expansions, partially offset by attrition of certain domestic clients in the second and third quarters of 2026. Management reimbursement revenues for this segment totaled $224.3 million and $218.4 million for the nine months ended July 31, 2026 and 2025, respectively.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profit decreased by $4.9 million, or 2.1%, to $231.3 million during the nine months ended July 31, 2026, as compared to the prior year period. Operating profit margin decreased by 20 bps to 7.5% in the nine months ended July 31, 2026, from 7.7% in the nine months ended July 31, 2025. The decrease in operating profit margin was primarily driven by contract and service mix, partially offset by labor efficiencies.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60350"/>
                <wp:effectExtent l="0" t="0" r="0" b="0"/>
                <wp:wrapNone/>
                <wp:docPr id="47" name="Frame4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130" w:after="283"/>
        <w:jc w:val="both"/>
        <w:rPr/>
      </w:pPr>
      <w:r>
        <w:rPr/>
      </w:r>
    </w:p>
    <w:tbl>
      <w:tblPr>
        <w:tblW w:w="7900" w:type="dxa"/>
        <w:jc w:val="left"/>
        <w:tblInd w:w="0" w:type="dxa"/>
        <w:tblLayout w:type="fixed"/>
        <w:tblCellMar>
          <w:top w:w="28" w:type="dxa"/>
          <w:left w:w="28" w:type="dxa"/>
          <w:bottom w:w="28" w:type="dxa"/>
          <w:right w:w="28" w:type="dxa"/>
        </w:tblCellMar>
      </w:tblPr>
      <w:tblGrid>
        <w:gridCol w:w="928"/>
        <w:gridCol w:w="816"/>
        <w:gridCol w:w="820"/>
        <w:gridCol w:w="211"/>
        <w:gridCol w:w="766"/>
        <w:gridCol w:w="256"/>
        <w:gridCol w:w="109"/>
        <w:gridCol w:w="109"/>
        <w:gridCol w:w="109"/>
        <w:gridCol w:w="211"/>
        <w:gridCol w:w="766"/>
        <w:gridCol w:w="256"/>
        <w:gridCol w:w="109"/>
        <w:gridCol w:w="109"/>
        <w:gridCol w:w="109"/>
        <w:gridCol w:w="257"/>
        <w:gridCol w:w="752"/>
        <w:gridCol w:w="133"/>
        <w:gridCol w:w="133"/>
        <w:gridCol w:w="133"/>
        <w:gridCol w:w="133"/>
        <w:gridCol w:w="197"/>
        <w:gridCol w:w="197"/>
        <w:gridCol w:w="281"/>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Manufacturing &amp; Distribution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256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1,367.1 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1,201.2 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2"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3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13.8%</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256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8.6</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9.6</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(103) bps</w:t>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Arial;sans-serif" w:hAnsi="Arial;sans-serif"/>
          <w:b w:val="false"/>
          <w:color w:val="000000"/>
          <w:sz w:val="20"/>
        </w:rPr>
      </w:pPr>
      <w:r>
        <w:rPr>
          <w:rFonts w:ascii="Arial;sans-serif" w:hAnsi="Arial;sans-serif"/>
          <w:b w:val="false"/>
          <w:color w:val="000000"/>
          <w:sz w:val="20"/>
        </w:rPr>
        <w:t>M&amp;D revenues increased by $165.9 million, or 13.8%, to $1,367.1 million during the nine months ended July 31, 2026, as compared to the prior year period. Revenue growth was comprised of organic growth of 7.4% and acquisition growth of 6.4%. The increase in organic revenue was primarily attributable to the expansion of business with existing clients and new business wins, including within the semiconductor industry. Acquisition growth was driven by a $76.9 million revenue increase from the WGNSTAR Acquisition.</w:t>
      </w:r>
    </w:p>
    <w:p>
      <w:pPr>
        <w:pStyle w:val="TextBody"/>
        <w:bidi w:val="0"/>
        <w:spacing w:lineRule="auto" w:line="288" w:before="14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increased by $1.9 million, or 1.6%, to $117.5 million during the nine months ended July 31, 2026, as compared to the prior year period. Operating profit margin decreased by 103 bps to 8.6% in the nine months ended July 31, 2026, from 9.6% in the nine months ended July 31, 2025. The decrease in operating profit margin was primarily attributable to contract mix and amortization of intangible assets related to the WGNSTAR Acquisition.</w:t>
      </w:r>
    </w:p>
    <w:tbl>
      <w:tblPr>
        <w:tblW w:w="7166" w:type="dxa"/>
        <w:jc w:val="center"/>
        <w:tblInd w:w="0" w:type="dxa"/>
        <w:tblLayout w:type="fixed"/>
        <w:tblCellMar>
          <w:top w:w="28" w:type="dxa"/>
          <w:left w:w="28" w:type="dxa"/>
          <w:bottom w:w="28" w:type="dxa"/>
          <w:right w:w="28" w:type="dxa"/>
        </w:tblCellMar>
      </w:tblPr>
      <w:tblGrid>
        <w:gridCol w:w="646"/>
        <w:gridCol w:w="568"/>
        <w:gridCol w:w="571"/>
        <w:gridCol w:w="211"/>
        <w:gridCol w:w="616"/>
        <w:gridCol w:w="256"/>
        <w:gridCol w:w="109"/>
        <w:gridCol w:w="109"/>
        <w:gridCol w:w="109"/>
        <w:gridCol w:w="211"/>
        <w:gridCol w:w="616"/>
        <w:gridCol w:w="256"/>
        <w:gridCol w:w="109"/>
        <w:gridCol w:w="109"/>
        <w:gridCol w:w="109"/>
        <w:gridCol w:w="258"/>
        <w:gridCol w:w="755"/>
        <w:gridCol w:w="133"/>
        <w:gridCol w:w="133"/>
        <w:gridCol w:w="133"/>
        <w:gridCol w:w="133"/>
        <w:gridCol w:w="214"/>
        <w:gridCol w:w="214"/>
        <w:gridCol w:w="216"/>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 xml:space="preserve">Aviation </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822.0 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133"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5.0</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5.9</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(85) bps</w:t>
            </w:r>
          </w:p>
        </w:tc>
        <w:tc>
          <w:tcPr>
            <w:tcW w:w="3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Aviation revenues increased by $114.7 million, or 14.0%, to $936.6 million during the nine months ended July 31, 2026, as compared to the prior year period. The increase was primarily attributable to new business wins driven largely by a U.K.-based airport and new business and scope expansions across the domestic and international markets. Management reimbursement revenues for this segment totaled $42.0 million and $36.5 million for the nine months ended July 31, 2026 and 2025, respectively. </w:t>
      </w:r>
    </w:p>
    <w:p>
      <w:pPr>
        <w:pStyle w:val="TextBody"/>
        <w:bidi w:val="0"/>
        <w:spacing w:lineRule="auto" w:line="288" w:before="24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profit decreased by $1.1 million, or 2.5%, to $47.3 million during the nine months ended July 31, 2026, as compared to the prior year period. Operating profit margin decreased by 85 bps to 5.0% in the nine months ended July 31, 2026, from 5.9% in the nine months ended July 31, 2025. The decrease was primarily attributable to contract and service mix as well as weather-related disruptions in the first half of 2026. </w:t>
      </w:r>
    </w:p>
    <w:tbl>
      <w:tblPr>
        <w:tblW w:w="6333" w:type="dxa"/>
        <w:jc w:val="center"/>
        <w:tblInd w:w="0" w:type="dxa"/>
        <w:tblLayout w:type="fixed"/>
        <w:tblCellMar>
          <w:top w:w="28" w:type="dxa"/>
          <w:left w:w="28" w:type="dxa"/>
          <w:bottom w:w="28" w:type="dxa"/>
          <w:right w:w="28" w:type="dxa"/>
        </w:tblCellMar>
      </w:tblPr>
      <w:tblGrid>
        <w:gridCol w:w="646"/>
        <w:gridCol w:w="568"/>
        <w:gridCol w:w="571"/>
        <w:gridCol w:w="211"/>
        <w:gridCol w:w="616"/>
        <w:gridCol w:w="256"/>
        <w:gridCol w:w="109"/>
        <w:gridCol w:w="109"/>
        <w:gridCol w:w="109"/>
        <w:gridCol w:w="211"/>
        <w:gridCol w:w="616"/>
        <w:gridCol w:w="256"/>
        <w:gridCol w:w="109"/>
        <w:gridCol w:w="109"/>
        <w:gridCol w:w="109"/>
        <w:gridCol w:w="211"/>
        <w:gridCol w:w="406"/>
        <w:gridCol w:w="109"/>
        <w:gridCol w:w="109"/>
        <w:gridCol w:w="109"/>
        <w:gridCol w:w="109"/>
        <w:gridCol w:w="196"/>
        <w:gridCol w:w="196"/>
        <w:gridCol w:w="283"/>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Education</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r>
          </w:p>
        </w:tc>
      </w:tr>
      <w:tr>
        <w:trPr/>
        <w:tc>
          <w:tcPr>
            <w:tcW w:w="1785" w:type="dxa"/>
            <w:gridSpan w:val="3"/>
            <w:tcBorders/>
            <w:shd w:fill="DCE3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8" w:space="0" w:color="000000"/>
            </w:tcBorders>
            <w:shd w:fill="DCE3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3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696.7 </w:t>
            </w:r>
          </w:p>
        </w:tc>
        <w:tc>
          <w:tcPr>
            <w:tcW w:w="256" w:type="dxa"/>
            <w:tcBorders>
              <w:top w:val="single" w:sz="8" w:space="0" w:color="000000"/>
            </w:tcBorders>
            <w:shd w:fill="DCE3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3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3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688.2 </w:t>
            </w:r>
          </w:p>
        </w:tc>
        <w:tc>
          <w:tcPr>
            <w:tcW w:w="256" w:type="dxa"/>
            <w:tcBorders>
              <w:top w:val="single" w:sz="8" w:space="0" w:color="000000"/>
            </w:tcBorders>
            <w:shd w:fill="DCE3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DCE3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24.6%</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8.7 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7.1 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164 bps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Education revenues increased by $8.5 million, or 1.2%, to $696.7 million during the nine months ended July 31, 2026, as compared to the prior year period. The increase was primarily attributable to net new business and expansion of business with existing clients and price escalations on certain contracts.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increased by $12.0 million, or 24.6%, during the nine months ended July 31, 2026, as compared to the prior year period. Operating profit margin increased by 164 bps to 8.7% in the nine months ended July 31, 2026, from 7.1% in the nine months ended July 31, 2025. The increase in operating profit margin was primarily attributable to favorable pricing and operational efficiencies, particularly in managing overtime.</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60350"/>
                <wp:effectExtent l="0" t="0" r="0" b="0"/>
                <wp:wrapNone/>
                <wp:docPr id="48" name="Frame4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130" w:after="283"/>
        <w:jc w:val="both"/>
        <w:rPr/>
      </w:pPr>
      <w:r>
        <w:rPr/>
      </w:r>
    </w:p>
    <w:tbl>
      <w:tblPr>
        <w:tblW w:w="6803" w:type="dxa"/>
        <w:jc w:val="left"/>
        <w:tblInd w:w="0" w:type="dxa"/>
        <w:tblLayout w:type="fixed"/>
        <w:tblCellMar>
          <w:top w:w="28" w:type="dxa"/>
          <w:left w:w="28" w:type="dxa"/>
          <w:bottom w:w="28" w:type="dxa"/>
          <w:right w:w="28" w:type="dxa"/>
        </w:tblCellMar>
      </w:tblPr>
      <w:tblGrid>
        <w:gridCol w:w="645"/>
        <w:gridCol w:w="568"/>
        <w:gridCol w:w="572"/>
        <w:gridCol w:w="211"/>
        <w:gridCol w:w="616"/>
        <w:gridCol w:w="256"/>
        <w:gridCol w:w="109"/>
        <w:gridCol w:w="109"/>
        <w:gridCol w:w="109"/>
        <w:gridCol w:w="211"/>
        <w:gridCol w:w="616"/>
        <w:gridCol w:w="256"/>
        <w:gridCol w:w="109"/>
        <w:gridCol w:w="109"/>
        <w:gridCol w:w="109"/>
        <w:gridCol w:w="275"/>
        <w:gridCol w:w="666"/>
        <w:gridCol w:w="142"/>
        <w:gridCol w:w="142"/>
        <w:gridCol w:w="142"/>
        <w:gridCol w:w="142"/>
        <w:gridCol w:w="201"/>
        <w:gridCol w:w="201"/>
        <w:gridCol w:w="28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Technical Solutions</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757.0 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662.0 </w:t>
            </w:r>
          </w:p>
        </w:tc>
        <w:tc>
          <w:tcPr>
            <w:tcW w:w="256"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42"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14.4%</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6.2</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7.5</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(129) bps</w:t>
            </w:r>
          </w:p>
        </w:tc>
        <w:tc>
          <w:tcPr>
            <w:tcW w:w="42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Technical Solutions revenues increased by $95.0 million, or 14.4%, to $757.0 million during the nine months ended July 31, 2026, as compared to the prior year period. Revenue growth was comprised of organic growth of 9.8% and acquisition growth of 4.6%. The organic revenue increase was primarily driven by energy and power solutions and HVAC services. Acquisition growth was driven by a $30.2 million revenue increase from the LMC Acquisition.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decreased by $2.7 million, or 5.4%, to $46.7 million during the nine months ended July 31, 2026, as compared to the prior year period. Operating profit margin decreased by 129 bps to 6.2% in the nine months ended July 31, 2026, from 7.5% in the nine months ended July 31, 2025. The decrease in operating profit margin was primarily attributable to service mix.</w:t>
      </w:r>
    </w:p>
    <w:tbl>
      <w:tblPr>
        <w:tblW w:w="6191" w:type="dxa"/>
        <w:jc w:val="left"/>
        <w:tblInd w:w="0" w:type="dxa"/>
        <w:tblLayout w:type="fixed"/>
        <w:tblCellMar>
          <w:top w:w="28" w:type="dxa"/>
          <w:left w:w="28" w:type="dxa"/>
          <w:bottom w:w="28" w:type="dxa"/>
          <w:right w:w="28" w:type="dxa"/>
        </w:tblCellMar>
      </w:tblPr>
      <w:tblGrid>
        <w:gridCol w:w="647"/>
        <w:gridCol w:w="567"/>
        <w:gridCol w:w="570"/>
        <w:gridCol w:w="221"/>
        <w:gridCol w:w="723"/>
        <w:gridCol w:w="114"/>
        <w:gridCol w:w="114"/>
        <w:gridCol w:w="114"/>
        <w:gridCol w:w="114"/>
        <w:gridCol w:w="221"/>
        <w:gridCol w:w="723"/>
        <w:gridCol w:w="114"/>
        <w:gridCol w:w="109"/>
        <w:gridCol w:w="109"/>
        <w:gridCol w:w="109"/>
        <w:gridCol w:w="211"/>
        <w:gridCol w:w="406"/>
        <w:gridCol w:w="109"/>
        <w:gridCol w:w="109"/>
        <w:gridCol w:w="109"/>
        <w:gridCol w:w="109"/>
        <w:gridCol w:w="165"/>
        <w:gridCol w:w="165"/>
        <w:gridCol w:w="239"/>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18"/>
              </w:rPr>
            </w:pPr>
            <w:r>
              <w:rPr>
                <w:rFonts w:ascii="Arial;sans-serif" w:hAnsi="Arial;sans-serif"/>
                <w:b/>
                <w:i/>
                <w:color w:val="0046AD"/>
                <w:sz w:val="18"/>
              </w:rPr>
              <w:t>Corporate</w:t>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millions)</w:t>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Decrease</w:t>
            </w:r>
          </w:p>
        </w:tc>
      </w:tr>
      <w:tr>
        <w:trPr/>
        <w:tc>
          <w:tcPr>
            <w:tcW w:w="17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22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w:t>
            </w:r>
          </w:p>
        </w:tc>
        <w:tc>
          <w:tcPr>
            <w:tcW w:w="11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w:t>
            </w:r>
          </w:p>
        </w:tc>
        <w:tc>
          <w:tcPr>
            <w:tcW w:w="114"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r>
    </w:tbl>
    <w:p>
      <w:pPr>
        <w:pStyle w:val="TextBody"/>
        <w:bidi w:val="0"/>
        <w:spacing w:lineRule="auto" w:line="288" w:before="140" w:after="283"/>
        <w:jc w:val="both"/>
        <w:rPr/>
      </w:pPr>
      <w:r>
        <w:rPr>
          <w:color w:val="000000"/>
        </w:rPr>
        <w:t>    </w:t>
      </w:r>
      <w:r>
        <w:rPr>
          <w:rFonts w:ascii="Arial;sans-serif" w:hAnsi="Arial;sans-serif"/>
          <w:b w:val="false"/>
          <w:color w:val="000000"/>
          <w:sz w:val="20"/>
        </w:rPr>
        <w:t>Corporate expenses decreased by $5.5 million, or 2.2%, to $246.3 million during the nine months ended July 31, 2026, as compared to the prior year period. The decrease in corporate expenses was primarily attributable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$10.6 million decrease in compensation and related expenses primarily due to reduced headcount as a result of the Restructuring Program;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$9.5 million decrease in certain discrete transformational costs under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decrease was partially offset by: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$14.6 million increase in restructuring charges under our Restructuring Program.</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Liquidity and Capital Resources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primary sources of liquidity are operating cash flows and borrowing capacity under our Amended Credit Facility. We assess our liquidity in terms of our ability to generate cash to fund our short- and long-term cash requirements. As such, we project our anticipated cash requirements as well as cash flows generated from operating activities to meet those needs. </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In addition to normal working capital requirements, we anticipate that our short- and long-term cash requirements will include funding legal settlements, insurance claims, dividend payments, capital expenditures, share repurchases, mandatory loan repayments, contingent consideration payments from acquisitions, and systems and technology transformation initiatives under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 We anticipate long-term cash uses may also include strategic acquisitions. On a long-term basis, we will continue to rely on our Amended Credit Facility for any long-term funding not provided by operating cash flows.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believe that our operating cash flows and borrowing capacity under our Amended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60350"/>
                <wp:effectExtent l="0" t="0" r="0" b="0"/>
                <wp:wrapNone/>
                <wp:docPr id="49" name="Frame4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Debt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1, 2017, we refinanced and replaced our then-existing $800.0 million credit facility with a new senior, secured five-year syndicated credit facility, consisting of a $900.0 million revolver and an $800.0 million amortizing term loan. In accordance with terms of the Credit Facility, the revolver was reduced to $800.0 million on September 1, 2018. On February 26, 2025, we amended and restated the Credit Facility (the “Amended Credit Facility”), extending the maturity date to February 26, 2030, and increasing the capacity of the revolving credit facility from $1.3 billion to $1.6 billion and the then-remaining term loan outstanding from $528.1 million to $600.0 million. The Amended Credit Facility provides for the issuance of up to $250.0 million for standby letters of credit and the issuance of up to $100.0 million in swingline advances.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July 31, 2026, we were in compliance with these covenants.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February 3, 2026, we entered into the First Amendment to the Amended Credit Facility to provide for the First Incremental Term Loan in an aggregate principal amount equal to $255.0 million. The terms and conditions that apply to the First Incremental Term Loan are substantially the same as the terms and conditions that apply to the other term loans outstanding under the Amended Credit Facility. No amounts under the Amended Credit Facility were repaid as a result of the execution of the First Incremental Term Loan.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nine months ended July 31, 2026, we made principal payments under the term loan of $36.4 million. At July 31, 2026, the total outstanding borrowings in the form of cash borrowings and standby letters of credit were $1.8 billion and $22.4 million, respectively, and our weighted average interest rate on all outstanding borrowings, excluding letters of credit, was 5.53%. At July 31, 2026, we had up to $495.3 million of borrowing capacity.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28, 2026, we entered into a trade receivable financing agreement (the “Receivables Financing Agreement”) involving several of our wholly owned subsidiaries and certain financial institutions. The Receivables Financing Agreement provides for a maximum revolving borrowing amount of $300.0 million and expires on July 27, 2029. Under the arrangement, certain of our wholly owned subsidiaries sell a portfolio of eligible U.S. trade accounts receivable and related rights to our wholly owned subsidiary, ABM Receivables, LLC, a consolidated and bankruptcy-remote special purpose entity. Eligible receivables sold to ABM Receivables, LLC are pledged as collateral for borrowings under the Receivables Financing Agreement and are subject to a security interest in favor of the participating institutions. The borrowings under the Receivables Financing Agreement bear interest at a rate of Term SOFR plus an applicable margin ranging from 0.90% to 1.00% based on ABM’s total net leverage ratio, payable monthly in arrears. The arrangement also provides for an undrawn fee of 0.35% on unused commitments.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July 31, 2026, the total amount of receivables pledged as collateral under the Receivables Financing Agreement was $402.4 million, and the total amount of outstanding borrowings under the Receivables Financing Agreement was $300.0 million.</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Reinvestment of Foreign Earnings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plan to reinvest our foreign earnings to fund future non-U.S. growth and expansion, and we do not anticipate remitting such earnings to the United States.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IFM Insurance Company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IFM Assurance Company (“IFM”) is a wholly owned captive insurance company that we formed in 2015. IFM is part of our enterprise-wide, multiyear insurance strategy that is intended to better position our risk and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29615"/>
                <wp:effectExtent l="0" t="0" r="0" b="0"/>
                <wp:wrapNone/>
                <wp:docPr id="50" name="Frame43"/>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programs and provide us with increased flexibility in the end-to-end management of our insurance programs. IFM began providing coverage to us as of January 1, 2015.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Share Repurchases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did not repurchase shares under the share repurchase program during the three months ended July 31, 2026.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share repurchase program may be suspended or discontinued at any time without prior notice. At July 31, 2026, authorization for $89.0 million of repurchases remained under our share repurchase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 xml:space="preserve">Cash Flows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 </w:t>
      </w:r>
    </w:p>
    <w:tbl>
      <w:tblPr>
        <w:tblW w:w="6654" w:type="dxa"/>
        <w:jc w:val="left"/>
        <w:tblInd w:w="0" w:type="dxa"/>
        <w:tblLayout w:type="fixed"/>
        <w:tblCellMar>
          <w:top w:w="28" w:type="dxa"/>
          <w:left w:w="28" w:type="dxa"/>
          <w:bottom w:w="28" w:type="dxa"/>
          <w:right w:w="28" w:type="dxa"/>
        </w:tblCellMar>
      </w:tblPr>
      <w:tblGrid>
        <w:gridCol w:w="1502"/>
        <w:gridCol w:w="1320"/>
        <w:gridCol w:w="1333"/>
        <w:gridCol w:w="235"/>
        <w:gridCol w:w="687"/>
        <w:gridCol w:w="121"/>
        <w:gridCol w:w="121"/>
        <w:gridCol w:w="121"/>
        <w:gridCol w:w="121"/>
        <w:gridCol w:w="235"/>
        <w:gridCol w:w="687"/>
        <w:gridCol w:w="171"/>
      </w:tblGrid>
      <w:tr>
        <w:trPr/>
        <w:tc>
          <w:tcPr>
            <w:tcW w:w="150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July 31,</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5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3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2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DCE2E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171" w:type="dxa"/>
            <w:tcBorders>
              <w:top w:val="single" w:sz="8" w:space="0" w:color="000000"/>
            </w:tcBorders>
            <w:shd w:fill="DCE2E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2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7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operating activities was $275.0 million, as compared to $101.0 million during the nine months ended July 31, 2025. The $174.0 million improvement was primarily driven by favorable working capital changes, including improved cash collections and timing of payments.</w:t>
      </w:r>
    </w:p>
    <w:p>
      <w:pPr>
        <w:pStyle w:val="TextBody"/>
        <w:bidi w:val="0"/>
        <w:spacing w:lineRule="auto" w:line="288" w:before="18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Net cash used in investing activities increased by $241.0 million during the nine months ended July 31, 2026, as compared to the prior year period. This increase in net cash used was primarily due to the WGNSTAR Acquisition.</w:t>
      </w:r>
    </w:p>
    <w:p>
      <w:pPr>
        <w:pStyle w:val="TextBody"/>
        <w:bidi w:val="0"/>
        <w:spacing w:lineRule="auto" w:line="288" w:before="18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Financing Activities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financing activities was $46.4 million during the nine months ended July 31, 2026, as compared to net cash used in financing activities of $22.5 million during the nine months ended July 31, 2025. In the prior year, we made a $75.0 million payment for contingent consideration related to the RavenVolt Acquisition, of which $59.0 million was classified as a financing cash outflow. We have not made any contingent consideration payments during the nine months ended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Contingencies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For disclosures on contingencies, see Note 11, “Commitments and Contingencies,” of the Notes to unaudited Consolidated Financial Statements included in Part I,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29615"/>
                <wp:effectExtent l="0" t="0" r="0" b="0"/>
                <wp:wrapNone/>
                <wp:docPr id="51" name="Frame44"/>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Critical Accounting Policies and Estimates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2025.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Recently Issued Accounting Pronouncements    </w:t>
      </w:r>
    </w:p>
    <w:tbl>
      <w:tblPr>
        <w:tblW w:w="10205" w:type="dxa"/>
        <w:jc w:val="left"/>
        <w:tblInd w:w="0" w:type="dxa"/>
        <w:tblLayout w:type="fixed"/>
        <w:tblCellMar>
          <w:top w:w="28" w:type="dxa"/>
          <w:left w:w="28" w:type="dxa"/>
          <w:bottom w:w="28" w:type="dxa"/>
          <w:right w:w="28" w:type="dxa"/>
        </w:tblCellMar>
      </w:tblPr>
      <w:tblGrid>
        <w:gridCol w:w="437"/>
        <w:gridCol w:w="384"/>
        <w:gridCol w:w="385"/>
        <w:gridCol w:w="109"/>
        <w:gridCol w:w="109"/>
        <w:gridCol w:w="109"/>
        <w:gridCol w:w="815"/>
        <w:gridCol w:w="718"/>
        <w:gridCol w:w="724"/>
        <w:gridCol w:w="109"/>
        <w:gridCol w:w="109"/>
        <w:gridCol w:w="109"/>
        <w:gridCol w:w="1263"/>
        <w:gridCol w:w="1263"/>
        <w:gridCol w:w="1276"/>
        <w:gridCol w:w="109"/>
        <w:gridCol w:w="109"/>
        <w:gridCol w:w="109"/>
        <w:gridCol w:w="630"/>
        <w:gridCol w:w="546"/>
        <w:gridCol w:w="783"/>
      </w:tblGrid>
      <w:tr>
        <w:trPr/>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Accounting Standard Updates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Topic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Effective Date/</w:t>
              <w:br/>
              <w:t>Method of Adoption</w:t>
            </w:r>
          </w:p>
        </w:tc>
      </w:tr>
      <w:tr>
        <w:trPr/>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Income Taxes (Topic 740): Improvements to Income Tax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This ASU, issued in December 2023, is intended to enhance the transparency and decision usefulness of income tax disclosures. The amendments in this ASU address investor requests for enhanced income tax information primarily through changes to the rate reconciliation and income taxes paid information. We are currently evaluating the impact of implementing this guidance on our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This ASU is effective for fiscal years beginning after December 15, 2024, with early adoption permitted.</w:t>
            </w:r>
          </w:p>
        </w:tc>
      </w:tr>
      <w:tr>
        <w:trPr/>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Income Statement Reporting Comprehensive Income Expense Disaggregation Disclosures (Subtopic 220-40): Disaggregation of Income Statement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This ASU, issued in November 2024, is intended to improve financial reporting by requiring public entities to disclose additional information about specific expense categories in the notes to the financial statements at interim and annual reporting periods. We are currently evaluating the impact of implementing this guidance on our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This ASU is effective for fiscal years beginning after December 15, 2026, and interim periods within fiscal years beginning after December 15, 2027, with early adoption permitted.</w:t>
            </w:r>
          </w:p>
        </w:tc>
      </w:tr>
      <w:tr>
        <w:trPr/>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Intangibles — Goodwill and Other — Internal-Use Software (Subtopic 350-40): Targeted Improvements to the Accounting for Internal-Use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This ASU, issued in September 2025, removes all references to prescriptive and sequential software development stages (referred to as “project stages”) throughout Subtopic 350-40 and requires the capitalization of software costs to begin when 1) management has authorized and committed to funding the software project, and 2) it is probable that the project will be completed and the software will be used to perform the function intended.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This ASU is effective for fiscal years beginning after December 15, 2027, and for interim periods within those annual reporting periods, with early adoption permitted.</w:t>
            </w:r>
          </w:p>
        </w:tc>
      </w:tr>
      <w:tr>
        <w:trPr/>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Interim Reporting (Topic 270): Narrow-Scope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This ASU, issued in December 2025, improves the guidance in Topic 270, Interim Reporting, by improving the navigability of the required interim disclosures and clarifying when that guidance is applicable. The amendments also add a principle that requires entities to disclose events since the end of the last annual reporting period that have a material impact on the entity. We are currently evaluating the impact of implementing this guidance on our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This ASU is effective for interim reporting periods within annual reporting periods beginning after December 15, 2027, with early adoption permitted.</w:t>
            </w:r>
          </w:p>
        </w:tc>
      </w:tr>
    </w:tbl>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29615"/>
                <wp:effectExtent l="0" t="0" r="0" b="0"/>
                <wp:wrapNone/>
                <wp:docPr id="52" name="Frame45"/>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3. QUANTITATIVE AND QUALITATIVE DISCLOSURES ABOUT MARKET RISK.</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are no material changes related to market risk from the disclosures in our Annual Report on Form 10-K for the year ended October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4. CONTROLS AND PROCEDURES.</w:t>
      </w:r>
    </w:p>
    <w:p>
      <w:pPr>
        <w:pStyle w:val="TextBody"/>
        <w:bidi w:val="0"/>
        <w:spacing w:lineRule="auto" w:line="288" w:before="180" w:after="283"/>
        <w:jc w:val="both"/>
        <w:rPr/>
      </w:pPr>
      <w:r>
        <w:rPr>
          <w:rFonts w:ascii="Arial;sans-serif" w:hAnsi="Arial;sans-serif"/>
          <w:b/>
          <w:color w:val="0046AD"/>
          <w:sz w:val="20"/>
        </w:rPr>
        <w:t>a.</w:t>
      </w:r>
      <w:r>
        <w:rPr>
          <w:color w:val="0046AD"/>
        </w:rPr>
        <w:t xml:space="preserve"> </w:t>
      </w:r>
      <w:r>
        <w:rPr>
          <w:rFonts w:ascii="Arial;sans-serif" w:hAnsi="Arial;sans-serif"/>
          <w:b/>
          <w:color w:val="0046AD"/>
          <w:sz w:val="20"/>
        </w:rPr>
        <w:t>Disclosure Controls and Procedures.</w:t>
      </w:r>
      <w:r>
        <w:rPr>
          <w:color w:val="0046AD"/>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b. Changes in Internal Control Over Financial Reporting.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third quarter of 2023 and first quarter of 2025, we had a change in our internal control over financial reporting as a result of our implementation of a new ERP and key boundary systems for the Education, Business &amp; Industry, and Manufacturing &amp; Distribution industry groups that has materially affected, or is reasonably likely to materially affect, our internal control over financial reporting. The new ERP system and key boundary systems for these industry groups are replacing our legacy system in which a significant portion of our business transactions originate, are processed, and recorded. The rest of our industry groups will transition to our new ERP system and key boundary systems over the next several years. Our new ERP system and key boundary systems are intended to provide us with enhanced transactional processing and management tools, as compared with our legacy system, and is intended to enhance internal control over financial reporting. We believe our new ERP system and key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 over financial reporting and procedures.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second quarter of 2026, we completed the acquisition of WGNSTAR, as described in Note 3, “Acquisitions,” to the unaudited Consolidated Financial Statements. We continue to integrate policies, processes, personnel, technology, and operations relating to this transaction and will continue to evaluate the impact of any related changes to our internal controls over financial reporting.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no other changes in our internal control over financial reporting during the third quarter of 2026 identified in connection with the evaluation required by Rules 13a-15(d) and 15d-15(d) of the Exchange Act that have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 LEGAL PROCEEDINGS.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 discussion of material developments in our litigation matters occurring in the period covered by this report is found in Note 11, “Commitments and Contingencies,” to the unaudited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1A. RISK FACTORS.</w:t>
      </w:r>
    </w:p>
    <w:p>
      <w:pPr>
        <w:pStyle w:val="TextBody"/>
        <w:bidi w:val="0"/>
        <w:spacing w:lineRule="auto" w:line="26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There have been no material changes to the risk factors identified in our Annual Report on Form 10-K for the year ended October 31, 2025, in response to Item 1A, “Risk Factors,” of Part I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29615"/>
                <wp:effectExtent l="0" t="0" r="0" b="0"/>
                <wp:wrapNone/>
                <wp:docPr id="53" name="Frame46"/>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2. UNREGISTERED SALES OF EQUITY SECURITIES AND USE OF PROCEEDS.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Common Stock Repurchases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Effective September 3, 2025, our Board of Directors expanded our existing share repurchase program by an additional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 No shares were repurchased during the three months ended July 31, 2026. At July 31, 2026, authorization for $89.0 million of repurchases remained under our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3. DEFAULTS UPON SENIOR SECURITIES.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6AD"/>
          <w:sz w:val="20"/>
        </w:rPr>
      </w:pPr>
      <w:r>
        <w:rPr>
          <w:rFonts w:ascii="Arial;sans-serif" w:hAnsi="Arial;sans-serif"/>
          <w:b/>
          <w:color w:val="0046AD"/>
          <w:sz w:val="20"/>
        </w:rPr>
        <w:t>ITEM 4. MINE SAFETY DISCLOSURES.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5. OTHER INFORMATION.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29615"/>
                <wp:effectExtent l="0" t="0" r="0" b="0"/>
                <wp:wrapNone/>
                <wp:docPr id="54" name="Frame47"/>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0" w:after="0"/>
        <w:jc w:val="left"/>
        <w:rPr>
          <w:rFonts w:ascii="Arial;sans-serif" w:hAnsi="Arial;sans-serif"/>
          <w:b/>
          <w:color w:val="0046AD"/>
          <w:sz w:val="20"/>
        </w:rPr>
      </w:pPr>
      <w:r>
        <w:rPr>
          <w:rFonts w:ascii="Arial;sans-serif" w:hAnsi="Arial;sans-serif"/>
          <w:b/>
          <w:color w:val="0046AD"/>
          <w:sz w:val="20"/>
        </w:rPr>
        <w:t>ITEM 6. EXHIBITS.</w:t>
      </w:r>
    </w:p>
    <w:p>
      <w:pPr>
        <w:pStyle w:val="TextBody"/>
        <w:bidi w:val="0"/>
        <w:spacing w:lineRule="auto" w:line="288" w:before="180" w:after="18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Exhibits</w:t>
      </w:r>
    </w:p>
    <w:tbl>
      <w:tblPr>
        <w:tblW w:w="10205" w:type="dxa"/>
        <w:jc w:val="right"/>
        <w:tblInd w:w="0" w:type="dxa"/>
        <w:tblLayout w:type="fixed"/>
        <w:tblCellMar>
          <w:top w:w="28" w:type="dxa"/>
          <w:left w:w="28" w:type="dxa"/>
          <w:bottom w:w="28" w:type="dxa"/>
          <w:right w:w="28" w:type="dxa"/>
        </w:tblCellMar>
      </w:tblPr>
      <w:tblGrid>
        <w:gridCol w:w="324"/>
        <w:gridCol w:w="286"/>
        <w:gridCol w:w="287"/>
        <w:gridCol w:w="109"/>
        <w:gridCol w:w="109"/>
        <w:gridCol w:w="109"/>
        <w:gridCol w:w="2626"/>
        <w:gridCol w:w="2626"/>
        <w:gridCol w:w="3729"/>
      </w:tblGrid>
      <w:tr>
        <w:trPr/>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Exhibit No.</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Description</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bm07312026ex311.htm">
              <w:r>
                <w:rPr>
                  <w:rStyle w:val="InternetLink"/>
                  <w:rFonts w:ascii="Arial;sans-serif" w:hAnsi="Arial;sans-serif"/>
                  <w:b w:val="false"/>
                  <w:color w:val="0000FF"/>
                  <w:sz w:val="18"/>
                  <w:u w:val="single"/>
                </w:rPr>
                <w:t>Certification of Principal Executive Officer pursuant to Section 302 of the Sarbanes-Oxley Act of 2002</w:t>
              </w:r>
            </w:hyperlink>
          </w:p>
        </w:tc>
      </w:tr>
      <w:tr>
        <w:trPr/>
        <w:tc>
          <w:tcPr>
            <w:tcW w:w="8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both"/>
              <w:rPr/>
            </w:pPr>
            <w:hyperlink w:anchor="abm07312026ex312.htm">
              <w:r>
                <w:rPr>
                  <w:rStyle w:val="InternetLink"/>
                  <w:rFonts w:ascii="Arial;sans-serif" w:hAnsi="Arial;sans-serif"/>
                  <w:b w:val="false"/>
                  <w:color w:val="0000FF"/>
                  <w:sz w:val="18"/>
                  <w:u w:val="single"/>
                </w:rPr>
                <w:t>Certification of Principal Financial Officer pursuant to Section 302 of the Sarbanes-Oxley Act of 2002</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m07312026ex32.htm">
              <w:r>
                <w:rPr>
                  <w:rStyle w:val="InternetLink"/>
                  <w:rFonts w:ascii="Arial;sans-serif" w:hAnsi="Arial;sans-serif"/>
                  <w:b w:val="false"/>
                  <w:color w:val="0000FF"/>
                  <w:sz w:val="18"/>
                  <w:u w:val="single"/>
                </w:rPr>
                <w:t>Certification pursuant to 18 U.S.C. Section 1350, as adopted pursuant to Section 906 of the Sarbanes-Oxley Act of 2002</w:t>
              </w:r>
            </w:hyperlink>
          </w:p>
        </w:tc>
      </w:tr>
      <w:tr>
        <w:trPr/>
        <w:tc>
          <w:tcPr>
            <w:tcW w:w="8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Instance Document (the instance document does not appear in the Interactive Data File because its XBRL tags are embedded within the Inline XBRL document)</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8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Calculation Linkbase Document</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rPr/>
        <w:tc>
          <w:tcPr>
            <w:tcW w:w="8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Label Linkbase Document</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Presentation Linkbase Document</w:t>
            </w:r>
          </w:p>
        </w:tc>
      </w:tr>
      <w:tr>
        <w:trPr/>
        <w:tc>
          <w:tcPr>
            <w:tcW w:w="8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tbl>
      <w:tblPr>
        <w:tblW w:w="6986" w:type="dxa"/>
        <w:jc w:val="center"/>
        <w:tblInd w:w="0" w:type="dxa"/>
        <w:tblLayout w:type="fixed"/>
        <w:tblCellMar>
          <w:top w:w="28" w:type="dxa"/>
          <w:left w:w="28" w:type="dxa"/>
          <w:bottom w:w="28" w:type="dxa"/>
          <w:right w:w="28" w:type="dxa"/>
        </w:tblCellMar>
      </w:tblPr>
      <w:tblGrid>
        <w:gridCol w:w="124"/>
        <w:gridCol w:w="109"/>
        <w:gridCol w:w="109"/>
        <w:gridCol w:w="1943"/>
        <w:gridCol w:w="1943"/>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Indicates management contract or compensatory plan, contract, or arrangement.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Indicates filed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Indicates 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15315"/>
                <wp:effectExtent l="0" t="0" r="0" b="0"/>
                <wp:wrapNone/>
                <wp:docPr id="55" name="Frame48"/>
                <a:graphic xmlns:a="http://schemas.openxmlformats.org/drawingml/2006/main">
                  <a:graphicData uri="http://schemas.microsoft.com/office/word/2010/wordprocessingShape">
                    <wps:wsp>
                      <wps:cNvSpPr txBox="1"/>
                      <wps:spPr>
                        <a:xfrm>
                          <a:off x="0" y="0"/>
                          <a:ext cx="6480175" cy="6153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130" w:after="283"/>
        <w:jc w:val="both"/>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312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20"/>
        <w:gridCol w:w="720"/>
        <w:gridCol w:w="1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ABM Industries Incorporated</w:t>
            </w:r>
          </w:p>
        </w:tc>
      </w:tr>
    </w:tbl>
    <w:p>
      <w:pPr>
        <w:pStyle w:val="TextBody"/>
        <w:bidi w:val="0"/>
        <w:spacing w:before="60" w:after="283"/>
        <w:jc w:val="both"/>
        <w:rPr/>
      </w:pPr>
      <w:r>
        <w:rPr/>
      </w:r>
    </w:p>
    <w:tbl>
      <w:tblPr>
        <w:tblW w:w="6386" w:type="dxa"/>
        <w:jc w:val="left"/>
        <w:tblInd w:w="0" w:type="dxa"/>
        <w:tblLayout w:type="fixed"/>
        <w:tblCellMar>
          <w:top w:w="28" w:type="dxa"/>
          <w:left w:w="28" w:type="dxa"/>
          <w:bottom w:w="28" w:type="dxa"/>
          <w:right w:w="28" w:type="dxa"/>
        </w:tblCellMar>
      </w:tblPr>
      <w:tblGrid>
        <w:gridCol w:w="609"/>
        <w:gridCol w:w="535"/>
        <w:gridCol w:w="536"/>
        <w:gridCol w:w="109"/>
        <w:gridCol w:w="109"/>
        <w:gridCol w:w="109"/>
        <w:gridCol w:w="1272"/>
        <w:gridCol w:w="1272"/>
        <w:gridCol w:w="1835"/>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 David M. Orr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David M. Orr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(Duly Authorized Officer)</w:t>
            </w:r>
          </w:p>
        </w:tc>
      </w:tr>
    </w:tbl>
    <w:p>
      <w:pPr>
        <w:pStyle w:val="TextBody"/>
        <w:bidi w:val="0"/>
        <w:spacing w:before="60" w:after="283"/>
        <w:jc w:val="both"/>
        <w:rPr/>
      </w:pPr>
      <w:r>
        <w:rPr/>
      </w:r>
    </w:p>
    <w:tbl>
      <w:tblPr>
        <w:tblW w:w="8952" w:type="dxa"/>
        <w:jc w:val="left"/>
        <w:tblInd w:w="0" w:type="dxa"/>
        <w:tblLayout w:type="fixed"/>
        <w:tblCellMar>
          <w:top w:w="28" w:type="dxa"/>
          <w:left w:w="28" w:type="dxa"/>
          <w:bottom w:w="28" w:type="dxa"/>
          <w:right w:w="28" w:type="dxa"/>
        </w:tblCellMar>
      </w:tblPr>
      <w:tblGrid>
        <w:gridCol w:w="609"/>
        <w:gridCol w:w="535"/>
        <w:gridCol w:w="536"/>
        <w:gridCol w:w="109"/>
        <w:gridCol w:w="109"/>
        <w:gridCol w:w="109"/>
        <w:gridCol w:w="2028"/>
        <w:gridCol w:w="2028"/>
        <w:gridCol w:w="2889"/>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/s/ Dean A. Chin</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Dean A. Chin</w:t>
              <w:br/>
              <w:t>Senior Vice President, Chief Accounting Officer, Corporate Controller and Treasurer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29615"/>
                <wp:effectExtent l="0" t="0" r="0" b="0"/>
                <wp:wrapNone/>
                <wp:docPr id="56" name="Frame49"/>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PURSUANT TO SECURITIES EXCHANGE ACT OF 1934</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RULE 13a-14(a) OR 15d-14(a)</w:t>
      </w:r>
    </w:p>
    <w:p>
      <w:pPr>
        <w:pStyle w:val="TextBody"/>
        <w:bidi w:val="0"/>
        <w:spacing w:before="0" w:after="0"/>
        <w:jc w:val="both"/>
        <w:rPr/>
      </w:pPr>
      <w:r>
        <w:rPr/>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I, Scott Salmirs, certify that:</w:t>
      </w:r>
    </w:p>
    <w:p>
      <w:pPr>
        <w:pStyle w:val="TextBody"/>
        <w:bidi w:val="0"/>
        <w:spacing w:lineRule="auto" w:line="240" w:before="0" w:after="240"/>
        <w:ind w:left="0" w:right="0" w:hanging="360"/>
        <w:jc w:val="both"/>
        <w:rPr/>
      </w:pPr>
      <w:r>
        <w:rPr>
          <w:rFonts w:ascii="Arial;sans-serif" w:hAnsi="Arial;sans-serif"/>
          <w:b w:val="false"/>
          <w:color w:val="000000"/>
          <w:sz w:val="20"/>
        </w:rPr>
        <w:t>1.</w:t>
      </w:r>
      <w:r>
        <w:rPr>
          <w:color w:val="000000"/>
        </w:rPr>
        <w:t>    </w:t>
      </w:r>
      <w:r>
        <w:rPr>
          <w:rFonts w:ascii="Arial;sans-serif" w:hAnsi="Arial;sans-serif"/>
          <w:b w:val="false"/>
          <w:color w:val="000000"/>
          <w:sz w:val="20"/>
        </w:rPr>
        <w:t>I have reviewed this Quarterly Report on Form 10-Q of ABM Industries Incorporated;</w:t>
      </w:r>
    </w:p>
    <w:p>
      <w:pPr>
        <w:pStyle w:val="TextBody"/>
        <w:bidi w:val="0"/>
        <w:spacing w:lineRule="auto" w:line="240" w:before="0" w:after="240"/>
        <w:ind w:left="0" w:right="0" w:hanging="360"/>
        <w:jc w:val="both"/>
        <w:rPr/>
      </w:pPr>
      <w:r>
        <w:rPr>
          <w:rFonts w:ascii="Arial;sans-serif" w:hAnsi="Arial;sans-serif"/>
          <w:b w:val="false"/>
          <w:color w:val="000000"/>
          <w:sz w:val="20"/>
        </w:rPr>
        <w:t>2.</w:t>
      </w:r>
      <w:r>
        <w:rPr>
          <w:color w:val="000000"/>
        </w:rPr>
        <w:t>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360"/>
        <w:jc w:val="both"/>
        <w:rPr/>
      </w:pPr>
      <w:r>
        <w:rPr>
          <w:rFonts w:ascii="Arial;sans-serif" w:hAnsi="Arial;sans-serif"/>
          <w:b w:val="false"/>
          <w:color w:val="000000"/>
          <w:sz w:val="20"/>
        </w:rPr>
        <w:t>3.</w:t>
      </w:r>
      <w:r>
        <w:rPr>
          <w:color w:val="000000"/>
        </w:rPr>
        <w:t>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360"/>
        <w:jc w:val="both"/>
        <w:rPr/>
      </w:pPr>
      <w:r>
        <w:rPr>
          <w:rFonts w:ascii="Arial;sans-serif" w:hAnsi="Arial;sans-serif"/>
          <w:b w:val="false"/>
          <w:color w:val="000000"/>
          <w:sz w:val="20"/>
        </w:rPr>
        <w:t>4.</w:t>
      </w:r>
      <w:r>
        <w:rPr>
          <w:color w:val="000000"/>
        </w:rPr>
        <w:t>    </w:t>
      </w:r>
      <w:r>
        <w:rPr>
          <w:rFonts w:ascii="Arial;sans-serif" w:hAnsi="Arial;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360"/>
        <w:jc w:val="both"/>
        <w:rPr/>
      </w:pPr>
      <w:r>
        <w:rPr>
          <w:rFonts w:ascii="Arial;sans-serif" w:hAnsi="Arial;sans-serif"/>
          <w:b w:val="false"/>
          <w:color w:val="000000"/>
          <w:sz w:val="20"/>
        </w:rPr>
        <w:t>a)</w:t>
      </w:r>
      <w:r>
        <w:rPr>
          <w:color w:val="000000"/>
        </w:rPr>
        <w:t>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360"/>
        <w:jc w:val="both"/>
        <w:rPr/>
      </w:pPr>
      <w:r>
        <w:rPr>
          <w:rFonts w:ascii="Arial;sans-serif" w:hAnsi="Arial;sans-serif"/>
          <w:b w:val="false"/>
          <w:color w:val="000000"/>
          <w:sz w:val="20"/>
        </w:rPr>
        <w:t>b)</w:t>
      </w:r>
      <w:r>
        <w:rPr>
          <w:color w:val="000000"/>
        </w:rPr>
        <w:t>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240"/>
        <w:ind w:left="0" w:right="0" w:hanging="360"/>
        <w:jc w:val="both"/>
        <w:rPr/>
      </w:pPr>
      <w:r>
        <w:rPr>
          <w:rFonts w:ascii="Arial;sans-serif" w:hAnsi="Arial;sans-serif"/>
          <w:b w:val="false"/>
          <w:color w:val="000000"/>
          <w:sz w:val="20"/>
        </w:rPr>
        <w:t>c)</w:t>
      </w:r>
      <w:r>
        <w:rPr>
          <w:color w:val="000000"/>
        </w:rPr>
        <w:t>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360"/>
        <w:jc w:val="both"/>
        <w:rPr/>
      </w:pPr>
      <w:r>
        <w:rPr>
          <w:rFonts w:ascii="Arial;sans-serif" w:hAnsi="Arial;sans-serif"/>
          <w:b w:val="false"/>
          <w:color w:val="000000"/>
          <w:sz w:val="20"/>
        </w:rPr>
        <w:t>d)</w:t>
      </w:r>
      <w:r>
        <w:rPr>
          <w:color w:val="000000"/>
        </w:rPr>
        <w:t>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60"/>
        <w:jc w:val="both"/>
        <w:rPr/>
      </w:pPr>
      <w:r>
        <w:rPr>
          <w:rFonts w:ascii="Arial;sans-serif" w:hAnsi="Arial;sans-serif"/>
          <w:b w:val="false"/>
          <w:color w:val="000000"/>
          <w:sz w:val="20"/>
        </w:rPr>
        <w:t>5.</w:t>
      </w:r>
      <w:r>
        <w:rPr>
          <w:color w:val="000000"/>
        </w:rPr>
        <w:t>    </w:t>
      </w:r>
      <w:r>
        <w:rPr>
          <w:rFonts w:ascii="Arial;sans-serif" w:hAnsi="Arial;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360"/>
        <w:jc w:val="both"/>
        <w:rPr/>
      </w:pPr>
      <w:r>
        <w:rPr>
          <w:rFonts w:ascii="Arial;sans-serif" w:hAnsi="Arial;sans-serif"/>
          <w:b w:val="false"/>
          <w:color w:val="000000"/>
          <w:sz w:val="20"/>
        </w:rPr>
        <w:t>a)</w:t>
      </w:r>
      <w:r>
        <w:rPr>
          <w:color w:val="000000"/>
        </w:rPr>
        <w:t>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360"/>
        <w:jc w:val="both"/>
        <w:rPr/>
      </w:pPr>
      <w:r>
        <w:rPr>
          <w:rFonts w:ascii="Arial;sans-serif" w:hAnsi="Arial;sans-serif"/>
          <w:b w:val="false"/>
          <w:color w:val="000000"/>
          <w:sz w:val="20"/>
        </w:rPr>
        <w:t>b)</w:t>
      </w:r>
      <w:r>
        <w:rPr>
          <w:color w:val="000000"/>
        </w:rPr>
        <w:t>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240"/>
        <w:ind w:left="0" w:right="0" w:hanging="360"/>
        <w:jc w:val="both"/>
        <w:rPr/>
      </w:pPr>
      <w:r>
        <w:rPr/>
      </w:r>
    </w:p>
    <w:p>
      <w:pPr>
        <w:pStyle w:val="TextBody"/>
        <w:bidi w:val="0"/>
        <w:spacing w:lineRule="auto" w:line="240" w:before="0" w:after="0"/>
        <w:jc w:val="left"/>
        <w:rPr/>
      </w:pPr>
      <w:r>
        <w:rPr>
          <w:rFonts w:ascii="Arial;sans-serif" w:hAnsi="Arial;sans-serif"/>
          <w:b w:val="false"/>
          <w:color w:val="000000"/>
          <w:sz w:val="20"/>
        </w:rPr>
        <w:t>September 8, 2026        </w:t>
      </w:r>
      <w:r>
        <w:rPr>
          <w:color w:val="000000"/>
        </w:rPr>
        <w:t xml:space="preserve">     </w:t>
      </w:r>
      <w:r>
        <w:rPr>
          <w:rFonts w:ascii="Arial;sans-serif" w:hAnsi="Arial;sans-serif"/>
          <w:b w:val="false"/>
          <w:color w:val="000000"/>
          <w:sz w:val="20"/>
          <w:u w:val="single"/>
        </w:rPr>
        <w:t>/s/ Scott Salmirs                </w:t>
      </w:r>
      <w:r>
        <w:rPr>
          <w:color w:val="000000"/>
        </w:rPr>
        <w:t>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Scott Salmirs</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PURSUANT TO SECURITIES EXCHANGE ACT OF 1934</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RULE 13a-14(a) OR 15d-14(a)</w:t>
      </w:r>
    </w:p>
    <w:p>
      <w:pPr>
        <w:pStyle w:val="TextBody"/>
        <w:bidi w:val="0"/>
        <w:spacing w:before="0" w:after="0"/>
        <w:jc w:val="both"/>
        <w:rPr/>
      </w:pPr>
      <w:r>
        <w:rPr/>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I, David M. Orr, certify that:</w:t>
      </w:r>
    </w:p>
    <w:p>
      <w:pPr>
        <w:pStyle w:val="TextBody"/>
        <w:bidi w:val="0"/>
        <w:spacing w:lineRule="auto" w:line="240" w:before="0" w:after="240"/>
        <w:ind w:left="0" w:right="0" w:hanging="360"/>
        <w:jc w:val="both"/>
        <w:rPr/>
      </w:pPr>
      <w:r>
        <w:rPr>
          <w:rFonts w:ascii="Arial;sans-serif" w:hAnsi="Arial;sans-serif"/>
          <w:b w:val="false"/>
          <w:color w:val="000000"/>
          <w:sz w:val="20"/>
        </w:rPr>
        <w:t>1.</w:t>
      </w:r>
      <w:r>
        <w:rPr>
          <w:color w:val="000000"/>
        </w:rPr>
        <w:t>    </w:t>
      </w:r>
      <w:r>
        <w:rPr>
          <w:rFonts w:ascii="Arial;sans-serif" w:hAnsi="Arial;sans-serif"/>
          <w:b w:val="false"/>
          <w:color w:val="000000"/>
          <w:sz w:val="20"/>
        </w:rPr>
        <w:t>I have reviewed this Quarterly Report on Form 10-Q of ABM Industries Incorporated;</w:t>
      </w:r>
    </w:p>
    <w:p>
      <w:pPr>
        <w:pStyle w:val="TextBody"/>
        <w:bidi w:val="0"/>
        <w:spacing w:lineRule="auto" w:line="240" w:before="0" w:after="240"/>
        <w:ind w:left="0" w:right="0" w:hanging="360"/>
        <w:jc w:val="both"/>
        <w:rPr/>
      </w:pPr>
      <w:r>
        <w:rPr>
          <w:rFonts w:ascii="Arial;sans-serif" w:hAnsi="Arial;sans-serif"/>
          <w:b w:val="false"/>
          <w:color w:val="000000"/>
          <w:sz w:val="20"/>
        </w:rPr>
        <w:t>2.</w:t>
      </w:r>
      <w:r>
        <w:rPr>
          <w:color w:val="000000"/>
        </w:rPr>
        <w:t>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360"/>
        <w:jc w:val="both"/>
        <w:rPr/>
      </w:pPr>
      <w:r>
        <w:rPr>
          <w:rFonts w:ascii="Arial;sans-serif" w:hAnsi="Arial;sans-serif"/>
          <w:b w:val="false"/>
          <w:color w:val="000000"/>
          <w:sz w:val="20"/>
        </w:rPr>
        <w:t>3.</w:t>
      </w:r>
      <w:r>
        <w:rPr>
          <w:color w:val="000000"/>
        </w:rPr>
        <w:t>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360"/>
        <w:jc w:val="both"/>
        <w:rPr/>
      </w:pPr>
      <w:r>
        <w:rPr>
          <w:rFonts w:ascii="Arial;sans-serif" w:hAnsi="Arial;sans-serif"/>
          <w:b w:val="false"/>
          <w:color w:val="000000"/>
          <w:sz w:val="20"/>
        </w:rPr>
        <w:t>4.</w:t>
      </w:r>
      <w:r>
        <w:rPr>
          <w:color w:val="000000"/>
        </w:rPr>
        <w:t>    </w:t>
      </w:r>
      <w:r>
        <w:rPr>
          <w:rFonts w:ascii="Arial;sans-serif" w:hAnsi="Arial;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360"/>
        <w:jc w:val="both"/>
        <w:rPr/>
      </w:pPr>
      <w:r>
        <w:rPr>
          <w:rFonts w:ascii="Arial;sans-serif" w:hAnsi="Arial;sans-serif"/>
          <w:b w:val="false"/>
          <w:color w:val="000000"/>
          <w:sz w:val="20"/>
        </w:rPr>
        <w:t>a)</w:t>
      </w:r>
      <w:r>
        <w:rPr>
          <w:color w:val="000000"/>
        </w:rPr>
        <w:t>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360"/>
        <w:jc w:val="both"/>
        <w:rPr/>
      </w:pPr>
      <w:r>
        <w:rPr>
          <w:rFonts w:ascii="Arial;sans-serif" w:hAnsi="Arial;sans-serif"/>
          <w:b w:val="false"/>
          <w:color w:val="000000"/>
          <w:sz w:val="20"/>
        </w:rPr>
        <w:t>b)</w:t>
      </w:r>
      <w:r>
        <w:rPr>
          <w:color w:val="000000"/>
        </w:rPr>
        <w:t>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240"/>
        <w:ind w:left="0" w:right="0" w:hanging="360"/>
        <w:jc w:val="both"/>
        <w:rPr/>
      </w:pPr>
      <w:r>
        <w:rPr>
          <w:rFonts w:ascii="Arial;sans-serif" w:hAnsi="Arial;sans-serif"/>
          <w:b w:val="false"/>
          <w:color w:val="000000"/>
          <w:sz w:val="20"/>
        </w:rPr>
        <w:t>c)</w:t>
      </w:r>
      <w:r>
        <w:rPr>
          <w:color w:val="000000"/>
        </w:rPr>
        <w:t>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360"/>
        <w:jc w:val="both"/>
        <w:rPr/>
      </w:pPr>
      <w:r>
        <w:rPr>
          <w:rFonts w:ascii="Arial;sans-serif" w:hAnsi="Arial;sans-serif"/>
          <w:b w:val="false"/>
          <w:color w:val="000000"/>
          <w:sz w:val="20"/>
        </w:rPr>
        <w:t>d)</w:t>
      </w:r>
      <w:r>
        <w:rPr>
          <w:color w:val="000000"/>
        </w:rPr>
        <w:t>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60"/>
        <w:jc w:val="both"/>
        <w:rPr/>
      </w:pPr>
      <w:r>
        <w:rPr>
          <w:rFonts w:ascii="Arial;sans-serif" w:hAnsi="Arial;sans-serif"/>
          <w:b w:val="false"/>
          <w:color w:val="000000"/>
          <w:sz w:val="20"/>
        </w:rPr>
        <w:t>5.</w:t>
      </w:r>
      <w:r>
        <w:rPr>
          <w:color w:val="000000"/>
        </w:rPr>
        <w:t>    </w:t>
      </w:r>
      <w:r>
        <w:rPr>
          <w:rFonts w:ascii="Arial;sans-serif" w:hAnsi="Arial;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360"/>
        <w:jc w:val="both"/>
        <w:rPr/>
      </w:pPr>
      <w:r>
        <w:rPr>
          <w:rFonts w:ascii="Arial;sans-serif" w:hAnsi="Arial;sans-serif"/>
          <w:b w:val="false"/>
          <w:color w:val="000000"/>
          <w:sz w:val="20"/>
        </w:rPr>
        <w:t>a)</w:t>
      </w:r>
      <w:r>
        <w:rPr>
          <w:color w:val="000000"/>
        </w:rPr>
        <w:t>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360"/>
        <w:jc w:val="both"/>
        <w:rPr/>
      </w:pPr>
      <w:r>
        <w:rPr>
          <w:rFonts w:ascii="Arial;sans-serif" w:hAnsi="Arial;sans-serif"/>
          <w:b w:val="false"/>
          <w:color w:val="000000"/>
          <w:sz w:val="20"/>
        </w:rPr>
        <w:t>b)</w:t>
      </w:r>
      <w:r>
        <w:rPr>
          <w:color w:val="000000"/>
        </w:rPr>
        <w:t>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pPr>
      <w:r>
        <w:rPr>
          <w:rFonts w:ascii="Arial;sans-serif" w:hAnsi="Arial;sans-serif"/>
          <w:b w:val="false"/>
          <w:color w:val="000000"/>
          <w:sz w:val="20"/>
        </w:rPr>
        <w:t>September 8, 2026</w:t>
      </w:r>
      <w:r>
        <w:rPr>
          <w:color w:val="000000"/>
        </w:rPr>
        <w:t xml:space="preserve">                  </w:t>
      </w:r>
      <w:r>
        <w:rPr>
          <w:rFonts w:ascii="Arial;sans-serif" w:hAnsi="Arial;sans-serif"/>
          <w:b w:val="false"/>
          <w:color w:val="000000"/>
          <w:sz w:val="20"/>
          <w:u w:val="single"/>
        </w:rPr>
        <w:t>/s/ David M. Orr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M. Orr</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Officer)</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EXHIBIT 32</w:t>
      </w:r>
    </w:p>
    <w:p>
      <w:pPr>
        <w:pStyle w:val="TextBody"/>
        <w:bidi w:val="0"/>
        <w:spacing w:before="0" w:after="0"/>
        <w:jc w:val="righ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CERTIFICATIONS PURSUANT TO SECURITIES EXCHANGE ACT OF 1934</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RULE 13a-14(b) OR 15d-14(b) AND</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of ABM Industries Incorporated (the “Company”) for the quarter ended July 31, 2026, as filed with the Securities and Exchange Commission on the date hereof (the “Report”), Scott Salmirs, Chief Executive Officer of the Company, and David M. Orr,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bidi w:val="0"/>
        <w:spacing w:lineRule="auto" w:line="240" w:before="180" w:after="283"/>
        <w:ind w:left="0" w:right="0" w:hanging="720"/>
        <w:jc w:val="both"/>
        <w:rPr/>
      </w:pPr>
      <w:r>
        <w:rPr>
          <w:rFonts w:ascii="Arial;sans-serif" w:hAnsi="Arial;sans-serif"/>
          <w:b w:val="false"/>
          <w:color w:val="000000"/>
          <w:sz w:val="20"/>
        </w:rPr>
        <w:t>(1)</w:t>
      </w:r>
      <w:r>
        <w:rPr>
          <w:color w:val="000000"/>
        </w:rPr>
        <w:t>    </w:t>
      </w:r>
      <w:r>
        <w:rPr>
          <w:rFonts w:ascii="Arial;sans-serif" w:hAnsi="Arial;sans-serif"/>
          <w:b w:val="false"/>
          <w:color w:val="000000"/>
          <w:sz w:val="20"/>
        </w:rPr>
        <w:t>the Report fully complies with the requirements of Section 13(a) or 15(d) of the Exchange Act; and</w:t>
      </w:r>
    </w:p>
    <w:p>
      <w:pPr>
        <w:pStyle w:val="TextBody"/>
        <w:bidi w:val="0"/>
        <w:spacing w:lineRule="auto" w:line="240" w:before="180" w:after="283"/>
        <w:ind w:left="0" w:right="0" w:hanging="720"/>
        <w:jc w:val="both"/>
        <w:rPr/>
      </w:pPr>
      <w:r>
        <w:rPr>
          <w:rFonts w:ascii="Arial;sans-serif" w:hAnsi="Arial;sans-serif"/>
          <w:b w:val="false"/>
          <w:color w:val="000000"/>
          <w:sz w:val="20"/>
        </w:rPr>
        <w:t>(2)</w:t>
      </w:r>
      <w:r>
        <w:rPr>
          <w:color w:val="000000"/>
        </w:rPr>
        <w:t>    </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000000"/>
          <w:sz w:val="20"/>
        </w:rPr>
        <w:t>September 8, 2026            </w:t>
      </w:r>
      <w:r>
        <w:rPr>
          <w:color w:val="000000"/>
        </w:rPr>
        <w:t xml:space="preserve">     </w:t>
      </w:r>
      <w:r>
        <w:rPr>
          <w:rFonts w:ascii="Arial;sans-serif" w:hAnsi="Arial;sans-serif"/>
          <w:b w:val="false"/>
          <w:color w:val="000000"/>
          <w:sz w:val="20"/>
          <w:u w:val="single"/>
        </w:rPr>
        <w:t>/s/ Scott Salmirs                </w:t>
      </w:r>
      <w:r>
        <w:rPr>
          <w:color w:val="000000"/>
        </w:rPr>
        <w:t>    </w: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Scott Salmirs</w: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(Principal Executive Officer)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pPr>
      <w:r>
        <w:rPr>
          <w:rFonts w:ascii="Arial;sans-serif" w:hAnsi="Arial;sans-serif"/>
          <w:b w:val="false"/>
          <w:color w:val="000000"/>
          <w:sz w:val="20"/>
        </w:rPr>
        <w:t>September 8, 2026</w:t>
      </w:r>
      <w:r>
        <w:rPr>
          <w:color w:val="000000"/>
        </w:rPr>
        <w:t xml:space="preserve">                      </w:t>
      </w:r>
      <w:r>
        <w:rPr>
          <w:rFonts w:ascii="Arial;sans-serif" w:hAnsi="Arial;sans-serif"/>
          <w:b w:val="false"/>
          <w:color w:val="000000"/>
          <w:sz w:val="20"/>
          <w:u w:val="single"/>
        </w:rPr>
        <w:t>/s/ David M. Orr                </w: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David M. Orr</w: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(Principal Financial Officer)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20647</Words>
  <Characters>115486</Characters>
  <CharactersWithSpaces>134657</CharactersWithSpaces>
  <Paragraphs>3028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