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bm-20260908.htm"/>
      <w:bookmarkStart w:id="1" w:name="ksabm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ABM INDUSTRIES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1-8929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94-1369354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Liberty Plaza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297-0200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8, 2026, ABM Industries Incorporated (the "Company") issued a press release announcing financial results related to the quarter ended July 31, 2026. A copy of the press release is being furnished as Exhibit 99.1 to this Form 8-K, which is incorporated into this item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September 8, 2026, the Company announced that the Board of Directors of the Company declared a quarterly dividend of $0.29 per share, payable November 2, 2026 to stockholders of record on October 1, 2026.</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abm-ex99_1.htm">
              <w:r>
                <w:rPr>
                  <w:rStyle w:val="InternetLink"/>
                  <w:rFonts w:ascii="Times New Roman" w:hAnsi="Times New Roman"/>
                  <w:color w:val="0000FF"/>
                  <w:sz w:val="20"/>
                  <w:u w:val="single"/>
                </w:rPr>
                <w:t>Press Release issued by ABM Industries Incorporated, dated September 8, 2026, announcing financial results related to the quarter ended July 31, 2026, and the declaration of a dividend payable November 2, 2026, to stockholders of record on October 1,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44" w:type="dxa"/>
        <w:jc w:val="left"/>
        <w:tblInd w:w="0" w:type="dxa"/>
        <w:tblLayout w:type="fixed"/>
        <w:tblCellMar>
          <w:top w:w="28" w:type="dxa"/>
          <w:left w:w="28" w:type="dxa"/>
          <w:bottom w:w="28" w:type="dxa"/>
          <w:right w:w="28" w:type="dxa"/>
        </w:tblCellMar>
      </w:tblPr>
      <w:tblGrid>
        <w:gridCol w:w="556"/>
        <w:gridCol w:w="1621"/>
        <w:gridCol w:w="45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ABM INDUSTRIES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R. Goldman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R. Goldman</w:t>
              <w:br/>
              <w:t>Vice President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bm-ex99_1.htm"/>
      <w:bookmarkStart w:id="3" w:name="ksabmex99_1"/>
      <w:bookmarkEnd w:id="2"/>
      <w:bookmarkEnd w:id="3"/>
      <w:r>
        <w:rPr/>
        <w:t> </w:t>
      </w:r>
      <w:r>
        <w:br w:type="page"/>
      </w:r>
    </w:p>
    <w:p>
      <w:pPr>
        <w:pStyle w:val="TextBody"/>
        <w:bidi w:val="0"/>
        <w:jc w:val="left"/>
        <w:rPr/>
      </w:pPr>
      <w:bookmarkStart w:id="4" w:name="section1"/>
      <w:bookmarkEnd w:id="4"/>
      <w:r>
        <w:rPr/>
        <w:t> </w:t>
      </w:r>
    </w:p>
    <w:p>
      <w:pPr>
        <w:pStyle w:val="TextBody"/>
        <w:bidi w:val="0"/>
        <w:jc w:val="left"/>
        <w:rPr/>
      </w:pPr>
      <w:r>
        <w:rPr/>
        <w:drawing>
          <wp:inline distT="0" distB="0" distL="0" distR="0">
            <wp:extent cx="13716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048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b/>
          <w:color w:val="0046AD"/>
          <w:sz w:val="24"/>
        </w:rPr>
      </w:pPr>
      <w:r>
        <w:rPr>
          <w:rFonts w:ascii="Arial" w:hAnsi="Arial"/>
          <w:b/>
          <w:color w:val="0046AD"/>
          <w:sz w:val="24"/>
        </w:rPr>
        <w:t>ABM REPORTS FISCAL THIRD QUARTER 2026 RESULTS</w:t>
      </w:r>
    </w:p>
    <w:p>
      <w:pPr>
        <w:pStyle w:val="TextBody"/>
        <w:bidi w:val="0"/>
        <w:spacing w:before="180" w:after="283"/>
        <w:jc w:val="center"/>
        <w:rPr>
          <w:rFonts w:ascii="Arial" w:hAnsi="Arial"/>
          <w:b/>
          <w:color w:val="0046AD"/>
          <w:sz w:val="24"/>
        </w:rPr>
      </w:pPr>
      <w:r>
        <w:rPr>
          <w:rFonts w:ascii="Arial" w:hAnsi="Arial"/>
          <w:b/>
          <w:color w:val="0046AD"/>
          <w:sz w:val="24"/>
        </w:rPr>
        <w:t>Raises Midpoint of Outlook For Fiscal 2026 Adjusted EPS and Increases Free Cash Flow Expectations</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Revenue increased 4.2% to a quarterly record of $2.3 billion, including organic growth of 2.1% and acquisition-related growth of 2.1%</w:t>
      </w:r>
    </w:p>
    <w:p>
      <w:pPr>
        <w:pStyle w:val="TextBody"/>
        <w:bidi w:val="0"/>
        <w:spacing w:before="0" w:after="0"/>
        <w:jc w:val="left"/>
        <w:rPr>
          <w:color w:val="242424"/>
        </w:rPr>
      </w:pPr>
      <w:r>
        <w:rPr>
          <w:color w:val="242424"/>
        </w:rPr>
        <w:t>•</w:t>
      </w:r>
    </w:p>
    <w:p>
      <w:pPr>
        <w:pStyle w:val="TextBody"/>
        <w:bidi w:val="0"/>
        <w:spacing w:before="0" w:after="0"/>
        <w:jc w:val="left"/>
        <w:rPr>
          <w:rFonts w:ascii="Arial" w:hAnsi="Arial"/>
          <w:i/>
          <w:color w:val="000000"/>
          <w:sz w:val="22"/>
        </w:rPr>
      </w:pPr>
      <w:r>
        <w:rPr>
          <w:rFonts w:ascii="Arial" w:hAnsi="Arial"/>
          <w:i/>
          <w:color w:val="000000"/>
          <w:sz w:val="22"/>
        </w:rPr>
        <w:t xml:space="preserve">Net income increased 19% to $49.7 million, or $0.84 per diluted share, as compared to $41.8 million, or $0.67, in the prior year </w:t>
      </w:r>
    </w:p>
    <w:p>
      <w:pPr>
        <w:pStyle w:val="TextBody"/>
        <w:bidi w:val="0"/>
        <w:spacing w:before="0" w:after="0"/>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Fonts w:ascii="Arial" w:hAnsi="Arial"/>
          <w:i/>
          <w:color w:val="000000"/>
          <w:sz w:val="22"/>
        </w:rPr>
        <w:t>Adjusted net income grew 19%</w:t>
      </w:r>
      <w:r>
        <w:rPr>
          <w:color w:val="000000"/>
        </w:rPr>
        <w:t xml:space="preserve"> </w:t>
      </w:r>
      <w:r>
        <w:rPr>
          <w:rFonts w:ascii="Arial" w:hAnsi="Arial"/>
          <w:i/>
          <w:color w:val="000000"/>
          <w:sz w:val="22"/>
        </w:rPr>
        <w:t>to $61.5 million, or $1.04 per diluted share, versus $51.7 million, or $0.82, in the prior year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i/>
          <w:color w:val="000000"/>
          <w:sz w:val="22"/>
        </w:rPr>
        <w:t>Adjusted EBITDA improved 11%</w:t>
      </w:r>
      <w:r>
        <w:rPr>
          <w:rFonts w:ascii="Arial" w:hAnsi="Arial"/>
          <w:color w:val="000000"/>
          <w:sz w:val="20"/>
        </w:rPr>
        <w:t xml:space="preserve"> </w:t>
      </w:r>
      <w:r>
        <w:rPr>
          <w:rFonts w:ascii="Arial" w:hAnsi="Arial"/>
          <w:i/>
          <w:color w:val="000000"/>
          <w:sz w:val="22"/>
        </w:rPr>
        <w:t>to $139.6 million, versus $125.8 million last yea</w:t>
      </w:r>
      <w:r>
        <w:rPr>
          <w:rFonts w:ascii="Arial" w:hAnsi="Arial"/>
          <w:color w:val="000000"/>
          <w:sz w:val="22"/>
        </w:rPr>
        <w:t>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Operating cash flow was $146.8 million and free cash flow totaled $128.4 million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 xml:space="preserve">Through nine months, operating cash flow was $275.0 million and free cash flow was $199.6 million, both significantly improved over the prior year period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2"/>
        </w:rPr>
      </w:pPr>
      <w:r>
        <w:rPr>
          <w:rFonts w:ascii="Arial" w:hAnsi="Arial"/>
          <w:i/>
          <w:color w:val="000000"/>
          <w:sz w:val="22"/>
        </w:rPr>
        <w:t>Company raises outlook for full year adjusted EPS and operating cash flow and free cash flow</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NEW YORK, NY - September 8, 2026 - ABM (NYSE: ABM), a leading provider of facility, engineering and infrastructure solutions, today announced financial results for its fiscal third quarter ended July 31, 2026</w:t>
      </w:r>
    </w:p>
    <w:p>
      <w:pPr>
        <w:pStyle w:val="TextBody"/>
        <w:bidi w:val="0"/>
        <w:jc w:val="both"/>
        <w:rPr/>
      </w:pPr>
      <w:r>
        <w:rPr/>
        <w:t> </w:t>
      </w:r>
    </w:p>
    <w:p>
      <w:pPr>
        <w:pStyle w:val="TextBody"/>
        <w:bidi w:val="0"/>
        <w:jc w:val="both"/>
        <w:rPr>
          <w:rFonts w:ascii="Arial" w:hAnsi="Arial"/>
          <w:color w:val="212121"/>
          <w:sz w:val="22"/>
        </w:rPr>
      </w:pPr>
      <w:r>
        <w:rPr>
          <w:rFonts w:ascii="Arial" w:hAnsi="Arial"/>
          <w:color w:val="212121"/>
          <w:sz w:val="22"/>
        </w:rPr>
        <w:t xml:space="preserve">"Our third quarter results reflected strong operational and financial performance, including record quarterly revenue, robust EPS growth and substantial cash generation. Our team executed well and delivered on our expectations despite a backdrop of macro uncertainty and adverse timing of certain projects," said Scott Salmirs, President and Chief Executive Officer. "Aviation and Manufacturing &amp; Distribution ("M&amp;D") delivered strong organic revenue growth, with M&amp;D benefiting from healthy technology markets and further supported by our recent WGNstar acquisition. Technical Solutions ("ATS") revenue growth was impacted by some project deferrals, while Business &amp; Industry ("B&amp;I") revenue performance was largely as anticipated. We expect ATS to ramp sequentially in the fourth quarter as we execute on many of the deferred projects." </w:t>
      </w:r>
    </w:p>
    <w:p>
      <w:pPr>
        <w:pStyle w:val="TextBody"/>
        <w:bidi w:val="0"/>
        <w:jc w:val="both"/>
        <w:rPr/>
      </w:pPr>
      <w:r>
        <w:rPr/>
        <w:t> </w:t>
      </w:r>
    </w:p>
    <w:p>
      <w:pPr>
        <w:pStyle w:val="TextBody"/>
        <w:bidi w:val="0"/>
        <w:jc w:val="both"/>
        <w:rPr>
          <w:rFonts w:ascii="Arial" w:hAnsi="Arial"/>
          <w:color w:val="212121"/>
          <w:sz w:val="22"/>
        </w:rPr>
      </w:pPr>
      <w:r>
        <w:rPr>
          <w:rFonts w:ascii="Arial" w:hAnsi="Arial"/>
          <w:color w:val="212121"/>
          <w:sz w:val="22"/>
        </w:rPr>
        <w:t>Mr. Salmirs continued, "Disciplined working capital management drove exceptional year-to-date free cash flow, which in turn accelerated our deleveraging ahead of schedule. We also secured a $300 million accounts receivable facility at favorable rates, further strengthening our capital structure. And our focus on cost discipline resulted in a $3 million reduction in ongoing corporate costs versus the prior year. Together, these actions contributed to our third quarter results and helped keep us on track to deliver on our full-year outlook, as well as provide longer-term benefits."</w:t>
      </w:r>
    </w:p>
    <w:p>
      <w:pPr>
        <w:pStyle w:val="TextBody"/>
        <w:bidi w:val="0"/>
        <w:jc w:val="both"/>
        <w:rPr/>
      </w:pPr>
      <w:r>
        <w:rPr/>
        <w:t> </w:t>
      </w:r>
    </w:p>
    <w:p>
      <w:pPr>
        <w:pStyle w:val="TextBody"/>
        <w:bidi w:val="0"/>
        <w:jc w:val="both"/>
        <w:rPr>
          <w:rFonts w:ascii="Arial" w:hAnsi="Arial"/>
          <w:color w:val="212121"/>
          <w:sz w:val="22"/>
        </w:rPr>
      </w:pPr>
      <w:r>
        <w:rPr>
          <w:rFonts w:ascii="Arial" w:hAnsi="Arial"/>
          <w:color w:val="212121"/>
          <w:sz w:val="22"/>
        </w:rPr>
        <w:t xml:space="preserve">Mr. Salmirs concluded, "As we enter the fourth quarter, we are focused on finishing the year strong and executing with discipline. We are raising the midpoint of our adjusted EPS outlook and increasing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Arial" w:hAnsi="Arial"/>
          <w:color w:val="212121"/>
          <w:sz w:val="22"/>
        </w:rPr>
      </w:pPr>
      <w:r>
        <w:rPr>
          <w:rFonts w:ascii="Arial" w:hAnsi="Arial"/>
          <w:color w:val="212121"/>
          <w:sz w:val="22"/>
        </w:rPr>
        <w:t>our expectations for full year free cash flow based on our strong third quarter results, and are confident in our ability to achieve it."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Third Quarter Fiscal 2026 Results</w:t>
      </w:r>
    </w:p>
    <w:p>
      <w:pPr>
        <w:pStyle w:val="TextBody"/>
        <w:bidi w:val="0"/>
        <w:jc w:val="both"/>
        <w:rPr/>
      </w:pPr>
      <w:r>
        <w:rPr/>
        <w:t> </w:t>
      </w:r>
    </w:p>
    <w:p>
      <w:pPr>
        <w:pStyle w:val="TextBody"/>
        <w:bidi w:val="0"/>
        <w:jc w:val="both"/>
        <w:rPr>
          <w:rFonts w:ascii="Arial" w:hAnsi="Arial"/>
          <w:sz w:val="22"/>
        </w:rPr>
      </w:pPr>
      <w:r>
        <w:rPr>
          <w:rFonts w:ascii="Arial" w:hAnsi="Arial"/>
          <w:color w:val="000000"/>
          <w:sz w:val="22"/>
        </w:rPr>
        <w:t>Revenue increased 4.2% year over year to a record of $2.3 billion, including 2.1% organic growth and 2.1% growth from acquisitions.</w:t>
      </w:r>
      <w:r>
        <w:rPr>
          <w:rFonts w:ascii="Arial" w:hAnsi="Arial"/>
          <w:color w:val="242424"/>
          <w:sz w:val="22"/>
        </w:rPr>
        <w:t xml:space="preserve"> Revenue growth was led by M&amp;D and Aviation, which grew </w:t>
      </w:r>
      <w:r>
        <w:rPr>
          <w:rFonts w:ascii="Arial" w:hAnsi="Arial"/>
          <w:color w:val="000000"/>
          <w:sz w:val="22"/>
        </w:rPr>
        <w:t xml:space="preserve">18% and 12%, respectively. </w:t>
      </w:r>
      <w:r>
        <w:rPr>
          <w:rFonts w:ascii="Arial" w:hAnsi="Arial"/>
          <w:color w:val="242424"/>
          <w:sz w:val="22"/>
        </w:rPr>
        <w:t xml:space="preserve">M&amp;D’s growth was </w:t>
      </w:r>
      <w:r>
        <w:rPr>
          <w:rFonts w:ascii="Arial" w:hAnsi="Arial"/>
          <w:color w:val="000000"/>
          <w:sz w:val="22"/>
        </w:rPr>
        <w:t>driven by</w:t>
      </w:r>
      <w:r>
        <w:rPr>
          <w:rFonts w:ascii="Arial" w:hAnsi="Arial"/>
          <w:color w:val="242424"/>
          <w:sz w:val="22"/>
        </w:rPr>
        <w:t xml:space="preserve"> the WGNstar acquisition, recent client wins and ongoing expansions, especially in technology-related markets, while Aviation’s growth reflected </w:t>
      </w:r>
      <w:r>
        <w:rPr>
          <w:rFonts w:ascii="Arial" w:hAnsi="Arial"/>
          <w:color w:val="000000"/>
          <w:sz w:val="22"/>
        </w:rPr>
        <w:t xml:space="preserve">healthy air travel trends and the continued ramp of the recently won London Heathrow contract. ATS grew 4%, driven by strong HVAC activity and contributions from its recent acquisition; however, revenue was below expectations due to the deferral of certain projects by a large client. Education grew modestly, while </w:t>
      </w:r>
      <w:r>
        <w:rPr>
          <w:rFonts w:ascii="Arial" w:hAnsi="Arial"/>
          <w:color w:val="242424"/>
          <w:sz w:val="22"/>
        </w:rPr>
        <w:t>Business &amp; Industry (“</w:t>
      </w:r>
      <w:r>
        <w:rPr>
          <w:rFonts w:ascii="Arial" w:hAnsi="Arial"/>
          <w:color w:val="000000"/>
          <w:sz w:val="22"/>
        </w:rPr>
        <w:t>B</w:t>
      </w:r>
      <w:r>
        <w:rPr>
          <w:rFonts w:ascii="Arial" w:hAnsi="Arial"/>
          <w:color w:val="242424"/>
          <w:sz w:val="22"/>
        </w:rPr>
        <w:t xml:space="preserve">&amp;I”) declined </w:t>
      </w:r>
      <w:r>
        <w:rPr>
          <w:rFonts w:ascii="Arial" w:hAnsi="Arial"/>
          <w:color w:val="000000"/>
          <w:sz w:val="22"/>
        </w:rPr>
        <w:t>2.6%, largely as expected, reflecting the previously announced exit of a large UK-based client and continued softness on the US west coast.</w:t>
      </w:r>
    </w:p>
    <w:p>
      <w:pPr>
        <w:pStyle w:val="TextBody"/>
        <w:bidi w:val="0"/>
        <w:jc w:val="both"/>
        <w:rPr/>
      </w:pPr>
      <w:r>
        <w:rPr/>
        <w:t> </w:t>
      </w:r>
    </w:p>
    <w:p>
      <w:pPr>
        <w:pStyle w:val="TextBody"/>
        <w:bidi w:val="0"/>
        <w:jc w:val="both"/>
        <w:rPr>
          <w:rFonts w:ascii="Arial" w:hAnsi="Arial"/>
          <w:sz w:val="20"/>
        </w:rPr>
      </w:pPr>
      <w:r>
        <w:rPr>
          <w:rFonts w:ascii="Arial" w:hAnsi="Arial"/>
          <w:color w:val="242424"/>
          <w:sz w:val="22"/>
        </w:rPr>
        <w:t>N</w:t>
      </w:r>
      <w:r>
        <w:rPr>
          <w:rFonts w:ascii="Arial" w:hAnsi="Arial"/>
          <w:color w:val="000000"/>
          <w:sz w:val="22"/>
        </w:rPr>
        <w:t xml:space="preserve">et income increased 19% to $49.7 million, or $0.84 per diluted share, compared to $41.8 million, or $0.67 per diluted share, in the prior year period. The increase in net income primarily reflects higher segment operating profit, lower tax expense and reduced ongoing corporate costs, partially offset by higher interest expense related to the WGNstar acquisition. EPS growth of </w:t>
      </w:r>
      <w:r>
        <w:rPr>
          <w:rFonts w:ascii="Arial" w:hAnsi="Arial"/>
          <w:color w:val="000000"/>
          <w:sz w:val="20"/>
        </w:rPr>
        <w:t xml:space="preserve">25% </w:t>
      </w:r>
      <w:r>
        <w:rPr>
          <w:rFonts w:ascii="Arial" w:hAnsi="Arial"/>
          <w:color w:val="000000"/>
          <w:sz w:val="22"/>
        </w:rPr>
        <w:t>was further driven by the Company’s share repurchase activities earlier in the year. Net income margin was 2.1% versus 1.9% in the prior year.</w:t>
      </w:r>
      <w:r>
        <w:rPr>
          <w:rFonts w:ascii="Arial" w:hAnsi="Arial"/>
          <w:color w:val="000000"/>
          <w:sz w:val="20"/>
        </w:rPr>
        <w:t xml:space="preser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Segment operating margin improved 40 basis points sequentially to 7.7%, essentially in line with the prior year, as operational efficiencies helped to offset pressures in Aviation and increased acquisition-related amortization in M&amp;D.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Adjusted net income increased 19% to $61.5 million, or $1.04 per diluted share, compared to $51.7 million, or $0.82 per diluted share in the prior year period. The year-over-year growth primarily reflects the factors discussed above, with per share results further benefiting from the Company's share repurchase activities.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Adjusted EBITDA increased 11% to $139.6 million compared to $125.8 million last year, largely reflecting higher segment operating profit and lower corporate costs.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Adjusted results exclude items impacting comparability. A description of items impacting comparability can be found in the “Reconciliation of Non-GAAP Financial Measures” table.</w:t>
      </w:r>
    </w:p>
    <w:p>
      <w:pPr>
        <w:pStyle w:val="TextBody"/>
        <w:bidi w:val="0"/>
        <w:jc w:val="both"/>
        <w:rPr/>
      </w:pPr>
      <w:r>
        <w:rPr/>
        <w:t> </w:t>
      </w:r>
    </w:p>
    <w:p>
      <w:pPr>
        <w:pStyle w:val="TextBody"/>
        <w:bidi w:val="0"/>
        <w:jc w:val="both"/>
        <w:rPr>
          <w:rFonts w:ascii="Arial" w:hAnsi="Arial"/>
          <w:color w:val="000000"/>
          <w:sz w:val="22"/>
        </w:rPr>
      </w:pPr>
      <w:bookmarkStart w:id="5" w:name="x0_1"/>
      <w:bookmarkEnd w:id="5"/>
      <w:r>
        <w:rPr>
          <w:rFonts w:ascii="Arial" w:hAnsi="Arial"/>
          <w:color w:val="000000"/>
          <w:sz w:val="22"/>
        </w:rPr>
        <w:t xml:space="preserve">Third quarter net cash provided by operating activities was $146.8 million, and free cash flow was $128.4 million, compared to $175.0 million and $150.2 million, respectively, in the prior year period.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For the nine months ended July 31, 2026, net cash provided by operating activities was $275.0 million, and free cash flow was $199.6 million, compared to $101.0 million and $42.4 million, respectively, in the prior year period. This significant improvement was primarily driven by strong working capital management and stabilization in the Company’s enterprise resource planning (“ERP”) system implementation. A reconciliation of net cash provided by operating activities to free cash flow can be found in the “Reconciliation of Non-GAAP Financial Measures” table.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Arial" w:hAnsi="Arial"/>
          <w:b/>
          <w:color w:val="0046AD"/>
          <w:sz w:val="22"/>
        </w:rPr>
      </w:pPr>
      <w:r>
        <w:rPr>
          <w:rFonts w:ascii="Arial" w:hAnsi="Arial"/>
          <w:b/>
          <w:color w:val="0046AD"/>
          <w:sz w:val="22"/>
        </w:rPr>
        <w:t>Leverage &amp; Liquidity</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At the end of the third quarter, the Company’s total indebtedness stood at $1.8 billion, including $22.4 million in standby letters of credit, resulting in a total leverage ratio of 2.9x, as defined by the Company's revolving credit facility. Available liquidity was $605.8 million, including $110.5 million in cash and cash equivalents. The Company expects to further reduce its total leverage ratio by fiscal year-end.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During the quarter, the Company entered into a $300 million trade receivables financing agreement, which diversifies its funding sources at favorable rates relative to its existing revolving credit facility.</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Quarterly Cash Dividend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After the quarter’s close, the Board declared a cash dividend of $0.29 per common share, payable on November 2, 2026, to shareholders of record on October 1, 2026.</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Outlook</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The Company's full year organic revenue growth outlook remains unchanged, with performance expected near the top end of the 3% to 4% range, and total revenue growth continues to be expected toward the top end of the 4% to 5% range. Segment operating margin, defined as total segment operating profit divided by total revenue, is now projected to be in the range of 7.7% to 7.8%, versus the previous range of 7.8% to 8.0%. Full-year interest expense remains forecast at approximately $110 million, and the normalized tax rate is still expected to be between 29% and 30%, excluding discrete and non-taxable items. The Company is raising the midpoint of its adjusted EPS outlook. The range is now $3.95 to $4.10, versus the previous range of $3.85 to $4.15, reflecting its third quarter performance and confidence in the Company’s ability to deliver a strong fourth quarter.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The Company is raising its full-year outlook for net cash provided from operations and free cash flow and now expects approximately $300 million and $210 million, respectively, with free cash flow up approximately $25 million from the prior outlook, driven by the strong year-to-date performance.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 cannot provide a reconciliation of forward-looking non-GAAP segment operating margin or adjusted EPS to the corresponding GAAP measure without unreasonable effort due to the uncertainty of timing and the magnitude of items such as acquisition and integration related costs, legal costs and other settlements. These items are inherently difficult to forecast and may result in a GAAP range that is too large and variable to be meaningful.</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Conference Call Information</w:t>
      </w:r>
    </w:p>
    <w:p>
      <w:pPr>
        <w:pStyle w:val="TextBody"/>
        <w:bidi w:val="0"/>
        <w:jc w:val="both"/>
        <w:rPr/>
      </w:pPr>
      <w:r>
        <w:rPr/>
        <w:t> </w:t>
      </w:r>
    </w:p>
    <w:p>
      <w:pPr>
        <w:pStyle w:val="TextBody"/>
        <w:bidi w:val="0"/>
        <w:jc w:val="both"/>
        <w:rPr>
          <w:rFonts w:ascii="Arial" w:hAnsi="Arial"/>
          <w:sz w:val="22"/>
        </w:rPr>
      </w:pPr>
      <w:r>
        <w:rPr>
          <w:rFonts w:ascii="Arial" w:hAnsi="Arial"/>
          <w:color w:val="000000"/>
          <w:sz w:val="22"/>
        </w:rPr>
        <w:t xml:space="preserve">ABM will host its quarterly conference call for all interested parties on Tuesday, September 8, 2026, at 8:30 AM (ET). The live conference call can be accessed via audio webcast at the “Investors” section of the Company's website, located at </w:t>
      </w:r>
      <w:r>
        <w:rPr>
          <w:rFonts w:ascii="Arial" w:hAnsi="Arial"/>
          <w:color w:val="0563C1"/>
          <w:sz w:val="22"/>
          <w:u w:val="single"/>
        </w:rPr>
        <w:t>www.abm.com</w:t>
      </w:r>
      <w:r>
        <w:rPr>
          <w:rFonts w:ascii="Arial" w:hAnsi="Arial"/>
          <w:color w:val="000000"/>
          <w:sz w:val="22"/>
        </w:rPr>
        <w:t xml:space="preserve">, or by dialing (877) 451-6152 (domestic) or (201) 389-0879 (international) approximately 15 minutes prior to the scheduled time. </w:t>
      </w:r>
    </w:p>
    <w:p>
      <w:pPr>
        <w:pStyle w:val="TextBody"/>
        <w:bidi w:val="0"/>
        <w:spacing w:before="180" w:after="283"/>
        <w:jc w:val="both"/>
        <w:rPr>
          <w:rFonts w:ascii="Arial" w:hAnsi="Arial"/>
          <w:color w:val="000000"/>
          <w:sz w:val="22"/>
        </w:rPr>
      </w:pPr>
      <w:r>
        <w:rPr>
          <w:rFonts w:ascii="Arial" w:hAnsi="Arial"/>
          <w:color w:val="000000"/>
          <w:sz w:val="22"/>
        </w:rPr>
        <w:t>A supplemental presentation will accompany the webcast on the Company's website.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Arial" w:hAnsi="Arial"/>
          <w:color w:val="000000"/>
          <w:sz w:val="22"/>
        </w:rPr>
      </w:pPr>
      <w:r>
        <w:rPr>
          <w:rFonts w:ascii="Arial" w:hAnsi="Arial"/>
          <w:color w:val="000000"/>
          <w:sz w:val="22"/>
        </w:rPr>
        <w:t>A replay will be available approximately three hours after the webcast through September 22, 2026, and can be accessed by dialing (844) 512-2921 and then entering ID #13761714. A replay link of the webcast will also be archived on the ABM website for 90 days.</w:t>
      </w:r>
    </w:p>
    <w:p>
      <w:pPr>
        <w:pStyle w:val="TextBody"/>
        <w:bidi w:val="0"/>
        <w:jc w:val="both"/>
        <w:rPr/>
      </w:pPr>
      <w:r>
        <w:rPr/>
        <w:t> </w:t>
      </w:r>
    </w:p>
    <w:p>
      <w:pPr>
        <w:pStyle w:val="TextBody"/>
        <w:bidi w:val="0"/>
        <w:jc w:val="both"/>
        <w:rPr>
          <w:rFonts w:ascii="Arial" w:hAnsi="Arial"/>
          <w:b/>
          <w:color w:val="0046AC"/>
          <w:sz w:val="22"/>
        </w:rPr>
      </w:pPr>
      <w:r>
        <w:rPr>
          <w:rFonts w:ascii="Arial" w:hAnsi="Arial"/>
          <w:b/>
          <w:color w:val="0046AC"/>
          <w:sz w:val="22"/>
        </w:rPr>
        <w:t>About ABM</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pStyle w:val="TextBody"/>
        <w:bidi w:val="0"/>
        <w:jc w:val="left"/>
        <w:rPr/>
      </w:pPr>
      <w:r>
        <w:rPr/>
        <w:t> </w:t>
      </w:r>
    </w:p>
    <w:p>
      <w:pPr>
        <w:pStyle w:val="TextBody"/>
        <w:bidi w:val="0"/>
        <w:jc w:val="both"/>
        <w:rPr>
          <w:rFonts w:ascii="Arial" w:hAnsi="Arial"/>
          <w:sz w:val="22"/>
        </w:rPr>
      </w:pPr>
      <w:r>
        <w:rPr>
          <w:rFonts w:ascii="Arial" w:hAnsi="Arial"/>
          <w:color w:val="000000"/>
          <w:sz w:val="22"/>
        </w:rPr>
        <w:t xml:space="preserve">For more information, visit </w:t>
      </w:r>
      <w:r>
        <w:rPr>
          <w:rFonts w:ascii="Arial" w:hAnsi="Arial"/>
          <w:sz w:val="22"/>
        </w:rPr>
        <w:t xml:space="preserve">www.abm.com </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Cautionary Statement under the Private Securities Litigation Reform Act of 1995</w:t>
      </w:r>
    </w:p>
    <w:p>
      <w:pPr>
        <w:pStyle w:val="TextBody"/>
        <w:bidi w:val="0"/>
        <w:jc w:val="both"/>
        <w:rPr/>
      </w:pPr>
      <w:r>
        <w:rPr/>
        <w:t> </w:t>
      </w:r>
    </w:p>
    <w:p>
      <w:pPr>
        <w:pStyle w:val="TextBody"/>
        <w:bidi w:val="0"/>
        <w:jc w:val="both"/>
        <w:rPr>
          <w:rFonts w:ascii="Arial" w:hAnsi="Arial"/>
          <w:sz w:val="22"/>
        </w:rPr>
      </w:pPr>
      <w:r>
        <w:rPr>
          <w:rFonts w:ascii="Arial" w:hAnsi="Arial"/>
          <w:i/>
          <w:color w:val="000000"/>
          <w:sz w:val="22"/>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w:t>
      </w:r>
      <w:r>
        <w:rPr>
          <w:rFonts w:ascii="Arial" w:hAnsi="Arial"/>
          <w:color w:val="000000"/>
          <w:sz w:val="22"/>
        </w:rPr>
        <w:t xml:space="preserve">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Arial" w:hAnsi="Arial"/>
          <w:i/>
          <w:color w:val="000000"/>
          <w:sz w:val="22"/>
        </w:rPr>
      </w:pPr>
      <w:r>
        <w:rPr>
          <w:rFonts w:ascii="Arial" w:hAnsi="Arial"/>
          <w:i/>
          <w:color w:val="000000"/>
          <w:sz w:val="22"/>
        </w:rPr>
        <w:t>affect our business; our ongoing implementation of new enterprise resource planning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may not realize the growth opportunities and synergies that are anticipated from the WGNSTAR acquisition;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pStyle w:val="TextBody"/>
        <w:bidi w:val="0"/>
        <w:jc w:val="both"/>
        <w:rPr/>
      </w:pPr>
      <w:r>
        <w:rPr/>
        <w:t> </w:t>
      </w:r>
    </w:p>
    <w:p>
      <w:pPr>
        <w:pStyle w:val="TextBody"/>
        <w:bidi w:val="0"/>
        <w:jc w:val="both"/>
        <w:rPr>
          <w:rFonts w:ascii="Arial" w:hAnsi="Arial"/>
          <w:b/>
          <w:color w:val="0046AD"/>
          <w:sz w:val="22"/>
        </w:rPr>
      </w:pPr>
      <w:r>
        <w:rPr>
          <w:rFonts w:ascii="Arial" w:hAnsi="Arial"/>
          <w:b/>
          <w:color w:val="0046AD"/>
          <w:sz w:val="22"/>
        </w:rPr>
        <w:t>Use of Non-GAAP Financial Information</w:t>
      </w:r>
    </w:p>
    <w:p>
      <w:pPr>
        <w:pStyle w:val="TextBody"/>
        <w:bidi w:val="0"/>
        <w:jc w:val="both"/>
        <w:rPr/>
      </w:pPr>
      <w:r>
        <w:rPr/>
        <w:t> </w:t>
      </w:r>
    </w:p>
    <w:p>
      <w:pPr>
        <w:pStyle w:val="TextBody"/>
        <w:bidi w:val="0"/>
        <w:jc w:val="both"/>
        <w:rPr>
          <w:rFonts w:ascii="Arial" w:hAnsi="Arial"/>
          <w:sz w:val="22"/>
        </w:rPr>
      </w:pPr>
      <w:r>
        <w:rPr>
          <w:rFonts w:ascii="Arial" w:hAnsi="Arial"/>
          <w:i/>
          <w:color w:val="000000"/>
          <w:sz w:val="22"/>
        </w:rPr>
        <w:t>To supplement ABM’s consolidated financial information, the Company has presented net income and net income per diluted share as adjusted for items impacting comparability for the third quarter and first nine months of fiscal years 2026 and 2025.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third quarter and first nine months of fiscal years 2026 and 2025. Adjusted EBITDA is among the indicators management uses as a basis for planning and forecasting future periods. The Company also presents total segment operating profit, which is the sum of the segment operating profit of each of its segments, and total segment operating margin, defined as total segment operating profit divided by total revenue, because management believes they are useful as they represent the aggregate value of income/profit created by its segments</w:t>
      </w:r>
      <w:r>
        <w:rPr>
          <w:rFonts w:ascii="Arial" w:hAnsi="Arial"/>
          <w:color w:val="000000"/>
          <w:sz w:val="22"/>
        </w:rPr>
        <w:t xml:space="preserve">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Arial" w:hAnsi="Arial"/>
          <w:sz w:val="22"/>
        </w:rPr>
      </w:pPr>
      <w:r>
        <w:rPr>
          <w:rFonts w:ascii="Arial" w:hAnsi="Arial"/>
          <w:i/>
          <w:color w:val="000000"/>
          <w:sz w:val="22"/>
        </w:rPr>
        <w:t>and exclude items not directly related to the segments for performance evaluation purposes.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r>
        <w:rPr>
          <w:rFonts w:ascii="Arial" w:hAnsi="Arial"/>
          <w:color w:val="000000"/>
          <w:sz w:val="22"/>
        </w:rPr>
        <w:t xml:space="preserve"> </w:t>
      </w:r>
    </w:p>
    <w:p>
      <w:pPr>
        <w:pStyle w:val="TextBody"/>
        <w:bidi w:val="0"/>
        <w:jc w:val="both"/>
        <w:rPr/>
      </w:pPr>
      <w:r>
        <w:rPr/>
        <w:t> </w:t>
      </w:r>
    </w:p>
    <w:p>
      <w:pPr>
        <w:pStyle w:val="TextBody"/>
        <w:bidi w:val="0"/>
        <w:spacing w:before="100" w:after="283"/>
        <w:jc w:val="both"/>
        <w:rPr>
          <w:rFonts w:ascii="Arial" w:hAnsi="Arial"/>
          <w:i/>
          <w:color w:val="000000"/>
          <w:sz w:val="22"/>
        </w:rPr>
      </w:pPr>
      <w:r>
        <w:rPr>
          <w:rFonts w:ascii="Arial" w:hAnsi="Arial"/>
          <w:i/>
          <w:color w:val="000000"/>
          <w:sz w:val="22"/>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pStyle w:val="TextBody"/>
        <w:bidi w:val="0"/>
        <w:spacing w:before="120" w:after="283"/>
        <w:jc w:val="both"/>
        <w:rPr/>
      </w:pPr>
      <w:r>
        <w:rPr/>
        <w:t> </w:t>
      </w:r>
    </w:p>
    <w:p>
      <w:pPr>
        <w:pStyle w:val="TextBody"/>
        <w:bidi w:val="0"/>
        <w:jc w:val="both"/>
        <w:rPr/>
      </w:pPr>
      <w:r>
        <w:rPr/>
        <w:t> </w:t>
      </w:r>
    </w:p>
    <w:tbl>
      <w:tblPr>
        <w:tblW w:w="3587" w:type="dxa"/>
        <w:jc w:val="left"/>
        <w:tblInd w:w="0" w:type="dxa"/>
        <w:tblLayout w:type="fixed"/>
        <w:tblCellMar>
          <w:top w:w="28" w:type="dxa"/>
          <w:left w:w="28" w:type="dxa"/>
          <w:bottom w:w="28" w:type="dxa"/>
          <w:right w:w="28" w:type="dxa"/>
        </w:tblCellMar>
      </w:tblPr>
      <w:tblGrid>
        <w:gridCol w:w="1951"/>
        <w:gridCol w:w="1636"/>
      </w:tblGrid>
      <w:tr>
        <w:trPr/>
        <w:tc>
          <w:tcPr>
            <w:tcW w:w="195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22"/>
                <w:u w:val="single"/>
              </w:rPr>
            </w:pPr>
            <w:r>
              <w:rPr>
                <w:rFonts w:ascii="Arial" w:hAnsi="Arial"/>
                <w:b/>
                <w:color w:val="000000"/>
                <w:sz w:val="22"/>
                <w:u w:val="single"/>
              </w:rPr>
              <w:t>Contact:</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2"/>
              </w:rPr>
            </w:pPr>
            <w:r>
              <w:rPr>
                <w:rFonts w:ascii="Arial" w:hAnsi="Arial"/>
                <w:color w:val="000000"/>
                <w:sz w:val="22"/>
              </w:rPr>
              <w:t>Investor Relations:</w:t>
            </w:r>
          </w:p>
        </w:tc>
        <w:tc>
          <w:tcPr>
            <w:tcW w:w="16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2"/>
              </w:rPr>
            </w:pPr>
            <w:r>
              <w:rPr>
                <w:rFonts w:ascii="Arial" w:hAnsi="Arial"/>
                <w:color w:val="000000"/>
                <w:sz w:val="22"/>
              </w:rPr>
              <w:t>Paul Goldberg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2"/>
              </w:rPr>
            </w:pPr>
            <w:r>
              <w:rPr>
                <w:rFonts w:ascii="Arial" w:hAnsi="Arial"/>
                <w:color w:val="000000"/>
                <w:sz w:val="22"/>
              </w:rPr>
              <w:t>(212) 297-9721</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2"/>
              </w:rPr>
            </w:pPr>
            <w:r>
              <w:rPr>
                <w:rFonts w:ascii="Arial" w:hAnsi="Arial"/>
                <w:color w:val="000000"/>
                <w:sz w:val="22"/>
              </w:rPr>
              <w:t>ir@abm.com</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6" w:name="section2"/>
      <w:bookmarkEnd w:id="6"/>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CONSOLIDATED INCOME STATEMENT INFORMATION (UNAUDITED)</w:t>
      </w:r>
    </w:p>
    <w:tbl>
      <w:tblPr>
        <w:tblW w:w="9413" w:type="dxa"/>
        <w:jc w:val="left"/>
        <w:tblInd w:w="0" w:type="dxa"/>
        <w:tblLayout w:type="fixed"/>
        <w:tblCellMar>
          <w:top w:w="28" w:type="dxa"/>
          <w:left w:w="28" w:type="dxa"/>
          <w:bottom w:w="28" w:type="dxa"/>
          <w:right w:w="28" w:type="dxa"/>
        </w:tblCellMar>
      </w:tblPr>
      <w:tblGrid>
        <w:gridCol w:w="4561"/>
        <w:gridCol w:w="146"/>
        <w:gridCol w:w="1183"/>
        <w:gridCol w:w="198"/>
        <w:gridCol w:w="1183"/>
        <w:gridCol w:w="146"/>
        <w:gridCol w:w="199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3"/>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Three Months Ended July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1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Increase / (Decrease)</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Revenues</w:t>
            </w:r>
            <w:r>
              <w:rPr>
                <w:rFonts w:ascii="Arial" w:hAnsi="Arial"/>
                <w:color w:val="000000"/>
                <w:sz w:val="18"/>
              </w:rPr>
              <w:t xml:space="preserve">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$ 2,317.1</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$ 2,224.0</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4.2 %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 xml:space="preserve">Operating expenses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2,031.0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1,949.6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4.2 %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Selling, general and administrative expenses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171.3</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177.5</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(3.5)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Restructuring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NM*</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Amortization of intangible 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15.5</w:t>
            </w:r>
          </w:p>
        </w:tc>
        <w:tc>
          <w:tcPr>
            <w:tcW w:w="198"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13.4</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15.8 %</w:t>
            </w:r>
          </w:p>
        </w:tc>
      </w:tr>
      <w:tr>
        <w:trPr/>
        <w:tc>
          <w:tcPr>
            <w:tcW w:w="4561"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Operating profit</w:t>
            </w:r>
            <w:r>
              <w:rPr>
                <w:rFonts w:ascii="Arial" w:hAnsi="Arial"/>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91.5</w:t>
            </w:r>
          </w:p>
        </w:tc>
        <w:tc>
          <w:tcPr>
            <w:tcW w:w="1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83.4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9.6 %</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Income from unconsolidated affiliates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1.2</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1.3</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(2.1)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(29.5)</w:t>
            </w:r>
          </w:p>
        </w:tc>
        <w:tc>
          <w:tcPr>
            <w:tcW w:w="1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(16.6) %</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Income before income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63.2</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59.4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6.4 %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(13.5)</w:t>
            </w:r>
          </w:p>
        </w:tc>
        <w:tc>
          <w:tcPr>
            <w:tcW w:w="1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(17.6)</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23.3 %</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 xml:space="preserve">Net income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$ 49.7</w:t>
            </w:r>
          </w:p>
        </w:tc>
        <w:tc>
          <w:tcPr>
            <w:tcW w:w="198"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$ 41.8</w:t>
            </w:r>
          </w:p>
        </w:tc>
        <w:tc>
          <w:tcPr>
            <w:tcW w:w="146"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18.9 %</w:t>
            </w:r>
          </w:p>
        </w:tc>
      </w:tr>
      <w:tr>
        <w:trPr/>
        <w:tc>
          <w:tcPr>
            <w:tcW w:w="4561"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 xml:space="preserve">Basic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$ 0.84</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$ 0.67</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25.4 %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25.4 %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283"/>
              <w:jc w:val="left"/>
              <w:rPr>
                <w:rFonts w:ascii="Arial" w:hAnsi="Arial"/>
                <w:b/>
                <w:color w:val="000000"/>
                <w:sz w:val="18"/>
              </w:rPr>
            </w:pPr>
            <w:r>
              <w:rPr>
                <w:rFonts w:ascii="Arial" w:hAnsi="Arial"/>
                <w:b/>
                <w:color w:val="000000"/>
                <w:sz w:val="18"/>
              </w:rPr>
              <w:t>Weighted-average common and common equivalent</w:t>
            </w:r>
          </w:p>
          <w:p>
            <w:pPr>
              <w:pStyle w:val="TableContents"/>
              <w:bidi w:val="0"/>
              <w:spacing w:before="0" w:after="30"/>
              <w:jc w:val="left"/>
              <w:rPr>
                <w:color w:val="000000"/>
              </w:rPr>
            </w:pPr>
            <w:r>
              <w:rPr>
                <w:color w:val="000000"/>
              </w:rPr>
              <w:t>   </w:t>
            </w:r>
            <w:r>
              <w:rPr>
                <w:rFonts w:ascii="Arial" w:hAnsi="Arial"/>
                <w:b/>
                <w:color w:val="000000"/>
                <w:sz w:val="18"/>
              </w:rPr>
              <w:t>shares outstanding</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Diluted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59.3</w:t>
            </w:r>
          </w:p>
        </w:tc>
        <w:tc>
          <w:tcPr>
            <w:tcW w:w="19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62.8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b/>
                <w:color w:val="000000"/>
                <w:sz w:val="18"/>
              </w:rPr>
            </w:pPr>
            <w:r>
              <w:rPr>
                <w:rFonts w:ascii="Arial" w:hAnsi="Arial"/>
                <w:b/>
                <w:color w:val="000000"/>
                <w:sz w:val="18"/>
              </w:rPr>
              <w:t>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$ 0.290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75" w:after="30"/>
              <w:jc w:val="both"/>
              <w:rPr>
                <w:rFonts w:ascii="Arial" w:hAnsi="Arial"/>
                <w:color w:val="000000"/>
                <w:sz w:val="13"/>
              </w:rPr>
            </w:pPr>
            <w:r>
              <w:rPr>
                <w:rFonts w:ascii="Arial" w:hAnsi="Arial"/>
                <w:color w:val="000000"/>
                <w:sz w:val="13"/>
              </w:rPr>
              <w:t>*Not meaningful (due to variance greater than or equal to +/-100%)</w:t>
            </w:r>
          </w:p>
        </w:tc>
      </w:tr>
    </w:tbl>
    <w:p>
      <w:pPr>
        <w:pStyle w:val="TextBody"/>
        <w:bidi w:val="0"/>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7" w:name="section3"/>
      <w:bookmarkEnd w:id="7"/>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CONSOLIDATED INCOME STATEMENT INFORMATION (UNAUDITED)</w:t>
      </w:r>
    </w:p>
    <w:tbl>
      <w:tblPr>
        <w:tblW w:w="9309" w:type="dxa"/>
        <w:jc w:val="left"/>
        <w:tblInd w:w="0" w:type="dxa"/>
        <w:tblLayout w:type="fixed"/>
        <w:tblCellMar>
          <w:top w:w="28" w:type="dxa"/>
          <w:left w:w="28" w:type="dxa"/>
          <w:bottom w:w="28" w:type="dxa"/>
          <w:right w:w="28" w:type="dxa"/>
        </w:tblCellMar>
      </w:tblPr>
      <w:tblGrid>
        <w:gridCol w:w="4561"/>
        <w:gridCol w:w="146"/>
        <w:gridCol w:w="1135"/>
        <w:gridCol w:w="190"/>
        <w:gridCol w:w="1135"/>
        <w:gridCol w:w="146"/>
        <w:gridCol w:w="199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Nine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Increase / (Decrease)</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Revenues</w:t>
            </w:r>
            <w:r>
              <w:rPr>
                <w:rFonts w:ascii="Arial" w:hAnsi="Arial"/>
                <w:color w:val="000000"/>
                <w:sz w:val="18"/>
              </w:rPr>
              <w:t xml:space="preserve">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$ 6,850.6</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$ 6,450.5</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6.2 %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 xml:space="preserve">Operating expenses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6,027.5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5,645.7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6.8 %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Selling, general and administrative expenses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512.2</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521.7</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(1.8)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Restructuring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NM*</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Amortization of intangible 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43.4</w:t>
            </w:r>
          </w:p>
        </w:tc>
        <w:tc>
          <w:tcPr>
            <w:tcW w:w="190"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39.9</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8.8 %</w:t>
            </w:r>
          </w:p>
        </w:tc>
      </w:tr>
      <w:tr>
        <w:trPr/>
        <w:tc>
          <w:tcPr>
            <w:tcW w:w="4561"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Operating profit</w:t>
            </w:r>
            <w:r>
              <w:rPr>
                <w:rFonts w:ascii="Arial" w:hAnsi="Arial"/>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253.0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4.0 %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from unconsolidated affiliates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3.6</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7.2 %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(81.6)</w:t>
            </w:r>
          </w:p>
        </w:tc>
        <w:tc>
          <w:tcPr>
            <w:tcW w:w="19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(72.1)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(13.2) %</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Income before income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175.0</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174.6</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0.2 %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(43.5)</w:t>
            </w:r>
          </w:p>
        </w:tc>
        <w:tc>
          <w:tcPr>
            <w:tcW w:w="19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(47.0)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7.5 %</w:t>
            </w:r>
          </w:p>
        </w:tc>
      </w:tr>
      <w:tr>
        <w:trPr/>
        <w:tc>
          <w:tcPr>
            <w:tcW w:w="456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 xml:space="preserve">Net income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$ 131.6</w:t>
            </w:r>
          </w:p>
        </w:tc>
        <w:tc>
          <w:tcPr>
            <w:tcW w:w="190"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$ 127.6</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3.1 %</w:t>
            </w:r>
          </w:p>
        </w:tc>
      </w:tr>
      <w:tr>
        <w:trPr/>
        <w:tc>
          <w:tcPr>
            <w:tcW w:w="4561"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 xml:space="preserve">Basic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$ 2.22</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$ 2.04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8.8 %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8.4 %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283"/>
              <w:jc w:val="left"/>
              <w:rPr>
                <w:rFonts w:ascii="Arial" w:hAnsi="Arial"/>
                <w:b/>
                <w:color w:val="000000"/>
                <w:sz w:val="18"/>
              </w:rPr>
            </w:pPr>
            <w:r>
              <w:rPr>
                <w:rFonts w:ascii="Arial" w:hAnsi="Arial"/>
                <w:b/>
                <w:color w:val="000000"/>
                <w:sz w:val="18"/>
              </w:rPr>
              <w:t>Weighted-average common and common equivalent</w:t>
            </w:r>
          </w:p>
          <w:p>
            <w:pPr>
              <w:pStyle w:val="TableContents"/>
              <w:bidi w:val="0"/>
              <w:spacing w:before="0" w:after="30"/>
              <w:jc w:val="left"/>
              <w:rPr>
                <w:color w:val="000000"/>
              </w:rPr>
            </w:pPr>
            <w:r>
              <w:rPr>
                <w:color w:val="000000"/>
              </w:rPr>
              <w:t>   </w:t>
            </w:r>
            <w:r>
              <w:rPr>
                <w:rFonts w:ascii="Arial" w:hAnsi="Arial"/>
                <w:b/>
                <w:color w:val="000000"/>
                <w:sz w:val="18"/>
              </w:rPr>
              <w:t>shares outstanding</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Diluted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59.7</w:t>
            </w:r>
          </w:p>
        </w:tc>
        <w:tc>
          <w:tcPr>
            <w:tcW w:w="19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63.0</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b/>
                <w:color w:val="000000"/>
                <w:sz w:val="18"/>
              </w:rPr>
            </w:pPr>
            <w:r>
              <w:rPr>
                <w:rFonts w:ascii="Arial" w:hAnsi="Arial"/>
                <w:b/>
                <w:color w:val="000000"/>
                <w:sz w:val="18"/>
              </w:rPr>
              <w:t>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$ 0.870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$ 0.795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75" w:after="30"/>
              <w:jc w:val="both"/>
              <w:rPr>
                <w:rFonts w:ascii="Arial" w:hAnsi="Arial"/>
                <w:color w:val="000000"/>
                <w:sz w:val="13"/>
              </w:rPr>
            </w:pPr>
            <w:r>
              <w:rPr>
                <w:rFonts w:ascii="Arial" w:hAnsi="Arial"/>
                <w:color w:val="000000"/>
                <w:sz w:val="13"/>
              </w:rPr>
              <w:t>*Not meaningful (due to variance greater than or equal to +/-100%)</w:t>
            </w:r>
          </w:p>
        </w:tc>
      </w:tr>
    </w:tbl>
    <w:p>
      <w:pPr>
        <w:pStyle w:val="TextBody"/>
        <w:bidi w:val="0"/>
        <w:jc w:val="center"/>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8" w:name="section4"/>
      <w:bookmarkEnd w:id="8"/>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SELECTED CONSOLIDATED CASH FLOW INFORMATION (UNAUDITED)</w:t>
      </w:r>
    </w:p>
    <w:tbl>
      <w:tblPr>
        <w:tblW w:w="8352" w:type="dxa"/>
        <w:jc w:val="left"/>
        <w:tblInd w:w="0" w:type="dxa"/>
        <w:tblLayout w:type="fixed"/>
        <w:tblCellMar>
          <w:top w:w="28" w:type="dxa"/>
          <w:left w:w="28" w:type="dxa"/>
          <w:bottom w:w="28" w:type="dxa"/>
          <w:right w:w="28" w:type="dxa"/>
        </w:tblCellMar>
      </w:tblPr>
      <w:tblGrid>
        <w:gridCol w:w="5596"/>
        <w:gridCol w:w="146"/>
        <w:gridCol w:w="1172"/>
        <w:gridCol w:w="203"/>
        <w:gridCol w:w="1235"/>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Three Months Ended July 31,</w:t>
            </w:r>
          </w:p>
        </w:tc>
      </w:tr>
      <w:tr>
        <w:trPr/>
        <w:tc>
          <w:tcPr>
            <w:tcW w:w="559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r>
      <w:tr>
        <w:trPr/>
        <w:tc>
          <w:tcPr>
            <w:tcW w:w="559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provided by operating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$ 146.8</w:t>
            </w:r>
          </w:p>
        </w:tc>
        <w:tc>
          <w:tcPr>
            <w:tcW w:w="20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$ 175.0</w:t>
            </w:r>
          </w:p>
        </w:tc>
      </w:tr>
      <w:tr>
        <w:trPr/>
        <w:tc>
          <w:tcPr>
            <w:tcW w:w="559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color w:val="000000"/>
                <w:sz w:val="18"/>
              </w:rPr>
            </w:pPr>
            <w:r>
              <w:rPr>
                <w:rFonts w:ascii="Arial" w:hAnsi="Arial"/>
                <w:color w:val="000000"/>
                <w:sz w:val="18"/>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(18.4)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(24.8)</w:t>
            </w:r>
          </w:p>
        </w:tc>
      </w:tr>
      <w:tr>
        <w:trPr/>
        <w:tc>
          <w:tcPr>
            <w:tcW w:w="559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Purchase of businesses, net of cash acquired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c>
          <w:tcPr>
            <w:tcW w:w="20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(18.6)</w:t>
            </w:r>
          </w:p>
        </w:tc>
      </w:tr>
      <w:tr>
        <w:trPr/>
        <w:tc>
          <w:tcPr>
            <w:tcW w:w="55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0.9</w:t>
            </w:r>
          </w:p>
        </w:tc>
        <w:tc>
          <w:tcPr>
            <w:tcW w:w="20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0.1</w:t>
            </w:r>
          </w:p>
        </w:tc>
      </w:tr>
      <w:tr>
        <w:trPr/>
        <w:tc>
          <w:tcPr>
            <w:tcW w:w="559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used in investing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(17.4)</w:t>
            </w:r>
          </w:p>
        </w:tc>
        <w:tc>
          <w:tcPr>
            <w:tcW w:w="20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(43.3)</w:t>
            </w:r>
          </w:p>
        </w:tc>
      </w:tr>
      <w:tr>
        <w:trPr/>
        <w:tc>
          <w:tcPr>
            <w:tcW w:w="559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color w:val="000000"/>
                <w:sz w:val="18"/>
              </w:rPr>
            </w:pPr>
            <w:r>
              <w:rPr>
                <w:rFonts w:ascii="Arial" w:hAnsi="Arial"/>
                <w:color w:val="000000"/>
                <w:sz w:val="18"/>
              </w:rPr>
              <w:t xml:space="preserve">Proceeds from issuance of share-based compensation awards, net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1.1</w:t>
            </w:r>
          </w:p>
        </w:tc>
      </w:tr>
      <w:tr>
        <w:trPr/>
        <w:tc>
          <w:tcPr>
            <w:tcW w:w="559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Repurchases of common stock, including excise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c>
          <w:tcPr>
            <w:tcW w:w="20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(27.2)</w:t>
            </w:r>
          </w:p>
        </w:tc>
      </w:tr>
      <w:tr>
        <w:trPr/>
        <w:tc>
          <w:tcPr>
            <w:tcW w:w="55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(16.5)</w:t>
            </w:r>
          </w:p>
        </w:tc>
      </w:tr>
      <w:tr>
        <w:trPr/>
        <w:tc>
          <w:tcPr>
            <w:tcW w:w="559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Deferred financing costs paid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w:t>
            </w:r>
          </w:p>
        </w:tc>
        <w:tc>
          <w:tcPr>
            <w:tcW w:w="20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Borrowings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656.5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490.5</w:t>
            </w:r>
          </w:p>
        </w:tc>
      </w:tr>
      <w:tr>
        <w:trPr/>
        <w:tc>
          <w:tcPr>
            <w:tcW w:w="559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Repayment of borrowings from debt</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(744.7)</w:t>
            </w:r>
          </w:p>
        </w:tc>
        <w:tc>
          <w:tcPr>
            <w:tcW w:w="20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(512.0)</w:t>
            </w:r>
          </w:p>
        </w:tc>
      </w:tr>
      <w:tr>
        <w:trPr/>
        <w:tc>
          <w:tcPr>
            <w:tcW w:w="55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Changes in book cash overdrafts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3.1</w:t>
            </w:r>
          </w:p>
        </w:tc>
      </w:tr>
      <w:tr>
        <w:trPr/>
        <w:tc>
          <w:tcPr>
            <w:tcW w:w="559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Repayment of finance lease obligations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(1.0)</w:t>
            </w:r>
          </w:p>
        </w:tc>
        <w:tc>
          <w:tcPr>
            <w:tcW w:w="20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(1.1)</w:t>
            </w:r>
          </w:p>
        </w:tc>
      </w:tr>
      <w:tr>
        <w:trPr/>
        <w:tc>
          <w:tcPr>
            <w:tcW w:w="55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Cash paid to settle the 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p>
        </w:tc>
        <w:tc>
          <w:tcPr>
            <w:tcW w:w="20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(59.0)</w:t>
            </w:r>
          </w:p>
        </w:tc>
      </w:tr>
      <w:tr>
        <w:trPr/>
        <w:tc>
          <w:tcPr>
            <w:tcW w:w="559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used in financing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(113.5)</w:t>
            </w:r>
          </w:p>
        </w:tc>
        <w:tc>
          <w:tcPr>
            <w:tcW w:w="20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(121.2)</w:t>
            </w:r>
          </w:p>
        </w:tc>
      </w:tr>
      <w:tr>
        <w:trPr/>
        <w:tc>
          <w:tcPr>
            <w:tcW w:w="559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(0.3)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p>
        </w:tc>
      </w:tr>
    </w:tbl>
    <w:p>
      <w:pPr>
        <w:pStyle w:val="TextBody"/>
        <w:bidi w:val="0"/>
        <w:jc w:val="center"/>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9" w:name="section5"/>
      <w:bookmarkEnd w:id="9"/>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SELECTED CONSOLIDATED CASH FLOW INFORMATION (UNAUDITED)</w:t>
      </w:r>
    </w:p>
    <w:tbl>
      <w:tblPr>
        <w:tblW w:w="8696" w:type="dxa"/>
        <w:jc w:val="left"/>
        <w:tblInd w:w="0" w:type="dxa"/>
        <w:tblLayout w:type="fixed"/>
        <w:tblCellMar>
          <w:top w:w="28" w:type="dxa"/>
          <w:left w:w="28" w:type="dxa"/>
          <w:bottom w:w="28" w:type="dxa"/>
          <w:right w:w="28" w:type="dxa"/>
        </w:tblCellMar>
      </w:tblPr>
      <w:tblGrid>
        <w:gridCol w:w="6046"/>
        <w:gridCol w:w="146"/>
        <w:gridCol w:w="1132"/>
        <w:gridCol w:w="183"/>
        <w:gridCol w:w="1189"/>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60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Nine Months Ended July 31,</w:t>
            </w:r>
          </w:p>
        </w:tc>
      </w:tr>
      <w:tr>
        <w:trPr/>
        <w:tc>
          <w:tcPr>
            <w:tcW w:w="60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r>
      <w:tr>
        <w:trPr/>
        <w:tc>
          <w:tcPr>
            <w:tcW w:w="604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provided by operating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$ 275.0</w:t>
            </w:r>
          </w:p>
        </w:tc>
        <w:tc>
          <w:tcPr>
            <w:tcW w:w="18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$ 101.0</w:t>
            </w:r>
          </w:p>
        </w:tc>
      </w:tr>
      <w:tr>
        <w:trPr/>
        <w:tc>
          <w:tcPr>
            <w:tcW w:w="604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color w:val="000000"/>
                <w:sz w:val="18"/>
              </w:rPr>
            </w:pPr>
            <w:r>
              <w:rPr>
                <w:rFonts w:ascii="Arial" w:hAnsi="Arial"/>
                <w:color w:val="000000"/>
                <w:sz w:val="18"/>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(75.4)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(58.6)</w:t>
            </w:r>
          </w:p>
        </w:tc>
      </w:tr>
      <w:tr>
        <w:trPr/>
        <w:tc>
          <w:tcPr>
            <w:tcW w:w="604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Purchase of businesses, net of cash acquired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(242.1)</w:t>
            </w:r>
          </w:p>
        </w:tc>
        <w:tc>
          <w:tcPr>
            <w:tcW w:w="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(16.7)</w:t>
            </w:r>
          </w:p>
        </w:tc>
      </w:tr>
      <w:tr>
        <w:trPr/>
        <w:tc>
          <w:tcPr>
            <w:tcW w:w="604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w:t>
            </w:r>
          </w:p>
        </w:tc>
        <w:tc>
          <w:tcPr>
            <w:tcW w:w="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0.5</w:t>
            </w:r>
          </w:p>
        </w:tc>
      </w:tr>
      <w:tr>
        <w:trPr/>
        <w:tc>
          <w:tcPr>
            <w:tcW w:w="604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used in investing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(315.8)</w:t>
            </w:r>
          </w:p>
        </w:tc>
        <w:tc>
          <w:tcPr>
            <w:tcW w:w="18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(74.8)</w:t>
            </w:r>
          </w:p>
        </w:tc>
      </w:tr>
      <w:tr>
        <w:trPr/>
        <w:tc>
          <w:tcPr>
            <w:tcW w:w="604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color w:val="000000"/>
                <w:sz w:val="18"/>
              </w:rPr>
            </w:pPr>
            <w:r>
              <w:rPr>
                <w:rFonts w:ascii="Arial" w:hAnsi="Arial"/>
                <w:color w:val="000000"/>
                <w:sz w:val="18"/>
              </w:rPr>
              <w:t xml:space="preserve">Taxes withheld from issuance of share-based compensation awards, net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(8.5)</w:t>
            </w:r>
          </w:p>
        </w:tc>
      </w:tr>
      <w:tr>
        <w:trPr/>
        <w:tc>
          <w:tcPr>
            <w:tcW w:w="604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Repurchases of common stock, including excise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(94.7)</w:t>
            </w:r>
          </w:p>
        </w:tc>
        <w:tc>
          <w:tcPr>
            <w:tcW w:w="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(48.5)</w:t>
            </w:r>
          </w:p>
        </w:tc>
      </w:tr>
      <w:tr>
        <w:trPr/>
        <w:tc>
          <w:tcPr>
            <w:tcW w:w="604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(49.4)</w:t>
            </w:r>
          </w:p>
        </w:tc>
      </w:tr>
      <w:tr>
        <w:trPr/>
        <w:tc>
          <w:tcPr>
            <w:tcW w:w="604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Deferred financing costs paid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(2.7)</w:t>
            </w:r>
          </w:p>
        </w:tc>
        <w:tc>
          <w:tcPr>
            <w:tcW w:w="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(8.0)</w:t>
            </w:r>
          </w:p>
        </w:tc>
      </w:tr>
      <w:tr>
        <w:trPr/>
        <w:tc>
          <w:tcPr>
            <w:tcW w:w="604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Borrowings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1,733.5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1,409.3</w:t>
            </w:r>
          </w:p>
        </w:tc>
      </w:tr>
      <w:tr>
        <w:trPr/>
        <w:tc>
          <w:tcPr>
            <w:tcW w:w="604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Repayment of borrowings from debt</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(1,523.9)</w:t>
            </w:r>
          </w:p>
        </w:tc>
        <w:tc>
          <w:tcPr>
            <w:tcW w:w="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(1,212.0)</w:t>
            </w:r>
          </w:p>
        </w:tc>
      </w:tr>
      <w:tr>
        <w:trPr/>
        <w:tc>
          <w:tcPr>
            <w:tcW w:w="604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Changes in book cash overdrafts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(43.0)</w:t>
            </w:r>
          </w:p>
        </w:tc>
      </w:tr>
      <w:tr>
        <w:trPr/>
        <w:tc>
          <w:tcPr>
            <w:tcW w:w="6046"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Repayment of finance lease obligations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(3.3)</w:t>
            </w:r>
          </w:p>
        </w:tc>
        <w:tc>
          <w:tcPr>
            <w:tcW w:w="18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(3.3)</w:t>
            </w:r>
          </w:p>
        </w:tc>
      </w:tr>
      <w:tr>
        <w:trPr/>
        <w:tc>
          <w:tcPr>
            <w:tcW w:w="604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Cash paid to settle the 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p>
        </w:tc>
        <w:tc>
          <w:tcPr>
            <w:tcW w:w="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(59.0)</w:t>
            </w:r>
          </w:p>
        </w:tc>
      </w:tr>
      <w:tr>
        <w:trPr/>
        <w:tc>
          <w:tcPr>
            <w:tcW w:w="604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Net cash provided by (used in) financing activities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$ 46.4</w:t>
            </w:r>
          </w:p>
        </w:tc>
        <w:tc>
          <w:tcPr>
            <w:tcW w:w="18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(22.5)</w:t>
            </w:r>
          </w:p>
        </w:tc>
      </w:tr>
      <w:tr>
        <w:trPr/>
        <w:tc>
          <w:tcPr>
            <w:tcW w:w="6046"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8"/>
              </w:rPr>
              <w:t>1.0</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10" w:name="section6"/>
      <w:bookmarkEnd w:id="10"/>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sz w:val="20"/>
        </w:rPr>
      </w:pPr>
      <w:r>
        <w:rPr>
          <w:rFonts w:ascii="Arial" w:hAnsi="Arial"/>
          <w:b/>
          <w:color w:val="0046AD"/>
          <w:sz w:val="22"/>
        </w:rPr>
        <w:t>CONDENSED CONSOLIDATED BALANCE SHEET INFORMATION (UNAUDITED)</w:t>
      </w:r>
      <w:r>
        <w:rPr>
          <w:rFonts w:ascii="Arial" w:hAnsi="Arial"/>
          <w:color w:val="0046AD"/>
          <w:sz w:val="20"/>
        </w:rPr>
        <w:t xml:space="preserve"> </w:t>
      </w:r>
    </w:p>
    <w:tbl>
      <w:tblPr>
        <w:tblW w:w="7810" w:type="dxa"/>
        <w:jc w:val="left"/>
        <w:tblInd w:w="0" w:type="dxa"/>
        <w:tblLayout w:type="fixed"/>
        <w:tblCellMar>
          <w:top w:w="28" w:type="dxa"/>
          <w:left w:w="28" w:type="dxa"/>
          <w:bottom w:w="28" w:type="dxa"/>
          <w:right w:w="28" w:type="dxa"/>
        </w:tblCellMar>
      </w:tblPr>
      <w:tblGrid>
        <w:gridCol w:w="4681"/>
        <w:gridCol w:w="146"/>
        <w:gridCol w:w="1231"/>
        <w:gridCol w:w="146"/>
        <w:gridCol w:w="160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14"/>
                <w:u w:val="single"/>
              </w:rPr>
            </w:pPr>
            <w:r>
              <w:rPr>
                <w:rFonts w:ascii="Times New Roman" w:hAnsi="Times New Roman"/>
                <w:i/>
                <w:color w:val="000000"/>
                <w:sz w:val="14"/>
                <w:u w:val="single"/>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July 31,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October 31, 2025</w:t>
            </w:r>
          </w:p>
        </w:tc>
      </w:tr>
      <w:tr>
        <w:trPr/>
        <w:tc>
          <w:tcPr>
            <w:tcW w:w="468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Cash and cash equivalents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$ 110.5</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rFonts w:ascii="Arial" w:hAnsi="Arial"/>
                <w:color w:val="000000"/>
                <w:sz w:val="18"/>
              </w:rPr>
            </w:pPr>
            <w:r>
              <w:rPr>
                <w:rFonts w:ascii="Arial" w:hAnsi="Arial"/>
                <w:color w:val="000000"/>
                <w:sz w:val="18"/>
              </w:rPr>
              <w:t>$ 104.1</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Trade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1,471.1</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Costs incurred in excess of amounts billed</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209.8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193.7</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91.2</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Other current 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82.0</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DCE2EF" w:val="clear"/>
            <w:tcMar>
              <w:top w:w="0" w:type="dxa"/>
              <w:left w:w="0" w:type="dxa"/>
              <w:right w:w="0" w:type="dxa"/>
            </w:tcMar>
            <w:vAlign w:val="center"/>
          </w:tcPr>
          <w:p>
            <w:pPr>
              <w:pStyle w:val="TableContents"/>
              <w:bidi w:val="0"/>
              <w:spacing w:before="75" w:after="30"/>
              <w:ind w:left="0" w:right="0" w:firstLine="720"/>
              <w:jc w:val="right"/>
              <w:rPr>
                <w:color w:val="000000"/>
              </w:rPr>
            </w:pPr>
            <w:r>
              <w:rPr>
                <w:color w:val="000000"/>
              </w:rPr>
              <w:t> </w:t>
            </w:r>
            <w:r>
              <w:rPr>
                <w:rFonts w:ascii="Arial" w:hAnsi="Arial"/>
                <w:color w:val="000000"/>
                <w:sz w:val="18"/>
              </w:rPr>
              <w:t>78.6</w:t>
            </w:r>
          </w:p>
        </w:tc>
      </w:tr>
      <w:tr>
        <w:trPr/>
        <w:tc>
          <w:tcPr>
            <w:tcW w:w="4681" w:type="dxa"/>
            <w:tcBorders/>
            <w:shd w:fill="FFFFFF" w:val="clear"/>
            <w:tcMar>
              <w:top w:w="0" w:type="dxa"/>
              <w:left w:w="0" w:type="dxa"/>
              <w:bottom w:w="0" w:type="dxa"/>
              <w:right w:w="0" w:type="dxa"/>
            </w:tcMar>
            <w:vAlign w:val="center"/>
          </w:tcPr>
          <w:p>
            <w:pPr>
              <w:pStyle w:val="TableContents"/>
              <w:bidi w:val="0"/>
              <w:spacing w:before="55" w:after="30"/>
              <w:ind w:left="0" w:right="0" w:firstLine="72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1,992.4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1,938.7</w:t>
            </w:r>
          </w:p>
        </w:tc>
      </w:tr>
      <w:tr>
        <w:trPr/>
        <w:tc>
          <w:tcPr>
            <w:tcW w:w="468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Other investments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32.1</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48.6</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177.2</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Right-of-use 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91.8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95.1</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Other intangible assets, net of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243.2</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Goodwill</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2,741.2</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2,591.1</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203.0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175.5</w:t>
            </w:r>
          </w:p>
        </w:tc>
      </w:tr>
      <w:tr>
        <w:trPr/>
        <w:tc>
          <w:tcPr>
            <w:tcW w:w="468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Total assets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$ 5,601.0</w:t>
            </w:r>
          </w:p>
        </w:tc>
        <w:tc>
          <w:tcPr>
            <w:tcW w:w="146"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$ 5,269.5</w:t>
            </w:r>
          </w:p>
        </w:tc>
      </w:tr>
      <w:tr>
        <w:trPr/>
        <w:tc>
          <w:tcPr>
            <w:tcW w:w="4681"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Current liabilities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Current portion of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rFonts w:ascii="Arial" w:hAnsi="Arial"/>
                <w:color w:val="000000"/>
                <w:sz w:val="18"/>
              </w:rPr>
            </w:pPr>
            <w:r>
              <w:rPr>
                <w:rFonts w:ascii="Arial" w:hAnsi="Arial"/>
                <w:color w:val="000000"/>
                <w:sz w:val="18"/>
              </w:rPr>
              <w:t>$ 29.4</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Trade accounts payable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430.8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401.2</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195.0</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Accrued taxes—other than income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44.6</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48.1</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74.7</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Insurance claims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204.5</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200.8</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4.0</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Current portion of lease liabilities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27.7</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28.2</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304.7</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FFFFFF" w:val="clear"/>
            <w:tcMar>
              <w:top w:w="0" w:type="dxa"/>
              <w:left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324.1</w:t>
            </w:r>
          </w:p>
        </w:tc>
      </w:tr>
      <w:tr>
        <w:trPr/>
        <w:tc>
          <w:tcPr>
            <w:tcW w:w="4681" w:type="dxa"/>
            <w:tcBorders/>
            <w:shd w:fill="DCE2EF" w:val="clear"/>
            <w:tcMar>
              <w:top w:w="0" w:type="dxa"/>
              <w:left w:w="0" w:type="dxa"/>
              <w:bottom w:w="0" w:type="dxa"/>
              <w:right w:w="0" w:type="dxa"/>
            </w:tcMar>
            <w:vAlign w:val="center"/>
          </w:tcPr>
          <w:p>
            <w:pPr>
              <w:pStyle w:val="TableContents"/>
              <w:bidi w:val="0"/>
              <w:spacing w:before="55" w:after="30"/>
              <w:ind w:left="0" w:right="0" w:firstLine="360"/>
              <w:jc w:val="left"/>
              <w:rPr>
                <w:rFonts w:ascii="Arial" w:hAnsi="Arial"/>
                <w:color w:val="000000"/>
                <w:sz w:val="18"/>
              </w:rPr>
            </w:pPr>
            <w:r>
              <w:rPr>
                <w:rFonts w:ascii="Arial" w:hAnsi="Arial"/>
                <w:color w:val="000000"/>
                <w:sz w:val="18"/>
              </w:rPr>
              <w:t>Total current liabilities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1,401.8</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1,305.7</w:t>
            </w:r>
          </w:p>
        </w:tc>
      </w:tr>
      <w:tr>
        <w:trPr/>
        <w:tc>
          <w:tcPr>
            <w:tcW w:w="4681"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1,732.2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1,537.1</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Long-term lease liabilities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80.4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83.7</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Deferred income tax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39.9</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Noncurrent insurance claims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470.2</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459.3</w:t>
            </w:r>
          </w:p>
        </w:tc>
      </w:tr>
      <w:tr>
        <w:trPr/>
        <w:tc>
          <w:tcPr>
            <w:tcW w:w="468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54.3</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Noncurrent income taxes payable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4.1</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DCE2EF" w:val="clear"/>
            <w:tcMar>
              <w:top w:w="0" w:type="dxa"/>
              <w:left w:w="0" w:type="dxa"/>
              <w:right w:w="0" w:type="dxa"/>
            </w:tcMar>
            <w:vAlign w:val="center"/>
          </w:tcPr>
          <w:p>
            <w:pPr>
              <w:pStyle w:val="TableContents"/>
              <w:bidi w:val="0"/>
              <w:spacing w:before="75" w:after="30"/>
              <w:ind w:left="0" w:right="0" w:firstLine="360"/>
              <w:jc w:val="right"/>
              <w:rPr>
                <w:color w:val="000000"/>
              </w:rPr>
            </w:pPr>
            <w:r>
              <w:rPr>
                <w:color w:val="000000"/>
              </w:rPr>
              <w:t> </w:t>
            </w:r>
            <w:r>
              <w:rPr>
                <w:rFonts w:ascii="Arial" w:hAnsi="Arial"/>
                <w:color w:val="000000"/>
                <w:sz w:val="18"/>
              </w:rPr>
              <w:t>3.9</w:t>
            </w:r>
          </w:p>
        </w:tc>
      </w:tr>
      <w:tr>
        <w:trPr/>
        <w:tc>
          <w:tcPr>
            <w:tcW w:w="4681" w:type="dxa"/>
            <w:tcBorders/>
            <w:shd w:fill="FFFFFF" w:val="clear"/>
            <w:tcMar>
              <w:top w:w="0" w:type="dxa"/>
              <w:left w:w="0" w:type="dxa"/>
              <w:bottom w:w="0" w:type="dxa"/>
              <w:right w:w="0" w:type="dxa"/>
            </w:tcMar>
            <w:vAlign w:val="center"/>
          </w:tcPr>
          <w:p>
            <w:pPr>
              <w:pStyle w:val="TableContents"/>
              <w:bidi w:val="0"/>
              <w:spacing w:before="55" w:after="30"/>
              <w:ind w:left="0" w:right="0" w:firstLine="360"/>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3,810.8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55" w:after="30"/>
              <w:ind w:left="0" w:right="0" w:firstLine="360"/>
              <w:jc w:val="right"/>
              <w:rPr>
                <w:color w:val="000000"/>
              </w:rPr>
            </w:pPr>
            <w:r>
              <w:rPr>
                <w:color w:val="000000"/>
              </w:rPr>
              <w:t> </w:t>
            </w:r>
            <w:r>
              <w:rPr>
                <w:rFonts w:ascii="Arial" w:hAnsi="Arial"/>
                <w:color w:val="000000"/>
                <w:sz w:val="18"/>
              </w:rPr>
              <w:t>3,483.8</w:t>
            </w:r>
          </w:p>
        </w:tc>
      </w:tr>
      <w:tr>
        <w:trPr/>
        <w:tc>
          <w:tcPr>
            <w:tcW w:w="4681" w:type="dxa"/>
            <w:tcBorders/>
            <w:shd w:fill="DCE2EF" w:val="clear"/>
            <w:tcMar>
              <w:top w:w="0" w:type="dxa"/>
              <w:left w:w="0" w:type="dxa"/>
              <w:bottom w:w="0" w:type="dxa"/>
              <w:right w:w="0" w:type="dxa"/>
            </w:tcMar>
            <w:vAlign w:val="center"/>
          </w:tcPr>
          <w:p>
            <w:pPr>
              <w:pStyle w:val="TableContents"/>
              <w:bidi w:val="0"/>
              <w:spacing w:before="75" w:after="30"/>
              <w:ind w:left="0" w:right="0" w:firstLine="360"/>
              <w:jc w:val="left"/>
              <w:rPr>
                <w:rFonts w:ascii="Arial" w:hAnsi="Arial"/>
                <w:color w:val="000000"/>
                <w:sz w:val="18"/>
              </w:rPr>
            </w:pPr>
            <w:r>
              <w:rPr>
                <w:rFonts w:ascii="Arial" w:hAnsi="Arial"/>
                <w:color w:val="000000"/>
                <w:sz w:val="18"/>
              </w:rPr>
              <w:t>Total stockholders’ equity</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1,790.2</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1,785.6</w:t>
            </w:r>
          </w:p>
        </w:tc>
      </w:tr>
      <w:tr>
        <w:trPr/>
        <w:tc>
          <w:tcPr>
            <w:tcW w:w="4681"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$ 5,601.0</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$ 5,269.5</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11" w:name="section7"/>
      <w:bookmarkEnd w:id="11"/>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REVENUES AND OPERATING PROFIT BY SEGMENT (UNAUDITED)</w:t>
      </w:r>
    </w:p>
    <w:tbl>
      <w:tblPr>
        <w:tblW w:w="10205" w:type="dxa"/>
        <w:jc w:val="left"/>
        <w:tblInd w:w="0" w:type="dxa"/>
        <w:tblLayout w:type="fixed"/>
        <w:tblCellMar>
          <w:top w:w="28" w:type="dxa"/>
          <w:left w:w="28" w:type="dxa"/>
          <w:bottom w:w="28" w:type="dxa"/>
          <w:right w:w="28" w:type="dxa"/>
        </w:tblCellMar>
      </w:tblPr>
      <w:tblGrid>
        <w:gridCol w:w="5993"/>
        <w:gridCol w:w="146"/>
        <w:gridCol w:w="1072"/>
        <w:gridCol w:w="179"/>
        <w:gridCol w:w="1072"/>
        <w:gridCol w:w="146"/>
        <w:gridCol w:w="1597"/>
      </w:tblGrid>
      <w:tr>
        <w:trPr/>
        <w:tc>
          <w:tcPr>
            <w:tcW w:w="5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r>
      <w:tr>
        <w:trPr/>
        <w:tc>
          <w:tcPr>
            <w:tcW w:w="59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Three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7" w:type="dxa"/>
            <w:vMerge w:val="restart"/>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Increase/ (Decrease)</w:t>
            </w:r>
          </w:p>
        </w:tc>
      </w:tr>
      <w:tr>
        <w:trPr/>
        <w:tc>
          <w:tcPr>
            <w:tcW w:w="5993"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7" w:type="dxa"/>
            <w:vMerge w:val="continue"/>
            <w:tcBorders/>
            <w:tcMar>
              <w:top w:w="0" w:type="dxa"/>
              <w:left w:w="0" w:type="dxa"/>
              <w:bottom w:w="0" w:type="dxa"/>
              <w:right w:w="0" w:type="dxa"/>
            </w:tcMar>
            <w:vAlign w:val="center"/>
          </w:tcPr>
          <w:p>
            <w:pPr>
              <w:pStyle w:val="Normal"/>
              <w:bidi w:val="0"/>
              <w:jc w:val="left"/>
              <w:rPr/>
            </w:pPr>
            <w:r>
              <w:rPr/>
            </w:r>
          </w:p>
        </w:tc>
      </w:tr>
      <w:tr>
        <w:trPr/>
        <w:tc>
          <w:tcPr>
            <w:tcW w:w="5993"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Revenues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pPr>
            <w:r>
              <w:rPr/>
              <w:t>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Business &amp; Industry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$ 1,012.2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$ 1,038.7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(2.6)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Manufacturing &amp; Distribution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481.0</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408.9</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17.6 %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Aviation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328.1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12.5 %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Education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235.8</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235.1</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0.3 %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Technical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259.9</w:t>
            </w:r>
          </w:p>
        </w:tc>
        <w:tc>
          <w:tcPr>
            <w:tcW w:w="17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249.5</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4.2 %</w:t>
            </w:r>
          </w:p>
        </w:tc>
      </w:tr>
      <w:tr>
        <w:trPr/>
        <w:tc>
          <w:tcPr>
            <w:tcW w:w="5993"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Total Revenues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$ 2,317.1</w:t>
            </w:r>
          </w:p>
        </w:tc>
        <w:tc>
          <w:tcPr>
            <w:tcW w:w="179"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$ 2,224.0</w:t>
            </w:r>
          </w:p>
        </w:tc>
        <w:tc>
          <w:tcPr>
            <w:tcW w:w="146"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4.2 %</w:t>
            </w:r>
          </w:p>
        </w:tc>
      </w:tr>
      <w:tr>
        <w:trPr/>
        <w:tc>
          <w:tcPr>
            <w:tcW w:w="5993"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Business &amp; Industry</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$ 75.0</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$ 73.8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1.5 %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Manufacturing &amp;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11.4 %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Aviation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18.4</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19.7</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(6.9)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8.7 %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Technical Solutions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21.5</w:t>
            </w:r>
          </w:p>
        </w:tc>
        <w:tc>
          <w:tcPr>
            <w:tcW w:w="179"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19.4</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10.8 %</w:t>
            </w:r>
          </w:p>
        </w:tc>
      </w:tr>
      <w:tr>
        <w:trPr/>
        <w:tc>
          <w:tcPr>
            <w:tcW w:w="5993"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$ 178.3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4.6 %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b/>
                <w:i/>
                <w:color w:val="000000"/>
                <w:sz w:val="18"/>
              </w:rPr>
            </w:pPr>
            <w:r>
              <w:rPr>
                <w:rFonts w:ascii="Arial" w:hAnsi="Arial"/>
                <w:b/>
                <w:i/>
                <w:color w:val="000000"/>
                <w:sz w:val="18"/>
              </w:rPr>
              <w:t>Segment operating margin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i/>
                <w:color w:val="000000"/>
                <w:sz w:val="18"/>
              </w:rPr>
              <w:t>7.7 %</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i/>
                <w:color w:val="000000"/>
                <w:sz w:val="18"/>
              </w:rPr>
              <w:t>7.7 %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0.3 %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Adjustment for income from unconsolidated affiliates, included in Aviation and Technical Solutions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Adjustment for tax deductions for energy efficient government buildings, included in Technical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(0.2)</w:t>
            </w:r>
          </w:p>
        </w:tc>
        <w:tc>
          <w:tcPr>
            <w:tcW w:w="17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NM*</w:t>
            </w:r>
          </w:p>
        </w:tc>
      </w:tr>
      <w:tr>
        <w:trPr/>
        <w:tc>
          <w:tcPr>
            <w:tcW w:w="5993"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Total operating profit</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91.5</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83.4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9.6 %</w:t>
            </w:r>
          </w:p>
        </w:tc>
      </w:tr>
      <w:tr>
        <w:trPr/>
        <w:tc>
          <w:tcPr>
            <w:tcW w:w="5993"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Interest expense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(29.5)</w:t>
            </w:r>
          </w:p>
        </w:tc>
        <w:tc>
          <w:tcPr>
            <w:tcW w:w="179"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(25.3)</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(16.6) %</w:t>
            </w:r>
          </w:p>
        </w:tc>
      </w:tr>
      <w:tr>
        <w:trPr/>
        <w:tc>
          <w:tcPr>
            <w:tcW w:w="5993"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6.4 %</w:t>
            </w:r>
          </w:p>
        </w:tc>
      </w:tr>
      <w:tr>
        <w:trPr/>
        <w:tc>
          <w:tcPr>
            <w:tcW w:w="5993"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tax provision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(13.5)</w:t>
            </w:r>
          </w:p>
        </w:tc>
        <w:tc>
          <w:tcPr>
            <w:tcW w:w="179"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(17.6)</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23.3 %</w:t>
            </w:r>
          </w:p>
        </w:tc>
      </w:tr>
      <w:tr>
        <w:trPr/>
        <w:tc>
          <w:tcPr>
            <w:tcW w:w="5993"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Net income</w:t>
            </w:r>
            <w:r>
              <w:rPr>
                <w:rFonts w:ascii="Arial" w:hAnsi="Arial"/>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$ 49.7</w:t>
            </w:r>
          </w:p>
        </w:tc>
        <w:tc>
          <w:tcPr>
            <w:tcW w:w="17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$ 41.8</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18.9 %</w:t>
            </w:r>
          </w:p>
        </w:tc>
      </w:tr>
    </w:tbl>
    <w:p>
      <w:pPr>
        <w:pStyle w:val="TextBody"/>
        <w:bidi w:val="0"/>
        <w:spacing w:before="140" w:after="283"/>
        <w:jc w:val="both"/>
        <w:rPr>
          <w:rFonts w:ascii="Arial" w:hAnsi="Arial"/>
          <w:color w:val="000000"/>
          <w:sz w:val="13"/>
        </w:rPr>
      </w:pPr>
      <w:r>
        <w:rPr>
          <w:rFonts w:ascii="Arial" w:hAnsi="Arial"/>
          <w:color w:val="000000"/>
          <w:sz w:val="13"/>
        </w:rPr>
        <w:t>*Not meaningful (due to variance greater than or equal to +/-100%)</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12" w:name="section8"/>
      <w:bookmarkEnd w:id="12"/>
      <w:r>
        <w:rPr>
          <w:rFonts w:ascii="Arial" w:hAnsi="Arial"/>
          <w:b/>
          <w:color w:val="0046AD"/>
          <w:sz w:val="22"/>
        </w:rPr>
        <w:t>ABM INDUSTRIES INCORPORATED AND SUBSIDIARIES</w:t>
      </w:r>
    </w:p>
    <w:p>
      <w:pPr>
        <w:pStyle w:val="TextBody"/>
        <w:bidi w:val="0"/>
        <w:jc w:val="left"/>
        <w:rPr/>
      </w:pPr>
      <w:r>
        <w:rPr/>
        <w:t> </w:t>
      </w:r>
    </w:p>
    <w:p>
      <w:pPr>
        <w:pStyle w:val="TextBody"/>
        <w:bidi w:val="0"/>
        <w:jc w:val="left"/>
        <w:rPr>
          <w:rFonts w:ascii="Arial" w:hAnsi="Arial"/>
          <w:b/>
          <w:color w:val="0046AD"/>
          <w:sz w:val="22"/>
        </w:rPr>
      </w:pPr>
      <w:r>
        <w:rPr>
          <w:rFonts w:ascii="Arial" w:hAnsi="Arial"/>
          <w:b/>
          <w:color w:val="0046AD"/>
          <w:sz w:val="22"/>
        </w:rPr>
        <w:t>REVENUES AND OPERATING PROFIT BY SEGMENT (UNAUDITED)</w:t>
      </w:r>
    </w:p>
    <w:tbl>
      <w:tblPr>
        <w:tblW w:w="10205" w:type="dxa"/>
        <w:jc w:val="left"/>
        <w:tblInd w:w="0" w:type="dxa"/>
        <w:tblLayout w:type="fixed"/>
        <w:tblCellMar>
          <w:top w:w="28" w:type="dxa"/>
          <w:left w:w="28" w:type="dxa"/>
          <w:bottom w:w="28" w:type="dxa"/>
          <w:right w:w="28" w:type="dxa"/>
        </w:tblCellMar>
      </w:tblPr>
      <w:tblGrid>
        <w:gridCol w:w="6048"/>
        <w:gridCol w:w="146"/>
        <w:gridCol w:w="1043"/>
        <w:gridCol w:w="174"/>
        <w:gridCol w:w="1043"/>
        <w:gridCol w:w="146"/>
        <w:gridCol w:w="1605"/>
      </w:tblGrid>
      <w:tr>
        <w:trPr/>
        <w:tc>
          <w:tcPr>
            <w:tcW w:w="6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6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0"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Nine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5" w:type="dxa"/>
            <w:vMerge w:val="restart"/>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Increase/ (Decrease)</w:t>
            </w:r>
          </w:p>
        </w:tc>
      </w:tr>
      <w:tr>
        <w:trPr/>
        <w:tc>
          <w:tcPr>
            <w:tcW w:w="6048"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2026</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8"/>
              </w:rPr>
            </w:pPr>
            <w:r>
              <w:rPr>
                <w:rFonts w:ascii="Arial" w:hAnsi="Arial"/>
                <w:b/>
                <w:color w:val="000000"/>
                <w:sz w:val="18"/>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5" w:type="dxa"/>
            <w:vMerge w:val="continue"/>
            <w:tcBorders/>
            <w:tcMar>
              <w:top w:w="0" w:type="dxa"/>
              <w:left w:w="0" w:type="dxa"/>
              <w:bottom w:w="0" w:type="dxa"/>
              <w:right w:w="0" w:type="dxa"/>
            </w:tcMar>
            <w:vAlign w:val="center"/>
          </w:tcPr>
          <w:p>
            <w:pPr>
              <w:pStyle w:val="Normal"/>
              <w:bidi w:val="0"/>
              <w:jc w:val="left"/>
              <w:rPr/>
            </w:pPr>
            <w:r>
              <w:rPr/>
            </w:r>
          </w:p>
        </w:tc>
      </w:tr>
      <w:tr>
        <w:trPr/>
        <w:tc>
          <w:tcPr>
            <w:tcW w:w="6048"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Revenues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pPr>
            <w:r>
              <w:rPr/>
              <w:t>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Business &amp; Industry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$ 3,093.2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$ 3,077.2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0.5 %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Manufacturing &amp; Distribution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1,367.1</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1,201.2</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13.8 %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Aviation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936.6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14.0 %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Education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696.7</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688.2</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1.2 %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Technical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757.0</w:t>
            </w:r>
          </w:p>
        </w:tc>
        <w:tc>
          <w:tcPr>
            <w:tcW w:w="17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662.0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14.4 %</w:t>
            </w:r>
          </w:p>
        </w:tc>
      </w:tr>
      <w:tr>
        <w:trPr/>
        <w:tc>
          <w:tcPr>
            <w:tcW w:w="6048"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Total Revenues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$ 6,850.6</w:t>
            </w:r>
          </w:p>
        </w:tc>
        <w:tc>
          <w:tcPr>
            <w:tcW w:w="174"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$ 6,450.5</w:t>
            </w:r>
          </w:p>
        </w:tc>
        <w:tc>
          <w:tcPr>
            <w:tcW w:w="146"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6.2 %</w:t>
            </w:r>
          </w:p>
        </w:tc>
      </w:tr>
      <w:tr>
        <w:trPr/>
        <w:tc>
          <w:tcPr>
            <w:tcW w:w="6048"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8"/>
              </w:rPr>
            </w:pPr>
            <w:r>
              <w:rPr>
                <w:rFonts w:ascii="Arial" w:hAnsi="Arial"/>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Business &amp; Industry</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$ 231.3</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$ 236.2</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(2.1)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Manufacturing &amp;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117.5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1.6 %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Aviation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47.3</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48.4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60.9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24.6 %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Technical Solutions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46.7</w:t>
            </w:r>
          </w:p>
        </w:tc>
        <w:tc>
          <w:tcPr>
            <w:tcW w:w="174"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49.4</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(5.4) %</w:t>
            </w:r>
          </w:p>
        </w:tc>
      </w:tr>
      <w:tr>
        <w:trPr/>
        <w:tc>
          <w:tcPr>
            <w:tcW w:w="6048"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$ 503.7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$ 498.6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1.0 %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b/>
                <w:i/>
                <w:color w:val="000000"/>
                <w:sz w:val="18"/>
              </w:rPr>
            </w:pPr>
            <w:r>
              <w:rPr>
                <w:rFonts w:ascii="Arial" w:hAnsi="Arial"/>
                <w:b/>
                <w:i/>
                <w:color w:val="000000"/>
                <w:sz w:val="18"/>
              </w:rPr>
              <w:t>Segment operating margin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i/>
                <w:color w:val="000000"/>
                <w:sz w:val="18"/>
              </w:rPr>
              <w:t>7.4 %</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i/>
                <w:color w:val="000000"/>
                <w:sz w:val="18"/>
              </w:rPr>
              <w:t>7.7 %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(246.3)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2.2 %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Adjustment for income from unconsolidated affiliates, included in Aviation and Technical Solutions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(3.6)</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(3.4)</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(7.2)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Adjustment for tax deductions for energy efficient government buildings, included in Technical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(0.7)</w:t>
            </w:r>
          </w:p>
        </w:tc>
        <w:tc>
          <w:tcPr>
            <w:tcW w:w="17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(0.1)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8"/>
              </w:rPr>
            </w:pPr>
            <w:r>
              <w:rPr>
                <w:rFonts w:ascii="Arial" w:hAnsi="Arial"/>
                <w:color w:val="000000"/>
                <w:sz w:val="18"/>
              </w:rPr>
              <w:t>NM*</w:t>
            </w:r>
          </w:p>
        </w:tc>
      </w:tr>
      <w:tr>
        <w:trPr/>
        <w:tc>
          <w:tcPr>
            <w:tcW w:w="6048"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8"/>
              </w:rPr>
            </w:pPr>
            <w:r>
              <w:rPr>
                <w:rFonts w:ascii="Arial" w:hAnsi="Arial"/>
                <w:b/>
                <w:color w:val="000000"/>
                <w:sz w:val="18"/>
              </w:rPr>
              <w:t>Total operating profit</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253.0</w:t>
            </w:r>
          </w:p>
        </w:tc>
        <w:tc>
          <w:tcPr>
            <w:tcW w:w="17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243.3</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4.0 %</w:t>
            </w:r>
          </w:p>
        </w:tc>
      </w:tr>
      <w:tr>
        <w:trPr/>
        <w:tc>
          <w:tcPr>
            <w:tcW w:w="6048"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7.2 %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Interest expense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(81.6)</w:t>
            </w:r>
          </w:p>
        </w:tc>
        <w:tc>
          <w:tcPr>
            <w:tcW w:w="174"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(72.1)</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(13.2) %</w:t>
            </w:r>
          </w:p>
        </w:tc>
      </w:tr>
      <w:tr>
        <w:trPr/>
        <w:tc>
          <w:tcPr>
            <w:tcW w:w="6048"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8"/>
              </w:rPr>
            </w:pPr>
            <w:r>
              <w:rPr>
                <w:rFonts w:ascii="Arial" w:hAnsi="Arial"/>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175.0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0.2 %</w:t>
            </w:r>
          </w:p>
        </w:tc>
      </w:tr>
      <w:tr>
        <w:trPr/>
        <w:tc>
          <w:tcPr>
            <w:tcW w:w="6048"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Income tax provision</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(43.5)</w:t>
            </w:r>
          </w:p>
        </w:tc>
        <w:tc>
          <w:tcPr>
            <w:tcW w:w="174"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(47.0)</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8"/>
              </w:rPr>
              <w:t>7.5 %</w:t>
            </w:r>
          </w:p>
        </w:tc>
      </w:tr>
      <w:tr>
        <w:trPr/>
        <w:tc>
          <w:tcPr>
            <w:tcW w:w="6048"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sz w:val="18"/>
              </w:rPr>
            </w:pPr>
            <w:r>
              <w:rPr>
                <w:rFonts w:ascii="Arial" w:hAnsi="Arial"/>
                <w:b/>
                <w:color w:val="000000"/>
                <w:sz w:val="18"/>
              </w:rPr>
              <w:t>Net income</w:t>
            </w:r>
            <w:r>
              <w:rPr>
                <w:rFonts w:ascii="Arial" w:hAnsi="Arial"/>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$ 131.6</w:t>
            </w:r>
          </w:p>
        </w:tc>
        <w:tc>
          <w:tcPr>
            <w:tcW w:w="174"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8"/>
              </w:rPr>
            </w:pPr>
            <w:r>
              <w:rPr>
                <w:rFonts w:ascii="Arial" w:hAnsi="Arial"/>
                <w:color w:val="000000"/>
                <w:sz w:val="18"/>
              </w:rPr>
              <w:t>$ 127.6</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8"/>
              </w:rPr>
              <w:t>3.1 %</w:t>
            </w:r>
          </w:p>
        </w:tc>
      </w:tr>
    </w:tbl>
    <w:p>
      <w:pPr>
        <w:pStyle w:val="TextBody"/>
        <w:bidi w:val="0"/>
        <w:spacing w:before="140" w:after="283"/>
        <w:jc w:val="both"/>
        <w:rPr>
          <w:rFonts w:ascii="Arial" w:hAnsi="Arial"/>
          <w:color w:val="000000"/>
          <w:sz w:val="13"/>
        </w:rPr>
      </w:pPr>
      <w:r>
        <w:rPr>
          <w:rFonts w:ascii="Arial" w:hAnsi="Arial"/>
          <w:color w:val="000000"/>
          <w:sz w:val="13"/>
        </w:rPr>
        <w:t>*Not meaningful (due to variance greater than or equal to +/-100%)</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6AD"/>
          <w:sz w:val="22"/>
        </w:rPr>
      </w:pPr>
      <w:bookmarkStart w:id="13" w:name="section9"/>
      <w:bookmarkEnd w:id="13"/>
      <w:r>
        <w:rPr>
          <w:rFonts w:ascii="Arial" w:hAnsi="Arial"/>
          <w:b/>
          <w:color w:val="0046AD"/>
          <w:sz w:val="22"/>
        </w:rPr>
        <w:t>ABM INDUSTRIES INCORPORATED AND SUBSIDIARIES</w:t>
      </w:r>
    </w:p>
    <w:p>
      <w:pPr>
        <w:pStyle w:val="TextBody"/>
        <w:bidi w:val="0"/>
        <w:jc w:val="left"/>
        <w:rPr>
          <w:rFonts w:ascii="Arial" w:hAnsi="Arial"/>
          <w:b/>
          <w:color w:val="0046AD"/>
          <w:sz w:val="22"/>
        </w:rPr>
      </w:pPr>
      <w:r>
        <w:rPr>
          <w:rFonts w:ascii="Arial" w:hAnsi="Arial"/>
          <w:b/>
          <w:color w:val="0046AD"/>
          <w:sz w:val="22"/>
        </w:rPr>
        <w:t>RECONCILIATIONS OF NON-GAAP FINANCIAL MEASURES (UNAUDITED)</w:t>
      </w:r>
    </w:p>
    <w:p>
      <w:pPr>
        <w:pStyle w:val="TextBody"/>
        <w:bidi w:val="0"/>
        <w:jc w:val="left"/>
        <w:rPr/>
      </w:pPr>
      <w:r>
        <w:rPr/>
        <w:t> </w:t>
      </w:r>
    </w:p>
    <w:p>
      <w:pPr>
        <w:pStyle w:val="TextBody"/>
        <w:bidi w:val="0"/>
        <w:jc w:val="left"/>
        <w:rPr>
          <w:rFonts w:ascii="Times New Roman" w:hAnsi="Times New Roman"/>
          <w:i/>
          <w:color w:val="000000"/>
          <w:sz w:val="14"/>
          <w:u w:val="single"/>
        </w:rPr>
      </w:pPr>
      <w:r>
        <w:rPr>
          <w:rFonts w:ascii="Times New Roman" w:hAnsi="Times New Roman"/>
          <w:i/>
          <w:color w:val="000000"/>
          <w:sz w:val="14"/>
          <w:u w:val="single"/>
        </w:rPr>
        <w:t>(in millions, except per share amounts)</w:t>
      </w:r>
    </w:p>
    <w:tbl>
      <w:tblPr>
        <w:tblW w:w="9382" w:type="dxa"/>
        <w:jc w:val="left"/>
        <w:tblInd w:w="0" w:type="dxa"/>
        <w:tblLayout w:type="fixed"/>
        <w:tblCellMar>
          <w:top w:w="28" w:type="dxa"/>
          <w:left w:w="28" w:type="dxa"/>
          <w:bottom w:w="28" w:type="dxa"/>
          <w:right w:w="28" w:type="dxa"/>
        </w:tblCellMar>
      </w:tblPr>
      <w:tblGrid>
        <w:gridCol w:w="4336"/>
        <w:gridCol w:w="146"/>
        <w:gridCol w:w="1061"/>
        <w:gridCol w:w="278"/>
        <w:gridCol w:w="1061"/>
        <w:gridCol w:w="146"/>
        <w:gridCol w:w="986"/>
        <w:gridCol w:w="222"/>
        <w:gridCol w:w="114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Three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5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Nine Months Ended July 31,</w:t>
            </w:r>
          </w:p>
        </w:tc>
      </w:tr>
      <w:tr>
        <w:trPr/>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7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2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r>
      <w:tr>
        <w:trPr/>
        <w:tc>
          <w:tcPr>
            <w:tcW w:w="433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7"/>
              </w:rPr>
            </w:pPr>
            <w:r>
              <w:rPr>
                <w:rFonts w:ascii="Arial" w:hAnsi="Arial"/>
                <w:b/>
                <w:color w:val="000000"/>
                <w:sz w:val="17"/>
              </w:rPr>
              <w:t>Reconciliation of Net Income to Adjusted Net Income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7"/>
              </w:rPr>
            </w:pPr>
            <w:r>
              <w:rPr>
                <w:rFonts w:ascii="Arial" w:hAnsi="Arial"/>
                <w:color w:val="000000"/>
                <w:sz w:val="17"/>
              </w:rPr>
              <w:t xml:space="preserve">Net income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$ 49.7</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6"/>
              </w:rPr>
            </w:pPr>
            <w:r>
              <w:rPr>
                <w:rFonts w:ascii="Arial" w:hAnsi="Arial"/>
                <w:color w:val="000000"/>
                <w:sz w:val="16"/>
              </w:rPr>
              <w:t>$ 131.6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6"/>
              </w:rPr>
            </w:pPr>
            <w:r>
              <w:rPr>
                <w:rFonts w:ascii="Arial" w:hAnsi="Arial"/>
                <w:color w:val="000000"/>
                <w:sz w:val="16"/>
              </w:rPr>
              <w:t>$ 127.6</w:t>
            </w:r>
          </w:p>
        </w:tc>
      </w:tr>
      <w:tr>
        <w:trPr/>
        <w:tc>
          <w:tcPr>
            <w:tcW w:w="4336" w:type="dxa"/>
            <w:tcBorders/>
            <w:shd w:fill="DCE2EF" w:val="clear"/>
            <w:tcMar>
              <w:top w:w="0" w:type="dxa"/>
              <w:left w:w="0" w:type="dxa"/>
              <w:bottom w:w="0" w:type="dxa"/>
              <w:right w:w="0" w:type="dxa"/>
            </w:tcMar>
            <w:vAlign w:val="center"/>
          </w:tcPr>
          <w:p>
            <w:pPr>
              <w:pStyle w:val="TableContents"/>
              <w:bidi w:val="0"/>
              <w:spacing w:lineRule="auto" w:line="360" w:before="75" w:after="30"/>
              <w:jc w:val="left"/>
              <w:rPr>
                <w:rFonts w:ascii="Arial" w:hAnsi="Arial"/>
                <w:sz w:val="17"/>
              </w:rPr>
            </w:pPr>
            <w:r>
              <w:rPr>
                <w:rFonts w:ascii="Arial" w:hAnsi="Arial"/>
                <w:color w:val="000000"/>
                <w:sz w:val="17"/>
              </w:rPr>
              <w:t>Items impacting comparability</w:t>
            </w:r>
            <w:r>
              <w:rPr>
                <w:rFonts w:ascii="Arial" w:hAnsi="Arial"/>
                <w:color w:val="000000"/>
                <w:sz w:val="11"/>
              </w:rPr>
              <w:t>(a)(b)</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DCE2E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360" w:before="75" w:after="30"/>
              <w:ind w:left="0" w:right="0" w:firstLine="225"/>
              <w:jc w:val="left"/>
              <w:rPr>
                <w:rFonts w:ascii="Arial" w:hAnsi="Arial"/>
                <w:sz w:val="17"/>
              </w:rPr>
            </w:pPr>
            <w:r>
              <w:rPr>
                <w:rFonts w:ascii="Arial" w:hAnsi="Arial"/>
                <w:color w:val="000000"/>
                <w:sz w:val="17"/>
              </w:rPr>
              <w:t>Restructuring and related</w:t>
            </w:r>
            <w:r>
              <w:rPr>
                <w:rFonts w:ascii="Arial" w:hAnsi="Arial"/>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7.8</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14.6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75" w:after="30"/>
              <w:ind w:left="0" w:right="0" w:firstLine="225"/>
              <w:jc w:val="right"/>
              <w:rPr>
                <w:color w:val="000000"/>
              </w:rPr>
            </w:pPr>
            <w:r>
              <w:rPr>
                <w:color w:val="000000"/>
              </w:rPr>
              <w:t> —</w:t>
            </w:r>
          </w:p>
        </w:tc>
      </w:tr>
      <w:tr>
        <w:trPr/>
        <w:tc>
          <w:tcPr>
            <w:tcW w:w="4336" w:type="dxa"/>
            <w:tcBorders/>
            <w:shd w:fill="DCE2EF" w:val="clear"/>
            <w:tcMar>
              <w:top w:w="0" w:type="dxa"/>
              <w:left w:w="0" w:type="dxa"/>
              <w:bottom w:w="0" w:type="dxa"/>
              <w:right w:w="0" w:type="dxa"/>
            </w:tcMar>
            <w:vAlign w:val="center"/>
          </w:tcPr>
          <w:p>
            <w:pPr>
              <w:pStyle w:val="TableContents"/>
              <w:bidi w:val="0"/>
              <w:spacing w:before="75" w:after="30"/>
              <w:ind w:left="0" w:right="0" w:firstLine="225"/>
              <w:jc w:val="left"/>
              <w:rPr>
                <w:rFonts w:ascii="Arial" w:hAnsi="Arial"/>
                <w:color w:val="000000"/>
                <w:sz w:val="17"/>
              </w:rPr>
            </w:pPr>
            <w:r>
              <w:rPr>
                <w:rFonts w:ascii="Arial" w:hAnsi="Arial"/>
                <w:color w:val="000000"/>
                <w:sz w:val="17"/>
              </w:rPr>
              <w:t>Legal costs and other settlements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1.4</w:t>
            </w:r>
          </w:p>
        </w:tc>
        <w:tc>
          <w:tcPr>
            <w:tcW w:w="2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(2.6)</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1.1</w:t>
            </w:r>
          </w:p>
        </w:tc>
        <w:tc>
          <w:tcPr>
            <w:tcW w:w="22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DCE2EF" w:val="clear"/>
            <w:tcMar>
              <w:top w:w="0" w:type="dxa"/>
              <w:left w:w="0" w:type="dxa"/>
              <w:bottom w:w="0" w:type="dxa"/>
              <w:right w:w="0" w:type="dxa"/>
            </w:tcMar>
            <w:vAlign w:val="center"/>
          </w:tcPr>
          <w:p>
            <w:pPr>
              <w:pStyle w:val="TableContents"/>
              <w:bidi w:val="0"/>
              <w:spacing w:before="75" w:after="30"/>
              <w:ind w:left="0" w:right="0" w:firstLine="225"/>
              <w:jc w:val="right"/>
              <w:rPr>
                <w:color w:val="000000"/>
              </w:rPr>
            </w:pPr>
            <w:r>
              <w:rPr>
                <w:color w:val="000000"/>
              </w:rPr>
              <w:t> </w:t>
            </w:r>
            <w:r>
              <w:rPr>
                <w:rFonts w:ascii="Arial" w:hAnsi="Arial"/>
                <w:color w:val="000000"/>
                <w:sz w:val="16"/>
              </w:rPr>
              <w:t>2.5</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360" w:before="75" w:after="30"/>
              <w:ind w:left="0" w:right="0" w:firstLine="225"/>
              <w:jc w:val="left"/>
              <w:rPr>
                <w:rFonts w:ascii="Arial" w:hAnsi="Arial"/>
                <w:sz w:val="17"/>
              </w:rPr>
            </w:pPr>
            <w:r>
              <w:rPr>
                <w:rFonts w:ascii="Arial" w:hAnsi="Arial"/>
                <w:color w:val="000000"/>
                <w:sz w:val="17"/>
              </w:rPr>
              <w:t>Acquisition and integration related costs</w:t>
            </w:r>
            <w:r>
              <w:rPr>
                <w:rFonts w:ascii="Arial" w:hAnsi="Arial"/>
                <w:color w:val="000000"/>
                <w:sz w:val="11"/>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0.5</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8.7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75" w:after="30"/>
              <w:ind w:left="0" w:right="0" w:firstLine="105"/>
              <w:jc w:val="right"/>
              <w:rPr>
                <w:color w:val="000000"/>
              </w:rPr>
            </w:pPr>
            <w:r>
              <w:rPr>
                <w:color w:val="000000"/>
              </w:rPr>
              <w:t> </w:t>
            </w:r>
            <w:r>
              <w:rPr>
                <w:rFonts w:ascii="Arial" w:hAnsi="Arial"/>
                <w:color w:val="000000"/>
                <w:sz w:val="16"/>
              </w:rPr>
              <w:t>11.4</w:t>
            </w:r>
          </w:p>
        </w:tc>
      </w:tr>
      <w:tr>
        <w:trPr/>
        <w:tc>
          <w:tcPr>
            <w:tcW w:w="4336" w:type="dxa"/>
            <w:tcBorders/>
            <w:shd w:fill="DCE2EF" w:val="clear"/>
            <w:tcMar>
              <w:top w:w="0" w:type="dxa"/>
              <w:left w:w="0" w:type="dxa"/>
              <w:bottom w:w="0" w:type="dxa"/>
              <w:right w:w="0" w:type="dxa"/>
            </w:tcMar>
            <w:vAlign w:val="center"/>
          </w:tcPr>
          <w:p>
            <w:pPr>
              <w:pStyle w:val="TableContents"/>
              <w:bidi w:val="0"/>
              <w:spacing w:lineRule="auto" w:line="360" w:before="75" w:after="30"/>
              <w:ind w:left="0" w:right="0" w:firstLine="105"/>
              <w:jc w:val="left"/>
              <w:rPr/>
            </w:pPr>
            <w:r>
              <w:rPr>
                <w:color w:val="000000"/>
              </w:rPr>
              <w:t>  </w:t>
            </w:r>
            <w:r>
              <w:rPr>
                <w:rFonts w:ascii="Arial" w:hAnsi="Arial"/>
                <w:color w:val="000000"/>
                <w:sz w:val="17"/>
              </w:rPr>
              <w:t>Transformation initiative costs</w:t>
            </w:r>
            <w:r>
              <w:rPr>
                <w:rFonts w:ascii="Arial" w:hAnsi="Arial"/>
                <w:color w:val="000000"/>
                <w:sz w:val="11"/>
              </w:rPr>
              <w:t>(e)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6.3</w:t>
            </w:r>
          </w:p>
        </w:tc>
        <w:tc>
          <w:tcPr>
            <w:tcW w:w="2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11.1</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20.5</w:t>
            </w:r>
          </w:p>
        </w:tc>
        <w:tc>
          <w:tcPr>
            <w:tcW w:w="22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DCE2EF" w:val="clear"/>
            <w:tcMar>
              <w:top w:w="0" w:type="dxa"/>
              <w:left w:w="0" w:type="dxa"/>
              <w:bottom w:w="0" w:type="dxa"/>
              <w:right w:w="0" w:type="dxa"/>
            </w:tcMar>
            <w:vAlign w:val="center"/>
          </w:tcPr>
          <w:p>
            <w:pPr>
              <w:pStyle w:val="TableContents"/>
              <w:bidi w:val="0"/>
              <w:spacing w:before="75" w:after="30"/>
              <w:ind w:left="0" w:right="0" w:firstLine="225"/>
              <w:jc w:val="right"/>
              <w:rPr>
                <w:color w:val="000000"/>
              </w:rPr>
            </w:pPr>
            <w:r>
              <w:rPr>
                <w:color w:val="000000"/>
              </w:rPr>
              <w:t> </w:t>
            </w:r>
            <w:r>
              <w:rPr>
                <w:rFonts w:ascii="Arial" w:hAnsi="Arial"/>
                <w:color w:val="000000"/>
                <w:sz w:val="16"/>
              </w:rPr>
              <w:t>30.1</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360" w:before="75" w:after="30"/>
              <w:ind w:left="0" w:right="0" w:firstLine="225"/>
              <w:jc w:val="left"/>
              <w:rPr>
                <w:rFonts w:ascii="Arial" w:hAnsi="Arial"/>
                <w:sz w:val="17"/>
              </w:rPr>
            </w:pPr>
            <w:r>
              <w:rPr>
                <w:rFonts w:ascii="Arial" w:hAnsi="Arial"/>
                <w:color w:val="000000"/>
                <w:sz w:val="17"/>
              </w:rPr>
              <w:t>Other</w:t>
            </w:r>
            <w:r>
              <w:rPr>
                <w:rFonts w:ascii="Arial" w:hAnsi="Arial"/>
                <w:color w:val="000000"/>
                <w:sz w:val="11"/>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0.3</w:t>
            </w:r>
          </w:p>
        </w:tc>
        <w:tc>
          <w:tcPr>
            <w:tcW w:w="2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0.7</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1.0</w:t>
            </w:r>
          </w:p>
        </w:tc>
        <w:tc>
          <w:tcPr>
            <w:tcW w:w="2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2.9</w:t>
            </w:r>
          </w:p>
        </w:tc>
      </w:tr>
      <w:tr>
        <w:trPr/>
        <w:tc>
          <w:tcPr>
            <w:tcW w:w="433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Total items impacting comparability</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7"/>
              </w:rPr>
              <w:t>16.3</w:t>
            </w:r>
          </w:p>
        </w:tc>
        <w:tc>
          <w:tcPr>
            <w:tcW w:w="2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7"/>
              </w:rPr>
              <w:t>13.8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6"/>
              </w:rPr>
              <w:t>46.0</w:t>
            </w:r>
          </w:p>
        </w:tc>
        <w:tc>
          <w:tcPr>
            <w:tcW w:w="22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DCE2EF" w:val="clear"/>
            <w:tcMar>
              <w:top w:w="0" w:type="dxa"/>
              <w:left w:w="0" w:type="dxa"/>
              <w:bottom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6"/>
              </w:rPr>
              <w:t>46.8</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360" w:before="75" w:after="30"/>
              <w:jc w:val="left"/>
              <w:rPr>
                <w:rFonts w:ascii="Arial" w:hAnsi="Arial"/>
                <w:sz w:val="17"/>
              </w:rPr>
            </w:pPr>
            <w:r>
              <w:rPr>
                <w:rFonts w:ascii="Arial" w:hAnsi="Arial"/>
                <w:color w:val="000000"/>
                <w:sz w:val="17"/>
              </w:rPr>
              <w:t xml:space="preserve">Income tax impact </w:t>
            </w:r>
            <w:r>
              <w:rPr>
                <w:rFonts w:ascii="Arial" w:hAnsi="Arial"/>
                <w:color w:val="000000"/>
                <w:sz w:val="11"/>
              </w:rPr>
              <w:t>(g)(h)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(4.5)</w:t>
            </w:r>
          </w:p>
        </w:tc>
        <w:tc>
          <w:tcPr>
            <w:tcW w:w="2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(3.9)</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(12.8)</w:t>
            </w:r>
          </w:p>
        </w:tc>
        <w:tc>
          <w:tcPr>
            <w:tcW w:w="2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(13.3)</w:t>
            </w:r>
          </w:p>
        </w:tc>
      </w:tr>
      <w:tr>
        <w:trPr/>
        <w:tc>
          <w:tcPr>
            <w:tcW w:w="4336"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Items impacting comparability, net of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7"/>
              </w:rPr>
              <w:t>11.8</w:t>
            </w:r>
          </w:p>
        </w:tc>
        <w:tc>
          <w:tcPr>
            <w:tcW w:w="278"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7"/>
              </w:rPr>
              <w:t>9.9</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6"/>
              </w:rPr>
              <w:t>33.2</w:t>
            </w:r>
          </w:p>
        </w:tc>
        <w:tc>
          <w:tcPr>
            <w:tcW w:w="222"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8" w:space="0" w:color="000000"/>
            </w:tcBorders>
            <w:shd w:fill="DCE2EF" w:val="clear"/>
            <w:tcMar>
              <w:top w:w="0" w:type="dxa"/>
              <w:left w:w="0" w:type="dxa"/>
              <w:right w:w="0" w:type="dxa"/>
            </w:tcMar>
            <w:vAlign w:val="center"/>
          </w:tcPr>
          <w:p>
            <w:pPr>
              <w:pStyle w:val="TableContents"/>
              <w:bidi w:val="0"/>
              <w:spacing w:before="55" w:after="30"/>
              <w:jc w:val="right"/>
              <w:rPr>
                <w:color w:val="000000"/>
              </w:rPr>
            </w:pPr>
            <w:r>
              <w:rPr>
                <w:color w:val="000000"/>
              </w:rPr>
              <w:t> </w:t>
            </w:r>
            <w:r>
              <w:rPr>
                <w:rFonts w:ascii="Arial" w:hAnsi="Arial"/>
                <w:color w:val="000000"/>
                <w:sz w:val="16"/>
              </w:rPr>
              <w:t>33.5</w:t>
            </w:r>
          </w:p>
        </w:tc>
      </w:tr>
      <w:tr>
        <w:trPr/>
        <w:tc>
          <w:tcPr>
            <w:tcW w:w="4336"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$ 61.5</w:t>
            </w:r>
          </w:p>
        </w:tc>
        <w:tc>
          <w:tcPr>
            <w:tcW w:w="2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$ 51.7</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6"/>
              </w:rPr>
            </w:pPr>
            <w:r>
              <w:rPr>
                <w:rFonts w:ascii="Arial" w:hAnsi="Arial"/>
                <w:color w:val="000000"/>
                <w:sz w:val="16"/>
              </w:rPr>
              <w:t>$ 164.8</w:t>
            </w:r>
          </w:p>
        </w:tc>
        <w:tc>
          <w:tcPr>
            <w:tcW w:w="2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6"/>
              </w:rPr>
            </w:pPr>
            <w:r>
              <w:rPr>
                <w:rFonts w:ascii="Arial" w:hAnsi="Arial"/>
                <w:color w:val="000000"/>
                <w:sz w:val="16"/>
              </w:rPr>
              <w:t>$ 161.1</w:t>
            </w:r>
          </w:p>
        </w:tc>
      </w:tr>
    </w:tbl>
    <w:p>
      <w:pPr>
        <w:pStyle w:val="TextBody"/>
        <w:bidi w:val="0"/>
        <w:spacing w:before="180" w:after="180"/>
        <w:jc w:val="left"/>
        <w:rPr/>
      </w:pPr>
      <w:r>
        <w:rPr/>
        <w:t> </w:t>
      </w:r>
    </w:p>
    <w:tbl>
      <w:tblPr>
        <w:tblW w:w="9096" w:type="dxa"/>
        <w:jc w:val="left"/>
        <w:tblInd w:w="0" w:type="dxa"/>
        <w:tblLayout w:type="fixed"/>
        <w:tblCellMar>
          <w:top w:w="28" w:type="dxa"/>
          <w:left w:w="28" w:type="dxa"/>
          <w:bottom w:w="28" w:type="dxa"/>
          <w:right w:w="28" w:type="dxa"/>
        </w:tblCellMar>
      </w:tblPr>
      <w:tblGrid>
        <w:gridCol w:w="4051"/>
        <w:gridCol w:w="146"/>
        <w:gridCol w:w="1078"/>
        <w:gridCol w:w="243"/>
        <w:gridCol w:w="1078"/>
        <w:gridCol w:w="146"/>
        <w:gridCol w:w="940"/>
        <w:gridCol w:w="212"/>
        <w:gridCol w:w="1202"/>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Three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5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Nine Months Ended July 31,</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r>
      <w:tr>
        <w:trPr/>
        <w:tc>
          <w:tcPr>
            <w:tcW w:w="405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7"/>
              </w:rPr>
            </w:pPr>
            <w:r>
              <w:rPr>
                <w:rFonts w:ascii="Arial" w:hAnsi="Arial"/>
                <w:b/>
                <w:color w:val="000000"/>
                <w:sz w:val="17"/>
              </w:rPr>
              <w:t>Reconciliation of Net Income to Adjusted EBITDA</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b/>
                <w:color w:val="000000"/>
                <w:sz w:val="17"/>
              </w:rPr>
            </w:pPr>
            <w:r>
              <w:rPr>
                <w:rFonts w:ascii="Arial" w:hAnsi="Arial"/>
                <w:b/>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$ 49.7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6"/>
              </w:rPr>
            </w:pPr>
            <w:r>
              <w:rPr>
                <w:rFonts w:ascii="Arial" w:hAnsi="Arial"/>
                <w:color w:val="000000"/>
                <w:sz w:val="16"/>
              </w:rPr>
              <w:t>$ 131.6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75" w:after="30"/>
              <w:ind w:left="0" w:right="0" w:firstLine="135"/>
              <w:jc w:val="right"/>
              <w:rPr>
                <w:rFonts w:ascii="Arial" w:hAnsi="Arial"/>
                <w:color w:val="000000"/>
                <w:sz w:val="16"/>
              </w:rPr>
            </w:pPr>
            <w:r>
              <w:rPr>
                <w:rFonts w:ascii="Arial" w:hAnsi="Arial"/>
                <w:color w:val="000000"/>
                <w:sz w:val="16"/>
              </w:rPr>
              <w:t>$ 127.6</w:t>
            </w:r>
          </w:p>
        </w:tc>
      </w:tr>
      <w:tr>
        <w:trPr/>
        <w:tc>
          <w:tcPr>
            <w:tcW w:w="4051" w:type="dxa"/>
            <w:tcBorders/>
            <w:shd w:fill="DCE2EF" w:val="clear"/>
            <w:tcMar>
              <w:top w:w="0" w:type="dxa"/>
              <w:left w:w="0" w:type="dxa"/>
              <w:bottom w:w="0" w:type="dxa"/>
              <w:right w:w="0" w:type="dxa"/>
            </w:tcMar>
            <w:vAlign w:val="center"/>
          </w:tcPr>
          <w:p>
            <w:pPr>
              <w:pStyle w:val="TableContents"/>
              <w:bidi w:val="0"/>
              <w:spacing w:before="75" w:after="30"/>
              <w:ind w:left="0" w:right="0" w:firstLine="135"/>
              <w:jc w:val="left"/>
              <w:rPr>
                <w:rFonts w:ascii="Arial" w:hAnsi="Arial"/>
                <w:color w:val="000000"/>
                <w:sz w:val="17"/>
              </w:rPr>
            </w:pPr>
            <w:r>
              <w:rPr>
                <w:rFonts w:ascii="Arial" w:hAnsi="Arial"/>
                <w:color w:val="000000"/>
                <w:sz w:val="17"/>
              </w:rPr>
              <w:t>Items impacting comparability</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16.3</w:t>
            </w:r>
          </w:p>
        </w:tc>
        <w:tc>
          <w:tcPr>
            <w:tcW w:w="24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13.8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46.0</w:t>
            </w:r>
          </w:p>
        </w:tc>
        <w:tc>
          <w:tcPr>
            <w:tcW w:w="21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DCE2EF" w:val="clear"/>
            <w:tcMar>
              <w:top w:w="0" w:type="dxa"/>
              <w:left w:w="0" w:type="dxa"/>
              <w:bottom w:w="0" w:type="dxa"/>
              <w:right w:w="0" w:type="dxa"/>
            </w:tcMar>
            <w:vAlign w:val="center"/>
          </w:tcPr>
          <w:p>
            <w:pPr>
              <w:pStyle w:val="TableContents"/>
              <w:bidi w:val="0"/>
              <w:spacing w:before="75" w:after="30"/>
              <w:ind w:left="0" w:right="0" w:firstLine="135"/>
              <w:jc w:val="right"/>
              <w:rPr>
                <w:color w:val="000000"/>
              </w:rPr>
            </w:pPr>
            <w:r>
              <w:rPr>
                <w:color w:val="000000"/>
              </w:rPr>
              <w:t> </w:t>
            </w:r>
            <w:r>
              <w:rPr>
                <w:rFonts w:ascii="Arial" w:hAnsi="Arial"/>
                <w:color w:val="000000"/>
                <w:sz w:val="17"/>
              </w:rPr>
              <w:t>46.8</w:t>
            </w:r>
          </w:p>
        </w:tc>
      </w:tr>
      <w:tr>
        <w:trPr/>
        <w:tc>
          <w:tcPr>
            <w:tcW w:w="4051" w:type="dxa"/>
            <w:tcBorders/>
            <w:shd w:fill="FFFFFF" w:val="clear"/>
            <w:tcMar>
              <w:top w:w="0" w:type="dxa"/>
              <w:left w:w="0" w:type="dxa"/>
              <w:bottom w:w="0" w:type="dxa"/>
              <w:right w:w="0" w:type="dxa"/>
            </w:tcMar>
            <w:vAlign w:val="center"/>
          </w:tcPr>
          <w:p>
            <w:pPr>
              <w:pStyle w:val="TableContents"/>
              <w:bidi w:val="0"/>
              <w:spacing w:before="75" w:after="30"/>
              <w:ind w:left="0" w:right="0" w:firstLine="135"/>
              <w:jc w:val="left"/>
              <w:rPr>
                <w:rFonts w:ascii="Arial" w:hAnsi="Arial"/>
                <w:color w:val="000000"/>
                <w:sz w:val="17"/>
              </w:rPr>
            </w:pPr>
            <w:r>
              <w:rPr>
                <w:rFonts w:ascii="Arial" w:hAnsi="Arial"/>
                <w:color w:val="000000"/>
                <w:sz w:val="17"/>
              </w:rPr>
              <w:t>Income taxes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13.5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6"/>
              </w:rPr>
              <w:t>43.5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75" w:after="30"/>
              <w:ind w:left="0" w:right="0" w:firstLine="135"/>
              <w:jc w:val="right"/>
              <w:rPr>
                <w:color w:val="000000"/>
              </w:rPr>
            </w:pPr>
            <w:r>
              <w:rPr>
                <w:color w:val="000000"/>
              </w:rPr>
              <w:t> </w:t>
            </w:r>
            <w:r>
              <w:rPr>
                <w:rFonts w:ascii="Arial" w:hAnsi="Arial"/>
                <w:color w:val="000000"/>
                <w:sz w:val="16"/>
              </w:rPr>
              <w:t>47.0</w:t>
            </w:r>
          </w:p>
        </w:tc>
      </w:tr>
      <w:tr>
        <w:trPr/>
        <w:tc>
          <w:tcPr>
            <w:tcW w:w="4051" w:type="dxa"/>
            <w:tcBorders/>
            <w:shd w:fill="DCE2EF" w:val="clear"/>
            <w:tcMar>
              <w:top w:w="0" w:type="dxa"/>
              <w:left w:w="0" w:type="dxa"/>
              <w:bottom w:w="0" w:type="dxa"/>
              <w:right w:w="0" w:type="dxa"/>
            </w:tcMar>
            <w:vAlign w:val="center"/>
          </w:tcPr>
          <w:p>
            <w:pPr>
              <w:pStyle w:val="TableContents"/>
              <w:bidi w:val="0"/>
              <w:spacing w:before="75" w:after="30"/>
              <w:ind w:left="0" w:right="0" w:firstLine="135"/>
              <w:jc w:val="left"/>
              <w:rPr>
                <w:rFonts w:ascii="Arial" w:hAnsi="Arial"/>
                <w:color w:val="000000"/>
                <w:sz w:val="17"/>
              </w:rPr>
            </w:pPr>
            <w:r>
              <w:rPr>
                <w:rFonts w:ascii="Arial" w:hAnsi="Arial"/>
                <w:color w:val="000000"/>
                <w:sz w:val="17"/>
              </w:rPr>
              <w:t>Interest expense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29.5</w:t>
            </w:r>
          </w:p>
        </w:tc>
        <w:tc>
          <w:tcPr>
            <w:tcW w:w="243"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25.3</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DCE2EF" w:val="clear"/>
            <w:tcMar>
              <w:top w:w="0" w:type="dxa"/>
              <w:left w:w="0" w:type="dxa"/>
              <w:bottom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81.6</w:t>
            </w:r>
          </w:p>
        </w:tc>
        <w:tc>
          <w:tcPr>
            <w:tcW w:w="21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DCE2EF" w:val="clear"/>
            <w:tcMar>
              <w:top w:w="0" w:type="dxa"/>
              <w:left w:w="0" w:type="dxa"/>
              <w:bottom w:w="0" w:type="dxa"/>
              <w:right w:w="0" w:type="dxa"/>
            </w:tcMar>
            <w:vAlign w:val="center"/>
          </w:tcPr>
          <w:p>
            <w:pPr>
              <w:pStyle w:val="TableContents"/>
              <w:bidi w:val="0"/>
              <w:spacing w:before="75" w:after="30"/>
              <w:ind w:left="0" w:right="0" w:firstLine="135"/>
              <w:jc w:val="right"/>
              <w:rPr>
                <w:color w:val="000000"/>
              </w:rPr>
            </w:pPr>
            <w:r>
              <w:rPr>
                <w:color w:val="000000"/>
              </w:rPr>
              <w:t> </w:t>
            </w:r>
            <w:r>
              <w:rPr>
                <w:rFonts w:ascii="Arial" w:hAnsi="Arial"/>
                <w:color w:val="000000"/>
                <w:sz w:val="17"/>
              </w:rPr>
              <w:t>72.1</w:t>
            </w:r>
          </w:p>
        </w:tc>
      </w:tr>
      <w:tr>
        <w:trPr/>
        <w:tc>
          <w:tcPr>
            <w:tcW w:w="4051" w:type="dxa"/>
            <w:tcBorders/>
            <w:shd w:fill="FFFFFF" w:val="clear"/>
            <w:tcMar>
              <w:top w:w="0" w:type="dxa"/>
              <w:left w:w="0" w:type="dxa"/>
              <w:bottom w:w="0" w:type="dxa"/>
              <w:right w:w="0" w:type="dxa"/>
            </w:tcMar>
            <w:vAlign w:val="center"/>
          </w:tcPr>
          <w:p>
            <w:pPr>
              <w:pStyle w:val="TableContents"/>
              <w:bidi w:val="0"/>
              <w:spacing w:before="75" w:after="30"/>
              <w:ind w:left="0" w:right="0" w:firstLine="135"/>
              <w:jc w:val="left"/>
              <w:rPr>
                <w:rFonts w:ascii="Arial" w:hAnsi="Arial"/>
                <w:color w:val="000000"/>
                <w:sz w:val="17"/>
              </w:rPr>
            </w:pPr>
            <w:r>
              <w:rPr>
                <w:rFonts w:ascii="Arial" w:hAnsi="Arial"/>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30.7</w:t>
            </w:r>
          </w:p>
        </w:tc>
        <w:tc>
          <w:tcPr>
            <w:tcW w:w="24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27.4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86.5</w:t>
            </w:r>
          </w:p>
        </w:tc>
        <w:tc>
          <w:tcPr>
            <w:tcW w:w="2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78.9</w:t>
            </w:r>
          </w:p>
        </w:tc>
      </w:tr>
      <w:tr>
        <w:trPr/>
        <w:tc>
          <w:tcPr>
            <w:tcW w:w="4051"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 xml:space="preserve">Adjusted EBITDA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$ 139.6</w:t>
            </w:r>
          </w:p>
        </w:tc>
        <w:tc>
          <w:tcPr>
            <w:tcW w:w="243"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$ 125.8</w:t>
            </w:r>
          </w:p>
        </w:tc>
        <w:tc>
          <w:tcPr>
            <w:tcW w:w="146"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$ 389.2</w:t>
            </w:r>
          </w:p>
        </w:tc>
        <w:tc>
          <w:tcPr>
            <w:tcW w:w="212" w:type="dxa"/>
            <w:tcBorders>
              <w:bottom w:val="doub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double" w:sz="8" w:space="0" w:color="000000"/>
            </w:tcBorders>
            <w:shd w:fill="DCE2E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$ 372.4</w:t>
            </w:r>
          </w:p>
        </w:tc>
      </w:tr>
      <w:tr>
        <w:trPr/>
        <w:tc>
          <w:tcPr>
            <w:tcW w:w="4051" w:type="dxa"/>
            <w:tcBorders/>
            <w:shd w:fill="FFFFFF" w:val="clear"/>
            <w:tcMar>
              <w:top w:w="0" w:type="dxa"/>
              <w:left w:w="0" w:type="dxa"/>
              <w:bottom w:w="0" w:type="dxa"/>
              <w:right w:w="0" w:type="dxa"/>
            </w:tcMar>
            <w:vAlign w:val="center"/>
          </w:tcPr>
          <w:p>
            <w:pPr>
              <w:pStyle w:val="TableContents"/>
              <w:bidi w:val="0"/>
              <w:spacing w:before="15" w:after="30"/>
              <w:jc w:val="left"/>
              <w:rPr>
                <w:rFonts w:ascii="Arial" w:hAnsi="Arial"/>
                <w:b/>
                <w:color w:val="000000"/>
                <w:sz w:val="17"/>
              </w:rPr>
            </w:pPr>
            <w:r>
              <w:rPr>
                <w:rFonts w:ascii="Arial" w:hAnsi="Arial"/>
                <w:b/>
                <w:color w:val="000000"/>
                <w:sz w:val="17"/>
              </w:rPr>
              <w:t>Net Income margin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2.1 %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6"/>
              </w:rPr>
              <w:t>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6"/>
              </w:rPr>
              <w:t>2.0 %</w:t>
            </w:r>
          </w:p>
        </w:tc>
      </w:tr>
    </w:tbl>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700"/>
        <w:gridCol w:w="146"/>
        <w:gridCol w:w="936"/>
        <w:gridCol w:w="245"/>
        <w:gridCol w:w="936"/>
        <w:gridCol w:w="146"/>
        <w:gridCol w:w="894"/>
        <w:gridCol w:w="234"/>
        <w:gridCol w:w="968"/>
      </w:tblGrid>
      <w:tr>
        <w:trPr/>
        <w:tc>
          <w:tcPr>
            <w:tcW w:w="5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5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Three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96"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Nine Months Ended July 31,</w:t>
            </w:r>
          </w:p>
        </w:tc>
      </w:tr>
      <w:tr>
        <w:trPr/>
        <w:tc>
          <w:tcPr>
            <w:tcW w:w="5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bookmarkStart w:id="14" w:name="cellc2_non_gaap"/>
            <w:bookmarkEnd w:id="14"/>
            <w:r>
              <w:rPr>
                <w:rFonts w:ascii="Arial" w:hAnsi="Arial"/>
                <w:b/>
                <w:color w:val="000000"/>
                <w:sz w:val="17"/>
              </w:rPr>
              <w:t>2026</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3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r>
      <w:tr>
        <w:trPr/>
        <w:tc>
          <w:tcPr>
            <w:tcW w:w="5700"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7"/>
              </w:rPr>
            </w:pPr>
            <w:r>
              <w:rPr>
                <w:rFonts w:ascii="Arial" w:hAnsi="Arial"/>
                <w:b/>
                <w:color w:val="000000"/>
                <w:sz w:val="17"/>
              </w:rPr>
              <w:t>Reconciliation of Net Income per Diluted Share to Adjusted Net Income per Diluted Share</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0"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7"/>
              </w:rPr>
            </w:pPr>
            <w:r>
              <w:rPr>
                <w:rFonts w:ascii="Arial" w:hAnsi="Arial"/>
                <w:color w:val="000000"/>
                <w:sz w:val="17"/>
              </w:rPr>
              <w:t>Net income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$ 0.84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6"/>
              </w:rPr>
            </w:pPr>
            <w:r>
              <w:rPr>
                <w:rFonts w:ascii="Arial" w:hAnsi="Arial"/>
                <w:color w:val="000000"/>
                <w:sz w:val="16"/>
              </w:rPr>
              <w:t>$ 2.20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6"/>
              </w:rPr>
            </w:pPr>
            <w:r>
              <w:rPr>
                <w:rFonts w:ascii="Arial" w:hAnsi="Arial"/>
                <w:color w:val="000000"/>
                <w:sz w:val="16"/>
              </w:rPr>
              <w:t>$ 2.03</w:t>
            </w:r>
          </w:p>
        </w:tc>
      </w:tr>
      <w:tr>
        <w:trPr/>
        <w:tc>
          <w:tcPr>
            <w:tcW w:w="5700"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7"/>
              </w:rPr>
            </w:pPr>
            <w:r>
              <w:rPr>
                <w:rFonts w:ascii="Arial" w:hAnsi="Arial"/>
                <w:color w:val="000000"/>
                <w:sz w:val="17"/>
              </w:rPr>
              <w:t>Items impacting comparability, net of taxes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0.20</w:t>
            </w:r>
          </w:p>
        </w:tc>
        <w:tc>
          <w:tcPr>
            <w:tcW w:w="245"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$ 0.16</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0.56</w:t>
            </w:r>
          </w:p>
        </w:tc>
        <w:tc>
          <w:tcPr>
            <w:tcW w:w="234"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0.53</w:t>
            </w:r>
          </w:p>
        </w:tc>
      </w:tr>
      <w:tr>
        <w:trPr/>
        <w:tc>
          <w:tcPr>
            <w:tcW w:w="5700"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Adjusted net income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$ 1.04</w:t>
            </w:r>
          </w:p>
        </w:tc>
        <w:tc>
          <w:tcPr>
            <w:tcW w:w="245"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$ 0.82</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$ 2.76</w:t>
            </w:r>
          </w:p>
        </w:tc>
        <w:tc>
          <w:tcPr>
            <w:tcW w:w="234"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$ 2.56</w:t>
            </w:r>
          </w:p>
        </w:tc>
      </w:tr>
      <w:tr>
        <w:trPr/>
        <w:tc>
          <w:tcPr>
            <w:tcW w:w="5700" w:type="dxa"/>
            <w:tcBorders/>
            <w:shd w:fill="DCE2EF" w:val="clear"/>
            <w:tcMar>
              <w:top w:w="0" w:type="dxa"/>
              <w:left w:w="0" w:type="dxa"/>
              <w:bottom w:w="0" w:type="dxa"/>
              <w:right w:w="0" w:type="dxa"/>
            </w:tcMar>
            <w:vAlign w:val="center"/>
          </w:tcPr>
          <w:p>
            <w:pPr>
              <w:pStyle w:val="TableContents"/>
              <w:bidi w:val="0"/>
              <w:spacing w:before="15" w:after="30"/>
              <w:jc w:val="left"/>
              <w:rPr>
                <w:rFonts w:ascii="Arial" w:hAnsi="Arial"/>
                <w:color w:val="000000"/>
                <w:sz w:val="17"/>
              </w:rPr>
            </w:pPr>
            <w:r>
              <w:rPr>
                <w:rFonts w:ascii="Arial" w:hAnsi="Arial"/>
                <w:color w:val="000000"/>
                <w:sz w:val="17"/>
              </w:rPr>
              <w:t>Diluted shares</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CE2E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59.3</w:t>
            </w:r>
          </w:p>
        </w:tc>
        <w:tc>
          <w:tcPr>
            <w:tcW w:w="245"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CE2E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62.8</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DCE2E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59.7</w:t>
            </w:r>
          </w:p>
        </w:tc>
        <w:tc>
          <w:tcPr>
            <w:tcW w:w="23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CE2EF" w:val="clear"/>
            <w:tcMar>
              <w:top w:w="0" w:type="dxa"/>
              <w:left w:w="0" w:type="dxa"/>
              <w:bottom w:w="0" w:type="dxa"/>
              <w:right w:w="0" w:type="dxa"/>
            </w:tcMar>
            <w:vAlign w:val="center"/>
          </w:tcPr>
          <w:p>
            <w:pPr>
              <w:pStyle w:val="TableContents"/>
              <w:bidi w:val="0"/>
              <w:spacing w:before="15" w:after="30"/>
              <w:jc w:val="right"/>
              <w:rPr>
                <w:color w:val="000000"/>
              </w:rPr>
            </w:pPr>
            <w:r>
              <w:rPr>
                <w:color w:val="000000"/>
              </w:rPr>
              <w:t> </w:t>
            </w:r>
            <w:r>
              <w:rPr>
                <w:rFonts w:ascii="Arial" w:hAnsi="Arial"/>
                <w:color w:val="000000"/>
                <w:sz w:val="17"/>
              </w:rPr>
              <w:t>63.0</w:t>
            </w:r>
          </w:p>
        </w:tc>
      </w:tr>
    </w:tbl>
    <w:p>
      <w:pPr>
        <w:pStyle w:val="TextBody"/>
        <w:bidi w:val="0"/>
        <w:spacing w:before="180" w:after="283"/>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70"/>
        <w:gridCol w:w="146"/>
        <w:gridCol w:w="1004"/>
        <w:gridCol w:w="226"/>
        <w:gridCol w:w="1004"/>
        <w:gridCol w:w="146"/>
        <w:gridCol w:w="961"/>
        <w:gridCol w:w="216"/>
        <w:gridCol w:w="1032"/>
      </w:tblGrid>
      <w:tr>
        <w:trPr/>
        <w:tc>
          <w:tcPr>
            <w:tcW w:w="5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Three Months Ended 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09"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7"/>
              </w:rPr>
            </w:pPr>
            <w:r>
              <w:rPr>
                <w:rFonts w:ascii="Arial" w:hAnsi="Arial"/>
                <w:b/>
                <w:color w:val="000000"/>
                <w:sz w:val="17"/>
              </w:rPr>
              <w:t>Nine Months Ended July 31,</w:t>
            </w:r>
          </w:p>
        </w:tc>
      </w:tr>
      <w:tr>
        <w:trPr/>
        <w:tc>
          <w:tcPr>
            <w:tcW w:w="5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2026</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8" w:space="0" w:color="000000"/>
            </w:tcBorders>
            <w:tcMar>
              <w:top w:w="0" w:type="dxa"/>
              <w:left w:w="0" w:type="dxa"/>
              <w:right w:w="0" w:type="dxa"/>
            </w:tcMar>
            <w:vAlign w:val="center"/>
          </w:tcPr>
          <w:p>
            <w:pPr>
              <w:pStyle w:val="TableContents"/>
              <w:bidi w:val="0"/>
              <w:spacing w:before="55" w:after="30"/>
              <w:jc w:val="center"/>
              <w:rPr>
                <w:rFonts w:ascii="Arial" w:hAnsi="Arial"/>
                <w:b/>
                <w:color w:val="000000"/>
                <w:sz w:val="17"/>
              </w:rPr>
            </w:pPr>
            <w:r>
              <w:rPr>
                <w:rFonts w:ascii="Arial" w:hAnsi="Arial"/>
                <w:b/>
                <w:color w:val="000000"/>
                <w:sz w:val="17"/>
              </w:rPr>
              <w:t>2025</w:t>
            </w:r>
          </w:p>
        </w:tc>
      </w:tr>
      <w:tr>
        <w:trPr/>
        <w:tc>
          <w:tcPr>
            <w:tcW w:w="5470" w:type="dxa"/>
            <w:tcBorders/>
            <w:shd w:fill="DCE2EF" w:val="clear"/>
            <w:tcMar>
              <w:top w:w="0" w:type="dxa"/>
              <w:left w:w="0" w:type="dxa"/>
              <w:bottom w:w="0" w:type="dxa"/>
              <w:right w:w="0" w:type="dxa"/>
            </w:tcMar>
            <w:vAlign w:val="center"/>
          </w:tcPr>
          <w:p>
            <w:pPr>
              <w:pStyle w:val="TableContents"/>
              <w:bidi w:val="0"/>
              <w:spacing w:before="55" w:after="30"/>
              <w:jc w:val="left"/>
              <w:rPr>
                <w:rFonts w:ascii="Arial" w:hAnsi="Arial"/>
                <w:b/>
                <w:color w:val="000000"/>
                <w:sz w:val="17"/>
              </w:rPr>
            </w:pPr>
            <w:r>
              <w:rPr>
                <w:rFonts w:ascii="Arial" w:hAnsi="Arial"/>
                <w:b/>
                <w:color w:val="000000"/>
                <w:sz w:val="17"/>
              </w:rPr>
              <w:t>Reconciliation of Net Cash Provided by Operating Activities to Free Cash Flow</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0"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7"/>
              </w:rPr>
            </w:pPr>
            <w:r>
              <w:rPr>
                <w:rFonts w:ascii="Arial" w:hAnsi="Arial"/>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$ 146.8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$ 275.0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75" w:after="30"/>
              <w:jc w:val="right"/>
              <w:rPr>
                <w:rFonts w:ascii="Arial" w:hAnsi="Arial"/>
                <w:color w:val="000000"/>
                <w:sz w:val="17"/>
              </w:rPr>
            </w:pPr>
            <w:r>
              <w:rPr>
                <w:rFonts w:ascii="Arial" w:hAnsi="Arial"/>
                <w:color w:val="000000"/>
                <w:sz w:val="17"/>
              </w:rPr>
              <w:t>$ 101.0</w:t>
            </w:r>
          </w:p>
        </w:tc>
      </w:tr>
      <w:tr>
        <w:trPr/>
        <w:tc>
          <w:tcPr>
            <w:tcW w:w="5470" w:type="dxa"/>
            <w:tcBorders/>
            <w:shd w:fill="DCE2E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7"/>
              </w:rPr>
            </w:pPr>
            <w:r>
              <w:rPr>
                <w:rFonts w:ascii="Arial" w:hAnsi="Arial"/>
                <w:color w:val="000000"/>
                <w:sz w:val="17"/>
              </w:rPr>
              <w:t>Additions to property, plant and equipment</w:t>
            </w:r>
          </w:p>
        </w:tc>
        <w:tc>
          <w:tcPr>
            <w:tcW w:w="146" w:type="dxa"/>
            <w:tcBorders/>
            <w:shd w:fill="DCE2E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(18.4)</w:t>
            </w:r>
          </w:p>
        </w:tc>
        <w:tc>
          <w:tcPr>
            <w:tcW w:w="22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(24.8)</w:t>
            </w:r>
          </w:p>
        </w:tc>
        <w:tc>
          <w:tcPr>
            <w:tcW w:w="14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(75.4)</w:t>
            </w:r>
          </w:p>
        </w:tc>
        <w:tc>
          <w:tcPr>
            <w:tcW w:w="216" w:type="dxa"/>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8" w:space="0" w:color="000000"/>
            </w:tcBorders>
            <w:shd w:fill="DCE2EF" w:val="clear"/>
            <w:tcMar>
              <w:top w:w="0" w:type="dxa"/>
              <w:left w:w="0" w:type="dxa"/>
              <w:right w:w="0" w:type="dxa"/>
            </w:tcMar>
            <w:vAlign w:val="center"/>
          </w:tcPr>
          <w:p>
            <w:pPr>
              <w:pStyle w:val="TableContents"/>
              <w:bidi w:val="0"/>
              <w:spacing w:before="75" w:after="30"/>
              <w:jc w:val="right"/>
              <w:rPr>
                <w:color w:val="000000"/>
              </w:rPr>
            </w:pPr>
            <w:r>
              <w:rPr>
                <w:color w:val="000000"/>
              </w:rPr>
              <w:t> </w:t>
            </w:r>
            <w:r>
              <w:rPr>
                <w:rFonts w:ascii="Arial" w:hAnsi="Arial"/>
                <w:color w:val="000000"/>
                <w:sz w:val="17"/>
              </w:rPr>
              <w:t>(58.6)</w:t>
            </w:r>
          </w:p>
        </w:tc>
      </w:tr>
      <w:tr>
        <w:trPr/>
        <w:tc>
          <w:tcPr>
            <w:tcW w:w="5470" w:type="dxa"/>
            <w:tcBorders/>
            <w:shd w:fill="FFFF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17"/>
              </w:rPr>
            </w:pPr>
            <w:r>
              <w:rPr>
                <w:rFonts w:ascii="Arial" w:hAnsi="Arial"/>
                <w:color w:val="000000"/>
                <w:sz w:val="17"/>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$ 128.4</w:t>
            </w:r>
          </w:p>
        </w:tc>
        <w:tc>
          <w:tcPr>
            <w:tcW w:w="22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$ 150.2</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$ 199.6</w:t>
            </w:r>
          </w:p>
        </w:tc>
        <w:tc>
          <w:tcPr>
            <w:tcW w:w="21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double" w:sz="8" w:space="0" w:color="000000"/>
            </w:tcBorders>
            <w:shd w:fill="FFFFFF" w:val="clear"/>
            <w:tcMar>
              <w:top w:w="0" w:type="dxa"/>
              <w:left w:w="0" w:type="dxa"/>
              <w:right w:w="0" w:type="dxa"/>
            </w:tcMar>
            <w:vAlign w:val="center"/>
          </w:tcPr>
          <w:p>
            <w:pPr>
              <w:pStyle w:val="TableContents"/>
              <w:bidi w:val="0"/>
              <w:spacing w:before="55" w:after="30"/>
              <w:jc w:val="right"/>
              <w:rPr>
                <w:rFonts w:ascii="Arial" w:hAnsi="Arial"/>
                <w:color w:val="000000"/>
                <w:sz w:val="17"/>
              </w:rPr>
            </w:pPr>
            <w:r>
              <w:rPr>
                <w:rFonts w:ascii="Arial" w:hAnsi="Arial"/>
                <w:color w:val="000000"/>
                <w:sz w:val="17"/>
              </w:rPr>
              <w:t>$ 42.4</w:t>
            </w:r>
          </w:p>
        </w:tc>
      </w:tr>
    </w:tbl>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(a) </w:t>
      </w:r>
      <w:r>
        <w:rPr>
          <w:rFonts w:ascii="Arial" w:hAnsi="Arial"/>
          <w:color w:val="000000"/>
          <w:sz w:val="13"/>
        </w:rPr>
        <w:t>The Company adjusts income to exclude the impact of certain items that are unusual, non-recurring, or otherwise do not reflect management's views of the underlying operational results and trends of the Company.</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(b) </w:t>
      </w:r>
      <w:r>
        <w:rPr>
          <w:rFonts w:ascii="Arial" w:hAnsi="Arial"/>
          <w:color w:val="000000"/>
          <w:sz w:val="13"/>
        </w:rPr>
        <w:t>After communications with the staff of the Securities and Exchange Commission, we have revised the definition of our non-GAAP financial measures, including adjusted net income, adjusted earnings per share, and adjusted EBITDA, to no longer exclude the positive or negative impact of “prior year self-insurance adjustments”. Prior year self-insurance adjustments reflect the net changes to our self-insurance reserves for our general liability, workers’ compensation, automobile, and health insurance programs, related to claims from incidents that occurred in previous years.</w:t>
      </w:r>
      <w:r>
        <w:rPr>
          <w:rFonts w:ascii="Arial" w:hAnsi="Arial"/>
          <w:color w:val="000000"/>
          <w:sz w:val="9"/>
        </w:rPr>
        <w:t xml:space="preserve"> </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(c) </w:t>
      </w:r>
      <w:r>
        <w:rPr>
          <w:rFonts w:ascii="Arial" w:hAnsi="Arial"/>
          <w:color w:val="000000"/>
          <w:sz w:val="13"/>
        </w:rPr>
        <w:t>Represents costs associated with restructuring program to further streamline our operations and improve the efficiency of our support functions.</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(d) </w:t>
      </w:r>
      <w:r>
        <w:rPr>
          <w:rFonts w:ascii="Arial" w:hAnsi="Arial"/>
          <w:color w:val="000000"/>
          <w:sz w:val="13"/>
        </w:rPr>
        <w:t>Represents acquisition and integration related costs associated with recent acquisitions.</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(e) </w:t>
      </w:r>
      <w:r>
        <w:rPr>
          <w:rFonts w:ascii="Arial" w:hAnsi="Arial"/>
          <w:color w:val="000000"/>
          <w:sz w:val="13"/>
        </w:rPr>
        <w:t>Represents discrete transformational costs that primarily consist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(f) </w:t>
      </w:r>
      <w:r>
        <w:rPr>
          <w:rFonts w:ascii="Arial" w:hAnsi="Arial"/>
          <w:color w:val="000000"/>
          <w:sz w:val="13"/>
        </w:rPr>
        <w:t>Nine months ended July 31, 2025 include a parking tax audit settlement related to prior years.</w:t>
      </w:r>
      <w:r>
        <w:rPr>
          <w:rFonts w:ascii="Arial" w:hAnsi="Arial"/>
          <w:color w:val="000000"/>
          <w:sz w:val="9"/>
        </w:rPr>
        <w:t xml:space="preserve"> </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(g) </w:t>
      </w:r>
      <w:r>
        <w:rPr>
          <w:rFonts w:ascii="Arial" w:hAnsi="Arial"/>
          <w:color w:val="000000"/>
          <w:sz w:val="13"/>
        </w:rPr>
        <w:t>The Company's tax impact is calculated using the federal and state statutory rate of 27.72% and 28.11% for FY2026 and FY2025, respectively. We calculate tax from the underlying whole-dollar amounts, as a result, certain amounts may not recalculate based on reported numbers due to rounding.</w:t>
      </w:r>
    </w:p>
    <w:p>
      <w:pPr>
        <w:pStyle w:val="TextBody"/>
        <w:bidi w:val="0"/>
        <w:jc w:val="both"/>
        <w:rPr/>
      </w:pPr>
      <w:r>
        <w:rPr/>
        <w:t> </w:t>
      </w:r>
    </w:p>
    <w:p>
      <w:pPr>
        <w:pStyle w:val="TextBody"/>
        <w:bidi w:val="0"/>
        <w:spacing w:lineRule="auto" w:line="360"/>
        <w:jc w:val="both"/>
        <w:rPr>
          <w:rFonts w:ascii="Arial" w:hAnsi="Arial"/>
          <w:sz w:val="9"/>
        </w:rPr>
      </w:pPr>
      <w:r>
        <w:rPr>
          <w:rFonts w:ascii="Arial" w:hAnsi="Arial"/>
          <w:color w:val="000000"/>
          <w:sz w:val="9"/>
        </w:rPr>
        <w:t xml:space="preserve">(h) </w:t>
      </w:r>
      <w:r>
        <w:rPr>
          <w:rFonts w:ascii="Arial" w:hAnsi="Arial"/>
          <w:color w:val="000000"/>
          <w:sz w:val="13"/>
        </w:rPr>
        <w:t>The three and nine months ended July 31, 2025 include a $0.1 million charge related to ERC refunds received from IRS. The nine months ended July 31, 2025 include a $0.1 million benefit for uncertain tax positions with expiring statues.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5108</Words>
  <Characters>28465</Characters>
  <CharactersWithSpaces>33903</CharactersWithSpaces>
  <Paragraphs>1603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