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860425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826135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4" w:lineRule="exact"/>
        <w:rPr>
          <w:sz w:val="24"/>
          <w:szCs w:val="24"/>
          <w:color w:val="auto"/>
        </w:rPr>
      </w:pPr>
    </w:p>
    <w:p>
      <w:pPr>
        <w:ind w:left="680" w:right="380" w:hanging="654"/>
        <w:spacing w:after="0" w:line="247"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2"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 xml:space="preserve">For the quarterly period ended </w:t>
      </w:r>
      <w:r>
        <w:rPr>
          <w:rFonts w:ascii="Arial" w:cs="Arial" w:eastAsia="Arial" w:hAnsi="Arial"/>
          <w:sz w:val="22"/>
          <w:szCs w:val="22"/>
          <w:b w:val="1"/>
          <w:bCs w:val="1"/>
          <w:u w:val="single" w:color="auto"/>
          <w:color w:val="auto"/>
        </w:rPr>
        <w:t>April 30, 2024</w:t>
      </w:r>
    </w:p>
    <w:p>
      <w:pPr>
        <w:spacing w:after="0" w:line="26" w:lineRule="exact"/>
        <w:rPr>
          <w:sz w:val="24"/>
          <w:szCs w:val="24"/>
          <w:color w:val="auto"/>
        </w:rPr>
      </w:pPr>
    </w:p>
    <w:p>
      <w:pPr>
        <w:ind w:left="5520"/>
        <w:spacing w:after="0"/>
        <w:rPr>
          <w:sz w:val="20"/>
          <w:szCs w:val="20"/>
          <w:color w:val="auto"/>
        </w:rPr>
      </w:pPr>
      <w:r>
        <w:rPr>
          <w:rFonts w:ascii="Arial" w:cs="Arial" w:eastAsia="Arial" w:hAnsi="Arial"/>
          <w:sz w:val="22"/>
          <w:szCs w:val="22"/>
          <w:color w:val="auto"/>
        </w:rPr>
        <w:t>or</w:t>
      </w:r>
    </w:p>
    <w:p>
      <w:pPr>
        <w:spacing w:after="0" w:line="171" w:lineRule="exact"/>
        <w:rPr>
          <w:sz w:val="24"/>
          <w:szCs w:val="24"/>
          <w:color w:val="auto"/>
        </w:rPr>
      </w:pPr>
    </w:p>
    <w:p>
      <w:pPr>
        <w:ind w:left="680" w:right="400" w:hanging="654"/>
        <w:spacing w:after="0" w:line="247"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9" w:lineRule="exact"/>
        <w:rPr>
          <w:sz w:val="24"/>
          <w:szCs w:val="24"/>
          <w:color w:val="auto"/>
        </w:rPr>
      </w:pPr>
    </w:p>
    <w:p>
      <w:pPr>
        <w:ind w:left="36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3923665</wp:posOffset>
            </wp:positionH>
            <wp:positionV relativeFrom="paragraph">
              <wp:posOffset>-7620</wp:posOffset>
            </wp:positionV>
            <wp:extent cx="932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9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246380</wp:posOffset>
            </wp:positionV>
            <wp:extent cx="1680210"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21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jc w:val="center"/>
              <w:ind w:right="38"/>
              <w:spacing w:after="0"/>
              <w:rPr>
                <w:sz w:val="20"/>
                <w:szCs w:val="20"/>
                <w:color w:val="auto"/>
              </w:rPr>
            </w:pPr>
            <w:r>
              <w:rPr>
                <w:rFonts w:ascii="Arial" w:cs="Arial" w:eastAsia="Arial" w:hAnsi="Arial"/>
                <w:sz w:val="16"/>
                <w:szCs w:val="16"/>
                <w:b w:val="1"/>
                <w:bCs w:val="1"/>
                <w:color w:val="auto"/>
              </w:rPr>
              <w:t>Delaware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00" w:type="dxa"/>
            <w:vAlign w:val="bottom"/>
          </w:tcPr>
          <w:p>
            <w:pPr>
              <w:jc w:val="center"/>
              <w:ind w:left="919"/>
              <w:spacing w:after="0"/>
              <w:rPr>
                <w:sz w:val="20"/>
                <w:szCs w:val="20"/>
                <w:color w:val="auto"/>
              </w:rPr>
            </w:pPr>
            <w:r>
              <w:rPr>
                <w:rFonts w:ascii="Arial" w:cs="Arial" w:eastAsia="Arial" w:hAnsi="Arial"/>
                <w:sz w:val="16"/>
                <w:szCs w:val="16"/>
                <w:b w:val="1"/>
                <w:bCs w:val="1"/>
                <w:color w:val="auto"/>
              </w:rPr>
              <w:t>94-1369354</w:t>
            </w:r>
          </w:p>
        </w:tc>
      </w:tr>
      <w:tr>
        <w:trPr>
          <w:trHeight w:val="163"/>
        </w:trPr>
        <w:tc>
          <w:tcPr>
            <w:tcW w:w="3200" w:type="dxa"/>
            <w:vAlign w:val="bottom"/>
          </w:tcPr>
          <w:p>
            <w:pPr>
              <w:jc w:val="center"/>
              <w:ind w:right="38"/>
              <w:spacing w:after="0" w:line="163" w:lineRule="exact"/>
              <w:rPr>
                <w:sz w:val="20"/>
                <w:szCs w:val="20"/>
                <w:color w:val="auto"/>
              </w:rPr>
            </w:pPr>
            <w:r>
              <w:rPr>
                <w:rFonts w:ascii="Arial" w:cs="Arial" w:eastAsia="Arial" w:hAnsi="Arial"/>
                <w:sz w:val="16"/>
                <w:szCs w:val="16"/>
                <w:color w:val="auto"/>
              </w:rPr>
              <w:t>(State or other jurisdiction of</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900" w:type="dxa"/>
            <w:vAlign w:val="bottom"/>
          </w:tcPr>
          <w:p>
            <w:pPr>
              <w:jc w:val="center"/>
              <w:ind w:left="919"/>
              <w:spacing w:after="0" w:line="163" w:lineRule="exact"/>
              <w:rPr>
                <w:sz w:val="20"/>
                <w:szCs w:val="20"/>
                <w:color w:val="auto"/>
              </w:rPr>
            </w:pPr>
            <w:r>
              <w:rPr>
                <w:rFonts w:ascii="Arial" w:cs="Arial" w:eastAsia="Arial" w:hAnsi="Arial"/>
                <w:sz w:val="16"/>
                <w:szCs w:val="16"/>
                <w:color w:val="auto"/>
              </w:rPr>
              <w:t>(I.R.S. Employer</w:t>
            </w:r>
          </w:p>
        </w:tc>
      </w:tr>
      <w:tr>
        <w:trPr>
          <w:trHeight w:val="215"/>
        </w:trPr>
        <w:tc>
          <w:tcPr>
            <w:tcW w:w="3200" w:type="dxa"/>
            <w:vAlign w:val="bottom"/>
          </w:tcPr>
          <w:p>
            <w:pPr>
              <w:jc w:val="center"/>
              <w:ind w:right="38"/>
              <w:spacing w:after="0"/>
              <w:rPr>
                <w:sz w:val="20"/>
                <w:szCs w:val="20"/>
                <w:color w:val="auto"/>
              </w:rPr>
            </w:pPr>
            <w:r>
              <w:rPr>
                <w:rFonts w:ascii="Arial" w:cs="Arial" w:eastAsia="Arial" w:hAnsi="Arial"/>
                <w:sz w:val="16"/>
                <w:szCs w:val="16"/>
                <w:color w:val="auto"/>
              </w:rPr>
              <w:t>incorporation or organization)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00" w:type="dxa"/>
            <w:vAlign w:val="bottom"/>
          </w:tcPr>
          <w:p>
            <w:pPr>
              <w:jc w:val="center"/>
              <w:ind w:left="919"/>
              <w:spacing w:after="0"/>
              <w:rPr>
                <w:sz w:val="20"/>
                <w:szCs w:val="20"/>
                <w:color w:val="auto"/>
              </w:rPr>
            </w:pPr>
            <w:r>
              <w:rPr>
                <w:rFonts w:ascii="Arial" w:cs="Arial" w:eastAsia="Arial" w:hAnsi="Arial"/>
                <w:sz w:val="16"/>
                <w:szCs w:val="16"/>
                <w:color w:val="auto"/>
              </w:rPr>
              <w:t>Identification No.)</w:t>
            </w:r>
          </w:p>
        </w:tc>
      </w:tr>
      <w:tr>
        <w:trPr>
          <w:trHeight w:val="343"/>
        </w:trPr>
        <w:tc>
          <w:tcPr>
            <w:tcW w:w="3200" w:type="dxa"/>
            <w:vAlign w:val="bottom"/>
          </w:tcPr>
          <w:p>
            <w:pPr>
              <w:spacing w:after="0"/>
              <w:rPr>
                <w:sz w:val="24"/>
                <w:szCs w:val="24"/>
                <w:color w:val="auto"/>
              </w:rPr>
            </w:pPr>
          </w:p>
        </w:tc>
        <w:tc>
          <w:tcPr>
            <w:tcW w:w="4000" w:type="dxa"/>
            <w:vAlign w:val="bottom"/>
            <w:gridSpan w:val="7"/>
          </w:tcPr>
          <w:p>
            <w:pPr>
              <w:jc w:val="center"/>
              <w:ind w:left="750"/>
              <w:spacing w:after="0"/>
              <w:rPr>
                <w:sz w:val="20"/>
                <w:szCs w:val="20"/>
                <w:color w:val="auto"/>
              </w:rPr>
            </w:pPr>
            <w:r>
              <w:rPr>
                <w:rFonts w:ascii="Arial" w:cs="Arial" w:eastAsia="Arial" w:hAnsi="Arial"/>
                <w:sz w:val="18"/>
                <w:szCs w:val="18"/>
                <w:color w:val="auto"/>
                <w:w w:val="99"/>
              </w:rPr>
              <w:t>__________________________</w:t>
            </w:r>
          </w:p>
        </w:tc>
        <w:tc>
          <w:tcPr>
            <w:tcW w:w="3900" w:type="dxa"/>
            <w:vAlign w:val="bottom"/>
          </w:tcPr>
          <w:p>
            <w:pPr>
              <w:spacing w:after="0"/>
              <w:rPr>
                <w:sz w:val="24"/>
                <w:szCs w:val="24"/>
                <w:color w:val="auto"/>
              </w:rPr>
            </w:pPr>
          </w:p>
        </w:tc>
      </w:tr>
      <w:tr>
        <w:trPr>
          <w:trHeight w:val="301"/>
        </w:trPr>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5"/>
          </w:tcPr>
          <w:p>
            <w:pPr>
              <w:jc w:val="center"/>
              <w:ind w:left="214"/>
              <w:spacing w:after="0"/>
              <w:rPr>
                <w:sz w:val="20"/>
                <w:szCs w:val="20"/>
                <w:color w:val="auto"/>
              </w:rPr>
            </w:pPr>
            <w:r>
              <w:rPr>
                <w:rFonts w:ascii="Arial" w:cs="Arial" w:eastAsia="Arial" w:hAnsi="Arial"/>
                <w:sz w:val="18"/>
                <w:szCs w:val="18"/>
                <w:b w:val="1"/>
                <w:bCs w:val="1"/>
                <w:color w:val="auto"/>
                <w:w w:val="98"/>
              </w:rPr>
              <w:t>One Liberty Plaza, 7</w:t>
            </w:r>
            <w:r>
              <w:rPr>
                <w:rFonts w:ascii="Arial" w:cs="Arial" w:eastAsia="Arial" w:hAnsi="Arial"/>
                <w:sz w:val="23"/>
                <w:szCs w:val="23"/>
                <w:b w:val="1"/>
                <w:bCs w:val="1"/>
                <w:color w:val="auto"/>
                <w:w w:val="98"/>
                <w:vertAlign w:val="superscript"/>
              </w:rPr>
              <w:t>th</w:t>
            </w:r>
            <w:r>
              <w:rPr>
                <w:rFonts w:ascii="Arial" w:cs="Arial" w:eastAsia="Arial" w:hAnsi="Arial"/>
                <w:sz w:val="18"/>
                <w:szCs w:val="18"/>
                <w:b w:val="1"/>
                <w:bCs w:val="1"/>
                <w:color w:val="auto"/>
                <w:w w:val="98"/>
              </w:rPr>
              <w:t xml:space="preserve"> Floor</w:t>
            </w:r>
          </w:p>
        </w:tc>
        <w:tc>
          <w:tcPr>
            <w:tcW w:w="3900" w:type="dxa"/>
            <w:vAlign w:val="bottom"/>
          </w:tcPr>
          <w:p>
            <w:pPr>
              <w:spacing w:after="0"/>
              <w:rPr>
                <w:sz w:val="24"/>
                <w:szCs w:val="24"/>
                <w:color w:val="auto"/>
              </w:rPr>
            </w:pPr>
          </w:p>
        </w:tc>
      </w:tr>
      <w:tr>
        <w:trPr>
          <w:trHeight w:val="247"/>
        </w:trPr>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60" w:type="dxa"/>
            <w:vAlign w:val="bottom"/>
            <w:gridSpan w:val="5"/>
          </w:tcPr>
          <w:p>
            <w:pPr>
              <w:jc w:val="center"/>
              <w:ind w:left="234"/>
              <w:spacing w:after="0"/>
              <w:rPr>
                <w:sz w:val="20"/>
                <w:szCs w:val="20"/>
                <w:color w:val="auto"/>
              </w:rPr>
            </w:pPr>
            <w:r>
              <w:rPr>
                <w:rFonts w:ascii="Arial" w:cs="Arial" w:eastAsia="Arial" w:hAnsi="Arial"/>
                <w:sz w:val="18"/>
                <w:szCs w:val="18"/>
                <w:b w:val="1"/>
                <w:bCs w:val="1"/>
                <w:color w:val="auto"/>
                <w:w w:val="98"/>
              </w:rPr>
              <w:t>New York, New York 10006</w:t>
            </w:r>
          </w:p>
        </w:tc>
        <w:tc>
          <w:tcPr>
            <w:tcW w:w="3900" w:type="dxa"/>
            <w:vAlign w:val="bottom"/>
          </w:tcPr>
          <w:p>
            <w:pPr>
              <w:spacing w:after="0"/>
              <w:rPr>
                <w:sz w:val="21"/>
                <w:szCs w:val="21"/>
                <w:color w:val="auto"/>
              </w:rPr>
            </w:pPr>
          </w:p>
        </w:tc>
      </w:tr>
      <w:tr>
        <w:trPr>
          <w:trHeight w:val="316"/>
        </w:trPr>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5"/>
          </w:tcPr>
          <w:p>
            <w:pPr>
              <w:jc w:val="center"/>
              <w:ind w:left="214"/>
              <w:spacing w:after="0"/>
              <w:rPr>
                <w:sz w:val="20"/>
                <w:szCs w:val="20"/>
                <w:color w:val="auto"/>
              </w:rPr>
            </w:pPr>
            <w:r>
              <w:rPr>
                <w:rFonts w:ascii="Arial" w:cs="Arial" w:eastAsia="Arial" w:hAnsi="Arial"/>
                <w:sz w:val="18"/>
                <w:szCs w:val="18"/>
                <w:color w:val="auto"/>
                <w:w w:val="99"/>
              </w:rPr>
              <w:t>(Address of principal executive offices)</w:t>
            </w:r>
          </w:p>
        </w:tc>
        <w:tc>
          <w:tcPr>
            <w:tcW w:w="3900" w:type="dxa"/>
            <w:vAlign w:val="bottom"/>
          </w:tcPr>
          <w:p>
            <w:pPr>
              <w:spacing w:after="0"/>
              <w:rPr>
                <w:sz w:val="24"/>
                <w:szCs w:val="24"/>
                <w:color w:val="auto"/>
              </w:rPr>
            </w:pPr>
          </w:p>
        </w:tc>
      </w:tr>
      <w:tr>
        <w:trPr>
          <w:trHeight w:val="415"/>
        </w:trPr>
        <w:tc>
          <w:tcPr>
            <w:tcW w:w="3200" w:type="dxa"/>
            <w:vAlign w:val="bottom"/>
          </w:tcPr>
          <w:p>
            <w:pPr>
              <w:spacing w:after="0"/>
              <w:rPr>
                <w:sz w:val="24"/>
                <w:szCs w:val="24"/>
                <w:color w:val="auto"/>
              </w:rPr>
            </w:pPr>
          </w:p>
        </w:tc>
        <w:tc>
          <w:tcPr>
            <w:tcW w:w="1800" w:type="dxa"/>
            <w:vAlign w:val="bottom"/>
            <w:gridSpan w:val="3"/>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(212) 297-0200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348"/>
        </w:trPr>
        <w:tc>
          <w:tcPr>
            <w:tcW w:w="3200" w:type="dxa"/>
            <w:vAlign w:val="bottom"/>
          </w:tcPr>
          <w:p>
            <w:pPr>
              <w:spacing w:after="0"/>
              <w:rPr>
                <w:sz w:val="24"/>
                <w:szCs w:val="24"/>
                <w:color w:val="auto"/>
              </w:rPr>
            </w:pPr>
          </w:p>
        </w:tc>
        <w:tc>
          <w:tcPr>
            <w:tcW w:w="7900" w:type="dxa"/>
            <w:vAlign w:val="bottom"/>
            <w:gridSpan w:val="8"/>
          </w:tcPr>
          <w:p>
            <w:pPr>
              <w:jc w:val="center"/>
              <w:ind w:right="2959"/>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301"/>
        </w:trPr>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gridSpan w:val="4"/>
          </w:tcPr>
          <w:p>
            <w:pPr>
              <w:jc w:val="center"/>
              <w:ind w:right="960"/>
              <w:spacing w:after="0"/>
              <w:rPr>
                <w:sz w:val="20"/>
                <w:szCs w:val="20"/>
                <w:color w:val="auto"/>
              </w:rPr>
            </w:pPr>
            <w:r>
              <w:rPr>
                <w:rFonts w:ascii="Arial" w:cs="Arial" w:eastAsia="Arial" w:hAnsi="Arial"/>
                <w:sz w:val="18"/>
                <w:szCs w:val="18"/>
                <w:b w:val="1"/>
                <w:bCs w:val="1"/>
                <w:color w:val="auto"/>
                <w:w w:val="97"/>
              </w:rPr>
              <w:t>None</w:t>
            </w:r>
          </w:p>
        </w:tc>
        <w:tc>
          <w:tcPr>
            <w:tcW w:w="3900" w:type="dxa"/>
            <w:vAlign w:val="bottom"/>
          </w:tcPr>
          <w:p>
            <w:pPr>
              <w:spacing w:after="0"/>
              <w:rPr>
                <w:sz w:val="24"/>
                <w:szCs w:val="24"/>
                <w:color w:val="auto"/>
              </w:rPr>
            </w:pPr>
          </w:p>
        </w:tc>
      </w:tr>
      <w:tr>
        <w:trPr>
          <w:trHeight w:val="216"/>
        </w:trPr>
        <w:tc>
          <w:tcPr>
            <w:tcW w:w="11100" w:type="dxa"/>
            <w:vAlign w:val="bottom"/>
            <w:gridSpan w:val="9"/>
          </w:tcPr>
          <w:p>
            <w:pPr>
              <w:jc w:val="center"/>
              <w:ind w:left="58"/>
              <w:spacing w:after="0"/>
              <w:rPr>
                <w:sz w:val="20"/>
                <w:szCs w:val="20"/>
                <w:color w:val="auto"/>
              </w:rPr>
            </w:pPr>
            <w:r>
              <w:rPr>
                <w:rFonts w:ascii="Arial" w:cs="Arial" w:eastAsia="Arial" w:hAnsi="Arial"/>
                <w:sz w:val="18"/>
                <w:szCs w:val="18"/>
                <w:color w:val="auto"/>
                <w:w w:val="99"/>
              </w:rPr>
              <w:t>(Former name, former address and former fiscal year, if changed since last report)</w:t>
            </w:r>
          </w:p>
        </w:tc>
      </w:tr>
      <w:tr>
        <w:trPr>
          <w:trHeight w:val="239"/>
        </w:trPr>
        <w:tc>
          <w:tcPr>
            <w:tcW w:w="3200" w:type="dxa"/>
            <w:vAlign w:val="bottom"/>
          </w:tcPr>
          <w:p>
            <w:pPr>
              <w:spacing w:after="0"/>
              <w:rPr>
                <w:sz w:val="20"/>
                <w:szCs w:val="20"/>
                <w:color w:val="auto"/>
              </w:rPr>
            </w:pPr>
          </w:p>
        </w:tc>
        <w:tc>
          <w:tcPr>
            <w:tcW w:w="4000" w:type="dxa"/>
            <w:vAlign w:val="bottom"/>
            <w:gridSpan w:val="7"/>
          </w:tcPr>
          <w:p>
            <w:pPr>
              <w:jc w:val="center"/>
              <w:ind w:left="750"/>
              <w:spacing w:after="0"/>
              <w:rPr>
                <w:sz w:val="20"/>
                <w:szCs w:val="20"/>
                <w:color w:val="auto"/>
              </w:rPr>
            </w:pPr>
            <w:r>
              <w:rPr>
                <w:rFonts w:ascii="Arial" w:cs="Arial" w:eastAsia="Arial" w:hAnsi="Arial"/>
                <w:sz w:val="18"/>
                <w:szCs w:val="18"/>
                <w:color w:val="auto"/>
                <w:w w:val="99"/>
              </w:rPr>
              <w:t>__________________________</w:t>
            </w:r>
          </w:p>
        </w:tc>
        <w:tc>
          <w:tcPr>
            <w:tcW w:w="3900" w:type="dxa"/>
            <w:vAlign w:val="bottom"/>
          </w:tcPr>
          <w:p>
            <w:pPr>
              <w:spacing w:after="0"/>
              <w:rPr>
                <w:sz w:val="20"/>
                <w:szCs w:val="20"/>
                <w:color w:val="auto"/>
              </w:rPr>
            </w:pPr>
          </w:p>
        </w:tc>
      </w:tr>
      <w:tr>
        <w:trPr>
          <w:trHeight w:val="324"/>
        </w:trPr>
        <w:tc>
          <w:tcPr>
            <w:tcW w:w="3200" w:type="dxa"/>
            <w:vAlign w:val="bottom"/>
          </w:tcPr>
          <w:p>
            <w:pPr>
              <w:spacing w:after="0"/>
              <w:rPr>
                <w:sz w:val="24"/>
                <w:szCs w:val="24"/>
                <w:color w:val="auto"/>
              </w:rPr>
            </w:pPr>
          </w:p>
        </w:tc>
        <w:tc>
          <w:tcPr>
            <w:tcW w:w="7900" w:type="dxa"/>
            <w:vAlign w:val="bottom"/>
            <w:gridSpan w:val="8"/>
          </w:tcPr>
          <w:p>
            <w:pPr>
              <w:jc w:val="center"/>
              <w:ind w:right="2979"/>
              <w:spacing w:after="0"/>
              <w:rPr>
                <w:sz w:val="20"/>
                <w:szCs w:val="20"/>
                <w:color w:val="auto"/>
              </w:rPr>
            </w:pPr>
            <w:r>
              <w:rPr>
                <w:rFonts w:ascii="Arial" w:cs="Arial" w:eastAsia="Arial" w:hAnsi="Arial"/>
                <w:sz w:val="18"/>
                <w:szCs w:val="18"/>
                <w:color w:val="auto"/>
                <w:w w:val="99"/>
              </w:rPr>
              <w:t>Securities registered pursuant to Section 12(b) of the Act:</w:t>
            </w:r>
          </w:p>
        </w:tc>
      </w:tr>
      <w:tr>
        <w:trPr>
          <w:trHeight w:val="400"/>
        </w:trPr>
        <w:tc>
          <w:tcPr>
            <w:tcW w:w="3200" w:type="dxa"/>
            <w:vAlign w:val="bottom"/>
          </w:tcPr>
          <w:p>
            <w:pPr>
              <w:jc w:val="center"/>
              <w:ind w:left="358"/>
              <w:spacing w:after="0"/>
              <w:rPr>
                <w:sz w:val="20"/>
                <w:szCs w:val="20"/>
                <w:color w:val="auto"/>
              </w:rPr>
            </w:pPr>
            <w:r>
              <w:rPr>
                <w:rFonts w:ascii="Arial" w:cs="Arial" w:eastAsia="Arial" w:hAnsi="Arial"/>
                <w:sz w:val="16"/>
                <w:szCs w:val="16"/>
                <w:color w:val="auto"/>
                <w:w w:val="99"/>
              </w:rPr>
              <w:t>Title of each class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5"/>
          </w:tcPr>
          <w:p>
            <w:pPr>
              <w:jc w:val="center"/>
              <w:ind w:right="700"/>
              <w:spacing w:after="0"/>
              <w:rPr>
                <w:sz w:val="20"/>
                <w:szCs w:val="20"/>
                <w:color w:val="auto"/>
              </w:rPr>
            </w:pPr>
            <w:r>
              <w:rPr>
                <w:rFonts w:ascii="Arial" w:cs="Arial" w:eastAsia="Arial" w:hAnsi="Arial"/>
                <w:sz w:val="16"/>
                <w:szCs w:val="16"/>
                <w:color w:val="auto"/>
                <w:w w:val="99"/>
              </w:rPr>
              <w:t>Trading Symbol</w:t>
            </w:r>
          </w:p>
        </w:tc>
        <w:tc>
          <w:tcPr>
            <w:tcW w:w="3900" w:type="dxa"/>
            <w:vAlign w:val="bottom"/>
          </w:tcPr>
          <w:p>
            <w:pPr>
              <w:jc w:val="center"/>
              <w:ind w:right="519"/>
              <w:spacing w:after="0"/>
              <w:rPr>
                <w:sz w:val="20"/>
                <w:szCs w:val="20"/>
                <w:color w:val="auto"/>
              </w:rPr>
            </w:pPr>
            <w:r>
              <w:rPr>
                <w:rFonts w:ascii="Arial" w:cs="Arial" w:eastAsia="Arial" w:hAnsi="Arial"/>
                <w:sz w:val="16"/>
                <w:szCs w:val="16"/>
                <w:color w:val="auto"/>
              </w:rPr>
              <w:t>Name of each exchange on which registered</w:t>
            </w:r>
          </w:p>
        </w:tc>
      </w:tr>
      <w:tr>
        <w:trPr>
          <w:trHeight w:val="217"/>
        </w:trPr>
        <w:tc>
          <w:tcPr>
            <w:tcW w:w="3200" w:type="dxa"/>
            <w:vAlign w:val="bottom"/>
            <w:tcBorders>
              <w:top w:val="single" w:sz="8" w:color="auto"/>
            </w:tcBorders>
          </w:tcPr>
          <w:p>
            <w:pPr>
              <w:jc w:val="center"/>
              <w:ind w:left="358"/>
              <w:spacing w:after="0"/>
              <w:rPr>
                <w:sz w:val="20"/>
                <w:szCs w:val="20"/>
                <w:color w:val="auto"/>
              </w:rPr>
            </w:pPr>
            <w:r>
              <w:rPr>
                <w:rFonts w:ascii="Arial" w:cs="Arial" w:eastAsia="Arial" w:hAnsi="Arial"/>
                <w:sz w:val="16"/>
                <w:szCs w:val="16"/>
                <w:b w:val="1"/>
                <w:bCs w:val="1"/>
                <w:color w:val="auto"/>
              </w:rPr>
              <w:t>Common Stock, $0.01 par value</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ABM</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tcPr>
          <w:p>
            <w:pPr>
              <w:jc w:val="center"/>
              <w:ind w:right="519"/>
              <w:spacing w:after="0"/>
              <w:rPr>
                <w:sz w:val="20"/>
                <w:szCs w:val="20"/>
                <w:color w:val="auto"/>
              </w:rPr>
            </w:pPr>
            <w:r>
              <w:rPr>
                <w:rFonts w:ascii="Arial" w:cs="Arial" w:eastAsia="Arial" w:hAnsi="Arial"/>
                <w:sz w:val="16"/>
                <w:szCs w:val="16"/>
                <w:b w:val="1"/>
                <w:bCs w:val="1"/>
                <w:color w:val="auto"/>
              </w:rPr>
              <w:t>New York Stock Exchange</w:t>
            </w:r>
          </w:p>
        </w:tc>
      </w:tr>
    </w:tbl>
    <w:p>
      <w:pPr>
        <w:spacing w:after="0" w:line="200" w:lineRule="exact"/>
        <w:rPr>
          <w:sz w:val="24"/>
          <w:szCs w:val="24"/>
          <w:color w:val="auto"/>
        </w:rPr>
      </w:pPr>
    </w:p>
    <w:p>
      <w:pPr>
        <w:sectPr>
          <w:pgSz w:w="11900" w:h="16838" w:orient="portrait"/>
          <w:cols w:equalWidth="0" w:num="1">
            <w:col w:w="11240"/>
          </w:cols>
          <w:pgMar w:left="320" w:top="1432" w:right="339" w:bottom="1440" w:gutter="0" w:footer="0" w:header="0"/>
        </w:sectPr>
      </w:pPr>
    </w:p>
    <w:p>
      <w:pPr>
        <w:spacing w:after="0" w:line="31"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type w:val="continuous"/>
        </w:sectPr>
      </w:pPr>
    </w:p>
    <w:bookmarkStart w:id="1" w:name="page2"/>
    <w:bookmarkEnd w:id="1"/>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0"/>
          <w:szCs w:val="20"/>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 xml:space="preserve">  ☐ </w:t>
      </w:r>
      <w:r>
        <w:rPr>
          <w:rFonts w:ascii="Arial" w:cs="Arial" w:eastAsia="Arial" w:hAnsi="Arial"/>
          <w:sz w:val="18"/>
          <w:szCs w:val="18"/>
          <w:color w:val="auto"/>
        </w:rPr>
        <w:t>Emerging growth company</w:t>
      </w:r>
      <w:r>
        <w:rPr>
          <w:rFonts w:ascii="MS PGothic" w:cs="MS PGothic" w:eastAsia="MS PGothic" w:hAnsi="MS PGothic"/>
          <w:sz w:val="18"/>
          <w:szCs w:val="18"/>
          <w:color w:val="auto"/>
        </w:rPr>
        <w:t xml:space="preserve">  ☐</w:t>
      </w:r>
    </w:p>
    <w:p>
      <w:pPr>
        <w:spacing w:after="0" w:line="300"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0"/>
          <w:szCs w:val="20"/>
          <w:color w:val="auto"/>
        </w:rPr>
      </w:pPr>
    </w:p>
    <w:p>
      <w:pPr>
        <w:spacing w:after="0" w:line="207" w:lineRule="exact"/>
        <w:tabs>
          <w:tab w:leader="none" w:pos="9120" w:val="left"/>
          <w:tab w:leader="none" w:pos="95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pacing w:after="0" w:line="21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Number of shares of the registrant’s common stock outstanding as of June 5, 2024: 62,763,623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172085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137795</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gridSpan w:val="2"/>
          </w:tcPr>
          <w:p>
            <w:pPr>
              <w:ind w:left="20"/>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120" w:type="dxa"/>
            <w:vAlign w:val="bottom"/>
          </w:tcPr>
          <w:p>
            <w:pPr>
              <w:spacing w:after="0"/>
              <w:rPr>
                <w:sz w:val="14"/>
                <w:szCs w:val="14"/>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5"/>
                <w:szCs w:val="15"/>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3</w:t>
            </w:r>
          </w:p>
        </w:tc>
        <w:tc>
          <w:tcPr>
            <w:tcW w:w="120" w:type="dxa"/>
            <w:vAlign w:val="bottom"/>
          </w:tcPr>
          <w:p>
            <w:pPr>
              <w:spacing w:after="0"/>
              <w:rPr>
                <w:sz w:val="15"/>
                <w:szCs w:val="15"/>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1. Consolidated Financial Statements</w:t>
            </w:r>
          </w:p>
        </w:tc>
        <w:tc>
          <w:tcPr>
            <w:tcW w:w="80" w:type="dxa"/>
            <w:vAlign w:val="bottom"/>
          </w:tcPr>
          <w:p>
            <w:pPr>
              <w:spacing w:after="0"/>
              <w:rPr>
                <w:sz w:val="15"/>
                <w:szCs w:val="15"/>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3</w:t>
            </w:r>
          </w:p>
        </w:tc>
        <w:tc>
          <w:tcPr>
            <w:tcW w:w="120" w:type="dxa"/>
            <w:vAlign w:val="bottom"/>
          </w:tcPr>
          <w:p>
            <w:pPr>
              <w:spacing w:after="0"/>
              <w:rPr>
                <w:sz w:val="15"/>
                <w:szCs w:val="15"/>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22</w:t>
            </w:r>
          </w:p>
        </w:tc>
        <w:tc>
          <w:tcPr>
            <w:tcW w:w="120" w:type="dxa"/>
            <w:vAlign w:val="bottom"/>
          </w:tcPr>
          <w:p>
            <w:pPr>
              <w:spacing w:after="0"/>
              <w:rPr>
                <w:sz w:val="15"/>
                <w:szCs w:val="15"/>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38</w:t>
            </w:r>
          </w:p>
        </w:tc>
        <w:tc>
          <w:tcPr>
            <w:tcW w:w="120" w:type="dxa"/>
            <w:vAlign w:val="bottom"/>
          </w:tcPr>
          <w:p>
            <w:pPr>
              <w:spacing w:after="0"/>
              <w:rPr>
                <w:sz w:val="15"/>
                <w:szCs w:val="15"/>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4. 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38</w:t>
            </w:r>
          </w:p>
        </w:tc>
        <w:tc>
          <w:tcPr>
            <w:tcW w:w="120" w:type="dxa"/>
            <w:vAlign w:val="bottom"/>
          </w:tcPr>
          <w:p>
            <w:pPr>
              <w:spacing w:after="0"/>
              <w:rPr>
                <w:sz w:val="15"/>
                <w:szCs w:val="15"/>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II. OTHER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38</w:t>
            </w:r>
          </w:p>
        </w:tc>
        <w:tc>
          <w:tcPr>
            <w:tcW w:w="120" w:type="dxa"/>
            <w:vAlign w:val="bottom"/>
          </w:tcPr>
          <w:p>
            <w:pPr>
              <w:spacing w:after="0"/>
              <w:rPr>
                <w:sz w:val="15"/>
                <w:szCs w:val="15"/>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1. Legal Proceedings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38</w:t>
            </w:r>
          </w:p>
        </w:tc>
        <w:tc>
          <w:tcPr>
            <w:tcW w:w="120" w:type="dxa"/>
            <w:vAlign w:val="bottom"/>
          </w:tcPr>
          <w:p>
            <w:pPr>
              <w:spacing w:after="0"/>
              <w:rPr>
                <w:sz w:val="15"/>
                <w:szCs w:val="15"/>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1A. Risk Factors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38</w:t>
            </w:r>
          </w:p>
        </w:tc>
        <w:tc>
          <w:tcPr>
            <w:tcW w:w="120" w:type="dxa"/>
            <w:vAlign w:val="bottom"/>
          </w:tcPr>
          <w:p>
            <w:pPr>
              <w:spacing w:after="0"/>
              <w:rPr>
                <w:sz w:val="15"/>
                <w:szCs w:val="15"/>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38</w:t>
            </w:r>
          </w:p>
        </w:tc>
        <w:tc>
          <w:tcPr>
            <w:tcW w:w="120" w:type="dxa"/>
            <w:vAlign w:val="bottom"/>
          </w:tcPr>
          <w:p>
            <w:pPr>
              <w:spacing w:after="0"/>
              <w:rPr>
                <w:sz w:val="15"/>
                <w:szCs w:val="15"/>
                <w:color w:val="auto"/>
              </w:rPr>
            </w:pPr>
          </w:p>
        </w:tc>
      </w:tr>
      <w:tr>
        <w:trPr>
          <w:trHeight w:val="183"/>
        </w:trPr>
        <w:tc>
          <w:tcPr>
            <w:tcW w:w="480" w:type="dxa"/>
            <w:vAlign w:val="bottom"/>
          </w:tcPr>
          <w:p>
            <w:pPr>
              <w:ind w:left="20"/>
              <w:spacing w:after="0"/>
              <w:rPr>
                <w:sz w:val="20"/>
                <w:szCs w:val="20"/>
                <w:color w:val="auto"/>
              </w:rPr>
            </w:pPr>
            <w:r>
              <w:rPr>
                <w:rFonts w:ascii="Arial" w:cs="Arial" w:eastAsia="Arial" w:hAnsi="Arial"/>
                <w:sz w:val="14"/>
                <w:szCs w:val="14"/>
                <w:color w:val="auto"/>
              </w:rPr>
              <w:t>Item 3.</w:t>
            </w:r>
          </w:p>
        </w:tc>
        <w:tc>
          <w:tcPr>
            <w:tcW w:w="1046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39</w:t>
            </w:r>
          </w:p>
        </w:tc>
        <w:tc>
          <w:tcPr>
            <w:tcW w:w="120" w:type="dxa"/>
            <w:vAlign w:val="bottom"/>
          </w:tcPr>
          <w:p>
            <w:pPr>
              <w:spacing w:after="0"/>
              <w:rPr>
                <w:sz w:val="15"/>
                <w:szCs w:val="15"/>
                <w:color w:val="auto"/>
              </w:rPr>
            </w:pPr>
          </w:p>
        </w:tc>
      </w:tr>
      <w:tr>
        <w:trPr>
          <w:trHeight w:val="183"/>
        </w:trPr>
        <w:tc>
          <w:tcPr>
            <w:tcW w:w="480" w:type="dxa"/>
            <w:vAlign w:val="bottom"/>
          </w:tcPr>
          <w:p>
            <w:pPr>
              <w:ind w:left="20"/>
              <w:spacing w:after="0"/>
              <w:rPr>
                <w:sz w:val="20"/>
                <w:szCs w:val="20"/>
                <w:color w:val="auto"/>
              </w:rPr>
            </w:pPr>
            <w:r>
              <w:rPr>
                <w:rFonts w:ascii="Arial" w:cs="Arial" w:eastAsia="Arial" w:hAnsi="Arial"/>
                <w:sz w:val="14"/>
                <w:szCs w:val="14"/>
                <w:color w:val="auto"/>
              </w:rPr>
              <w:t>Item 4.</w:t>
            </w:r>
          </w:p>
        </w:tc>
        <w:tc>
          <w:tcPr>
            <w:tcW w:w="1046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39</w:t>
            </w:r>
          </w:p>
        </w:tc>
        <w:tc>
          <w:tcPr>
            <w:tcW w:w="120" w:type="dxa"/>
            <w:vAlign w:val="bottom"/>
          </w:tcPr>
          <w:p>
            <w:pPr>
              <w:spacing w:after="0"/>
              <w:rPr>
                <w:sz w:val="15"/>
                <w:szCs w:val="15"/>
                <w:color w:val="auto"/>
              </w:rPr>
            </w:pPr>
          </w:p>
        </w:tc>
      </w:tr>
      <w:tr>
        <w:trPr>
          <w:trHeight w:val="183"/>
        </w:trPr>
        <w:tc>
          <w:tcPr>
            <w:tcW w:w="480" w:type="dxa"/>
            <w:vAlign w:val="bottom"/>
          </w:tcPr>
          <w:p>
            <w:pPr>
              <w:ind w:left="20"/>
              <w:spacing w:after="0"/>
              <w:rPr>
                <w:sz w:val="20"/>
                <w:szCs w:val="20"/>
                <w:color w:val="auto"/>
              </w:rPr>
            </w:pPr>
            <w:r>
              <w:rPr>
                <w:rFonts w:ascii="Arial" w:cs="Arial" w:eastAsia="Arial" w:hAnsi="Arial"/>
                <w:sz w:val="14"/>
                <w:szCs w:val="14"/>
                <w:color w:val="auto"/>
              </w:rPr>
              <w:t>Item 5.</w:t>
            </w:r>
          </w:p>
        </w:tc>
        <w:tc>
          <w:tcPr>
            <w:tcW w:w="1046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39</w:t>
            </w:r>
          </w:p>
        </w:tc>
        <w:tc>
          <w:tcPr>
            <w:tcW w:w="120" w:type="dxa"/>
            <w:vAlign w:val="bottom"/>
          </w:tcPr>
          <w:p>
            <w:pPr>
              <w:spacing w:after="0"/>
              <w:rPr>
                <w:sz w:val="15"/>
                <w:szCs w:val="15"/>
                <w:color w:val="auto"/>
              </w:rPr>
            </w:pPr>
          </w:p>
        </w:tc>
      </w:tr>
      <w:tr>
        <w:trPr>
          <w:trHeight w:val="183"/>
        </w:trPr>
        <w:tc>
          <w:tcPr>
            <w:tcW w:w="480" w:type="dxa"/>
            <w:vAlign w:val="bottom"/>
          </w:tcPr>
          <w:p>
            <w:pPr>
              <w:ind w:left="20"/>
              <w:spacing w:after="0"/>
              <w:rPr>
                <w:sz w:val="20"/>
                <w:szCs w:val="20"/>
                <w:color w:val="auto"/>
              </w:rPr>
            </w:pPr>
            <w:r>
              <w:rPr>
                <w:rFonts w:ascii="Arial" w:cs="Arial" w:eastAsia="Arial" w:hAnsi="Arial"/>
                <w:sz w:val="14"/>
                <w:szCs w:val="14"/>
                <w:color w:val="auto"/>
              </w:rPr>
              <w:t>Item 6.</w:t>
            </w:r>
          </w:p>
        </w:tc>
        <w:tc>
          <w:tcPr>
            <w:tcW w:w="10460" w:type="dxa"/>
            <w:vAlign w:val="bottom"/>
          </w:tcPr>
          <w:p>
            <w:pPr>
              <w:ind w:left="20"/>
              <w:spacing w:after="0"/>
              <w:rPr>
                <w:sz w:val="20"/>
                <w:szCs w:val="20"/>
                <w:color w:val="auto"/>
              </w:rPr>
            </w:pPr>
            <w:r>
              <w:rPr>
                <w:rFonts w:ascii="Arial" w:cs="Arial" w:eastAsia="Arial" w:hAnsi="Arial"/>
                <w:sz w:val="14"/>
                <w:szCs w:val="14"/>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40</w:t>
            </w:r>
          </w:p>
        </w:tc>
        <w:tc>
          <w:tcPr>
            <w:tcW w:w="120" w:type="dxa"/>
            <w:vAlign w:val="bottom"/>
          </w:tcPr>
          <w:p>
            <w:pPr>
              <w:spacing w:after="0"/>
              <w:rPr>
                <w:sz w:val="15"/>
                <w:szCs w:val="15"/>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41</w:t>
            </w:r>
          </w:p>
        </w:tc>
        <w:tc>
          <w:tcPr>
            <w:tcW w:w="120" w:type="dxa"/>
            <w:vAlign w:val="bottom"/>
          </w:tcPr>
          <w:p>
            <w:pPr>
              <w:spacing w:after="0"/>
              <w:rPr>
                <w:sz w:val="15"/>
                <w:szCs w:val="15"/>
                <w:color w:val="auto"/>
              </w:rPr>
            </w:pPr>
          </w:p>
        </w:tc>
      </w:tr>
      <w:tr>
        <w:trPr>
          <w:trHeight w:val="1053"/>
        </w:trPr>
        <w:tc>
          <w:tcPr>
            <w:tcW w:w="480" w:type="dxa"/>
            <w:vAlign w:val="bottom"/>
            <w:tcBorders>
              <w:bottom w:val="single" w:sz="8" w:color="9A9A9A"/>
            </w:tcBorders>
          </w:tcPr>
          <w:p>
            <w:pPr>
              <w:spacing w:after="0"/>
              <w:rPr>
                <w:sz w:val="24"/>
                <w:szCs w:val="24"/>
                <w:color w:val="auto"/>
              </w:rPr>
            </w:pPr>
          </w:p>
        </w:tc>
        <w:tc>
          <w:tcPr>
            <w:tcW w:w="10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0046AD"/>
        </w:rPr>
        <w:t>FORWARD-LOOKING STATEMENTS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This Form 10-Q contains both historical and forward-looking statements regarding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7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depends on our ability to gain profitable business despite competitive market pressures.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results of operations can be adversely affected by labor shortages, turnover, and labor cost increases.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attract and retain qualified personnel and senior management we need to support our business.</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Investments in and changes to our businesses, operating structure, or personnel relating to our </w:t>
      </w:r>
      <w:r>
        <w:rPr>
          <w:rFonts w:ascii="Arial" w:cs="Arial" w:eastAsia="Arial" w:hAnsi="Arial"/>
          <w:sz w:val="18"/>
          <w:szCs w:val="18"/>
          <w:b w:val="1"/>
          <w:bCs w:val="1"/>
          <w:color w:val="D76428"/>
        </w:rPr>
        <w:t>ELEVATE</w:t>
      </w:r>
      <w:r>
        <w:rPr>
          <w:rFonts w:ascii="Arial" w:cs="Arial" w:eastAsia="Arial" w:hAnsi="Arial"/>
          <w:sz w:val="18"/>
          <w:szCs w:val="18"/>
          <w:color w:val="auto"/>
        </w:rPr>
        <w:t xml:space="preserve"> strategy, including the implementation of strategic transformations, enhanced business processes, and technology initiatives, may not have the desired effects on our financial condition and results of operations.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preserve long-term client relationships is essential to our continued success.</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subcontractors or joint venture partners to perform work under customer contracts exposes us to liability and financial risk.</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business involves risks different from those we face in the United States that could negatively impact our results of operations and financial condition.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commercial office space utilization due to hybrid work models could adversely affect our financial condition.</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changes in general economic conditions, such as recessionary pressures, high interest rates, durable and non-durable goods pricing, changes in energy prices, or changes in consumer goods pricing could reduce the demand for our services and, as a result, reduce our revenue and earnings and adversely affect our financial condition.</w:t>
      </w:r>
    </w:p>
    <w:p>
      <w:pPr>
        <w:spacing w:after="0" w:line="8"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divestitures, and other strategic transactions could fail to achieve financial or strategic objectives, disrupt our ongoing business, and adversely impact our results of operations.</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breaches of, or disruptions to, our information technology systems or those of our third-party providers or clients, or other compromises of our data that could adversely affect our business.</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implementation of new enterprise resource planning (“ERP”) and related boundary systems could adversely impact our ability to operate our business and report our financial results.</w:t>
      </w:r>
    </w:p>
    <w:p>
      <w:pPr>
        <w:spacing w:after="0" w:line="1"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w:t>
      </w:r>
    </w:p>
    <w:p>
      <w:pPr>
        <w:spacing w:after="0" w:line="14"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risk management and safety programs may not have the intended effect of reducing our liability for personal injury or property loss.</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developments in our class and representative actions and other lawsuits alleging various claims could cause us to incur substantial liabilities.</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extensive legal and regulatory requirements, which could limit our profitability by increasing the costs of legal and regulatory compliance.</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w:t>
      </w:r>
    </w:p>
    <w:p>
      <w:pPr>
        <w:spacing w:after="0" w:line="8"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may be materially affected by changes to fiscal and tax policies. Negative or unexpected tax consequences could adversely affect our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increases in the level of our borrowings or in interest rates could affect our results of operations.</w:t>
      </w:r>
    </w:p>
    <w:p>
      <w:pPr>
        <w:spacing w:after="0" w:line="6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of goodwill and long-lived assets could have a material adverse effect on our financial condition and results of operations.</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4" w:name="page5"/>
    <w:bookmarkEnd w:id="4"/>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may be negatively impacted by adverse weather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Catastrophic events, disasters, pandemics, and terrorist attacks could disrupt our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of activist investors could disrupt our business.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list of factors above is illustrative and by no means exhaustive. Additional information regarding these and other risks and uncertainties we face is contained in our Annual Report on Form 10-K for the year ended October 31, 2023, and in other reports (including all amendments to those reports) we file from time to time with the Securities and Exchange Commission (“SEC”).</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046AD"/>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CONSOLIDATED FINANCIAL STATEMENTS.</w:t>
      </w:r>
    </w:p>
    <w:p>
      <w:pPr>
        <w:spacing w:after="0" w:line="11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3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0046AD"/>
        </w:rPr>
        <w:t>CONSOLIDATED BALANCE SHEETS</w:t>
      </w:r>
    </w:p>
    <w:p>
      <w:pPr>
        <w:spacing w:after="0" w:line="13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0046AD"/>
        </w:rPr>
        <w:t>(UNAUDITED)</w:t>
      </w:r>
    </w:p>
    <w:p>
      <w:pPr>
        <w:spacing w:after="0" w:line="119"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and per share amounts)</w:t>
            </w: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b w:val="1"/>
                <w:bCs w:val="1"/>
                <w:color w:val="auto"/>
              </w:rPr>
              <w:t>April 30, 2024</w:t>
            </w:r>
          </w:p>
        </w:tc>
        <w:tc>
          <w:tcPr>
            <w:tcW w:w="160" w:type="dxa"/>
            <w:vAlign w:val="bottom"/>
          </w:tcPr>
          <w:p>
            <w:pPr>
              <w:spacing w:after="0"/>
              <w:rPr>
                <w:sz w:val="16"/>
                <w:szCs w:val="16"/>
                <w:color w:val="auto"/>
              </w:rPr>
            </w:pPr>
          </w:p>
        </w:tc>
        <w:tc>
          <w:tcPr>
            <w:tcW w:w="1480" w:type="dxa"/>
            <w:vAlign w:val="bottom"/>
          </w:tcPr>
          <w:p>
            <w:pPr>
              <w:jc w:val="right"/>
              <w:ind w:right="144"/>
              <w:spacing w:after="0"/>
              <w:rPr>
                <w:sz w:val="20"/>
                <w:szCs w:val="20"/>
                <w:color w:val="auto"/>
              </w:rPr>
            </w:pPr>
            <w:r>
              <w:rPr>
                <w:rFonts w:ascii="Arial" w:cs="Arial" w:eastAsia="Arial" w:hAnsi="Arial"/>
                <w:sz w:val="15"/>
                <w:szCs w:val="15"/>
                <w:b w:val="1"/>
                <w:bCs w:val="1"/>
                <w:color w:val="auto"/>
              </w:rPr>
              <w:t>October 31, 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2840" w:type="dxa"/>
            <w:vAlign w:val="bottom"/>
            <w:tcBorders>
              <w:top w:val="single" w:sz="8" w:color="auto"/>
              <w:bottom w:val="single" w:sz="8" w:color="DCE2EF"/>
            </w:tcBorders>
          </w:tcPr>
          <w:p>
            <w:pPr>
              <w:spacing w:after="0"/>
              <w:rPr>
                <w:sz w:val="2"/>
                <w:szCs w:val="2"/>
                <w:color w:val="auto"/>
              </w:rPr>
            </w:pPr>
          </w:p>
        </w:tc>
        <w:tc>
          <w:tcPr>
            <w:tcW w:w="4440" w:type="dxa"/>
            <w:vAlign w:val="bottom"/>
            <w:tcBorders>
              <w:bottom w:val="single" w:sz="8" w:color="DCE2E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ASSETS</w:t>
            </w:r>
          </w:p>
        </w:tc>
        <w:tc>
          <w:tcPr>
            <w:tcW w:w="260" w:type="dxa"/>
            <w:vAlign w:val="bottom"/>
            <w:shd w:val="clear" w:color="auto" w:fill="DCE2EF"/>
          </w:tcPr>
          <w:p>
            <w:pPr>
              <w:spacing w:after="0"/>
              <w:rPr>
                <w:sz w:val="15"/>
                <w:szCs w:val="15"/>
                <w:color w:val="auto"/>
              </w:rPr>
            </w:pPr>
          </w:p>
        </w:tc>
        <w:tc>
          <w:tcPr>
            <w:tcW w:w="16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148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Current assets</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Cash and cash equivalents</w:t>
            </w:r>
          </w:p>
        </w:tc>
        <w:tc>
          <w:tcPr>
            <w:tcW w:w="260" w:type="dxa"/>
            <w:vAlign w:val="bottom"/>
            <w:shd w:val="clear" w:color="auto" w:fill="DCE2E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60.7</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69.5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80" w:type="dxa"/>
            <w:vAlign w:val="bottom"/>
            <w:gridSpan w:val="2"/>
          </w:tcPr>
          <w:p>
            <w:pPr>
              <w:ind w:left="320"/>
              <w:spacing w:after="0" w:line="158" w:lineRule="exact"/>
              <w:rPr>
                <w:sz w:val="20"/>
                <w:szCs w:val="20"/>
                <w:color w:val="auto"/>
              </w:rPr>
            </w:pPr>
            <w:r>
              <w:rPr>
                <w:rFonts w:ascii="Arial" w:cs="Arial" w:eastAsia="Arial" w:hAnsi="Arial"/>
                <w:sz w:val="15"/>
                <w:szCs w:val="15"/>
                <w:color w:val="auto"/>
              </w:rPr>
              <w:t>Trade accounts receivable, net of allowances of $25.4 and $25.0</w:t>
            </w: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gridSpan w:val="2"/>
          </w:tcPr>
          <w:p>
            <w:pPr>
              <w:ind w:left="440"/>
              <w:spacing w:after="0"/>
              <w:rPr>
                <w:sz w:val="20"/>
                <w:szCs w:val="20"/>
                <w:color w:val="auto"/>
              </w:rPr>
            </w:pPr>
            <w:r>
              <w:rPr>
                <w:rFonts w:ascii="Arial" w:cs="Arial" w:eastAsia="Arial" w:hAnsi="Arial"/>
                <w:sz w:val="15"/>
                <w:szCs w:val="15"/>
                <w:color w:val="auto"/>
              </w:rPr>
              <w:t>at April 30, 2024 and October 31, 2023, respectively</w:t>
            </w:r>
          </w:p>
        </w:tc>
        <w:tc>
          <w:tcPr>
            <w:tcW w:w="2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1,313.4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1,365.0</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Costs incurred in excess of amounts billed</w:t>
            </w:r>
          </w:p>
        </w:tc>
        <w:tc>
          <w:tcPr>
            <w:tcW w:w="260" w:type="dxa"/>
            <w:vAlign w:val="bottom"/>
            <w:shd w:val="clear" w:color="auto" w:fill="DCE2EF"/>
          </w:tcPr>
          <w:p>
            <w:pPr>
              <w:spacing w:after="0"/>
              <w:rPr>
                <w:sz w:val="17"/>
                <w:szCs w:val="17"/>
                <w:color w:val="auto"/>
              </w:rPr>
            </w:pPr>
          </w:p>
        </w:tc>
        <w:tc>
          <w:tcPr>
            <w:tcW w:w="160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152.2</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139.2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2"/>
          </w:tcPr>
          <w:p>
            <w:pPr>
              <w:ind w:left="320"/>
              <w:spacing w:after="0"/>
              <w:rPr>
                <w:sz w:val="20"/>
                <w:szCs w:val="20"/>
                <w:color w:val="auto"/>
              </w:rPr>
            </w:pPr>
            <w:r>
              <w:rPr>
                <w:rFonts w:ascii="Arial" w:cs="Arial" w:eastAsia="Arial" w:hAnsi="Arial"/>
                <w:sz w:val="15"/>
                <w:szCs w:val="15"/>
                <w:color w:val="auto"/>
              </w:rPr>
              <w:t>Prepaid expenses</w:t>
            </w:r>
          </w:p>
        </w:tc>
        <w:tc>
          <w:tcPr>
            <w:tcW w:w="2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90.7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78.5</w:t>
            </w:r>
          </w:p>
        </w:tc>
        <w:tc>
          <w:tcPr>
            <w:tcW w:w="0" w:type="dxa"/>
            <w:vAlign w:val="bottom"/>
          </w:tcPr>
          <w:p>
            <w:pPr>
              <w:spacing w:after="0"/>
              <w:rPr>
                <w:sz w:val="1"/>
                <w:szCs w:val="1"/>
                <w:color w:val="auto"/>
              </w:rPr>
            </w:pPr>
          </w:p>
        </w:tc>
      </w:tr>
      <w:tr>
        <w:trPr>
          <w:trHeight w:val="204"/>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Other current assets</w:t>
            </w:r>
          </w:p>
        </w:tc>
        <w:tc>
          <w:tcPr>
            <w:tcW w:w="260" w:type="dxa"/>
            <w:vAlign w:val="bottom"/>
            <w:tcBorders>
              <w:bottom w:val="single" w:sz="8" w:color="auto"/>
            </w:tcBorders>
            <w:shd w:val="clear" w:color="auto" w:fill="DCE2EF"/>
          </w:tcPr>
          <w:p>
            <w:pPr>
              <w:spacing w:after="0"/>
              <w:rPr>
                <w:sz w:val="17"/>
                <w:szCs w:val="17"/>
                <w:color w:val="auto"/>
              </w:rPr>
            </w:pPr>
          </w:p>
        </w:tc>
        <w:tc>
          <w:tcPr>
            <w:tcW w:w="160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80.9</w:t>
            </w:r>
          </w:p>
        </w:tc>
        <w:tc>
          <w:tcPr>
            <w:tcW w:w="100" w:type="dxa"/>
            <w:vAlign w:val="bottom"/>
            <w:shd w:val="clear" w:color="auto" w:fill="DCE2EF"/>
          </w:tcPr>
          <w:p>
            <w:pPr>
              <w:spacing w:after="0"/>
              <w:rPr>
                <w:sz w:val="17"/>
                <w:szCs w:val="17"/>
                <w:color w:val="auto"/>
              </w:rPr>
            </w:pPr>
          </w:p>
        </w:tc>
        <w:tc>
          <w:tcPr>
            <w:tcW w:w="160" w:type="dxa"/>
            <w:vAlign w:val="bottom"/>
            <w:tcBorders>
              <w:bottom w:val="single" w:sz="8" w:color="auto"/>
            </w:tcBorders>
            <w:shd w:val="clear" w:color="auto" w:fill="DCE2EF"/>
          </w:tcPr>
          <w:p>
            <w:pPr>
              <w:spacing w:after="0"/>
              <w:rPr>
                <w:sz w:val="17"/>
                <w:szCs w:val="17"/>
                <w:color w:val="auto"/>
              </w:rPr>
            </w:pPr>
          </w:p>
        </w:tc>
        <w:tc>
          <w:tcPr>
            <w:tcW w:w="148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58.6</w:t>
            </w:r>
          </w:p>
        </w:tc>
        <w:tc>
          <w:tcPr>
            <w:tcW w:w="0" w:type="dxa"/>
            <w:vAlign w:val="bottom"/>
          </w:tcPr>
          <w:p>
            <w:pPr>
              <w:spacing w:after="0"/>
              <w:rPr>
                <w:sz w:val="1"/>
                <w:szCs w:val="1"/>
                <w:color w:val="auto"/>
              </w:rPr>
            </w:pPr>
          </w:p>
        </w:tc>
      </w:tr>
      <w:tr>
        <w:trPr>
          <w:trHeight w:val="195"/>
        </w:trPr>
        <w:tc>
          <w:tcPr>
            <w:tcW w:w="20" w:type="dxa"/>
            <w:vAlign w:val="bottom"/>
            <w:tcBorders>
              <w:bottom w:val="single" w:sz="8" w:color="DCE2EF"/>
            </w:tcBorders>
          </w:tcPr>
          <w:p>
            <w:pPr>
              <w:spacing w:after="0"/>
              <w:rPr>
                <w:sz w:val="16"/>
                <w:szCs w:val="16"/>
                <w:color w:val="auto"/>
              </w:rPr>
            </w:pPr>
          </w:p>
        </w:tc>
        <w:tc>
          <w:tcPr>
            <w:tcW w:w="7280" w:type="dxa"/>
            <w:vAlign w:val="bottom"/>
            <w:tcBorders>
              <w:bottom w:val="single" w:sz="8" w:color="DCE2EF"/>
            </w:tcBorders>
            <w:gridSpan w:val="2"/>
          </w:tcPr>
          <w:p>
            <w:pPr>
              <w:ind w:left="640"/>
              <w:spacing w:after="0"/>
              <w:rPr>
                <w:sz w:val="20"/>
                <w:szCs w:val="20"/>
                <w:color w:val="auto"/>
              </w:rPr>
            </w:pPr>
            <w:r>
              <w:rPr>
                <w:rFonts w:ascii="Arial" w:cs="Arial" w:eastAsia="Arial" w:hAnsi="Arial"/>
                <w:sz w:val="15"/>
                <w:szCs w:val="15"/>
                <w:color w:val="auto"/>
              </w:rPr>
              <w:t>Total current assets</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1,697.9</w:t>
            </w: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1,710.7</w:t>
            </w:r>
          </w:p>
        </w:tc>
        <w:tc>
          <w:tcPr>
            <w:tcW w:w="0" w:type="dxa"/>
            <w:vAlign w:val="bottom"/>
          </w:tcPr>
          <w:p>
            <w:pPr>
              <w:spacing w:after="0"/>
              <w:rPr>
                <w:sz w:val="1"/>
                <w:szCs w:val="1"/>
                <w:color w:val="auto"/>
              </w:rPr>
            </w:pPr>
          </w:p>
        </w:tc>
      </w:tr>
      <w:tr>
        <w:trPr>
          <w:trHeight w:val="19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investments</w:t>
            </w:r>
          </w:p>
        </w:tc>
        <w:tc>
          <w:tcPr>
            <w:tcW w:w="260" w:type="dxa"/>
            <w:vAlign w:val="bottom"/>
            <w:shd w:val="clear" w:color="auto" w:fill="DCE2EF"/>
          </w:tcPr>
          <w:p>
            <w:pPr>
              <w:spacing w:after="0"/>
              <w:rPr>
                <w:sz w:val="17"/>
                <w:szCs w:val="17"/>
                <w:color w:val="auto"/>
              </w:rPr>
            </w:pPr>
          </w:p>
        </w:tc>
        <w:tc>
          <w:tcPr>
            <w:tcW w:w="160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30.0</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28.8</w:t>
            </w:r>
          </w:p>
        </w:tc>
        <w:tc>
          <w:tcPr>
            <w:tcW w:w="0" w:type="dxa"/>
            <w:vAlign w:val="bottom"/>
          </w:tcPr>
          <w:p>
            <w:pPr>
              <w:spacing w:after="0"/>
              <w:rPr>
                <w:sz w:val="1"/>
                <w:szCs w:val="1"/>
                <w:color w:val="auto"/>
              </w:rPr>
            </w:pPr>
          </w:p>
        </w:tc>
      </w:tr>
      <w:tr>
        <w:trPr>
          <w:trHeight w:val="158"/>
        </w:trPr>
        <w:tc>
          <w:tcPr>
            <w:tcW w:w="7300" w:type="dxa"/>
            <w:vAlign w:val="bottom"/>
            <w:gridSpan w:val="3"/>
          </w:tcPr>
          <w:p>
            <w:pPr>
              <w:ind w:left="20"/>
              <w:spacing w:after="0" w:line="158" w:lineRule="exact"/>
              <w:rPr>
                <w:sz w:val="20"/>
                <w:szCs w:val="20"/>
                <w:color w:val="auto"/>
              </w:rPr>
            </w:pPr>
            <w:r>
              <w:rPr>
                <w:rFonts w:ascii="Arial" w:cs="Arial" w:eastAsia="Arial" w:hAnsi="Arial"/>
                <w:sz w:val="15"/>
                <w:szCs w:val="15"/>
                <w:color w:val="auto"/>
              </w:rPr>
              <w:t>Property, plant and equipment, net of accumulated depreciation of $347.4 and $326.5</w:t>
            </w: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gridSpan w:val="2"/>
          </w:tcPr>
          <w:p>
            <w:pPr>
              <w:ind w:left="160"/>
              <w:spacing w:after="0"/>
              <w:rPr>
                <w:sz w:val="20"/>
                <w:szCs w:val="20"/>
                <w:color w:val="auto"/>
              </w:rPr>
            </w:pPr>
            <w:r>
              <w:rPr>
                <w:rFonts w:ascii="Arial" w:cs="Arial" w:eastAsia="Arial" w:hAnsi="Arial"/>
                <w:sz w:val="15"/>
                <w:szCs w:val="15"/>
                <w:color w:val="auto"/>
              </w:rPr>
              <w:t>at April 30, 2024 and October 31, 2023, respectively</w:t>
            </w:r>
          </w:p>
        </w:tc>
        <w:tc>
          <w:tcPr>
            <w:tcW w:w="2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145.1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131.5</w:t>
            </w:r>
          </w:p>
        </w:tc>
        <w:tc>
          <w:tcPr>
            <w:tcW w:w="0" w:type="dxa"/>
            <w:vAlign w:val="bottom"/>
          </w:tcPr>
          <w:p>
            <w:pPr>
              <w:spacing w:after="0"/>
              <w:rPr>
                <w:sz w:val="1"/>
                <w:szCs w:val="1"/>
                <w:color w:val="auto"/>
              </w:rPr>
            </w:pPr>
          </w:p>
        </w:tc>
      </w:tr>
      <w:tr>
        <w:trPr>
          <w:trHeight w:val="205"/>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Right-of-use assets</w:t>
            </w:r>
          </w:p>
        </w:tc>
        <w:tc>
          <w:tcPr>
            <w:tcW w:w="260" w:type="dxa"/>
            <w:vAlign w:val="bottom"/>
            <w:shd w:val="clear" w:color="auto" w:fill="DCE2EF"/>
          </w:tcPr>
          <w:p>
            <w:pPr>
              <w:spacing w:after="0"/>
              <w:rPr>
                <w:sz w:val="17"/>
                <w:szCs w:val="17"/>
                <w:color w:val="auto"/>
              </w:rPr>
            </w:pPr>
          </w:p>
        </w:tc>
        <w:tc>
          <w:tcPr>
            <w:tcW w:w="160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108.4</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113.4</w:t>
            </w:r>
          </w:p>
        </w:tc>
        <w:tc>
          <w:tcPr>
            <w:tcW w:w="0" w:type="dxa"/>
            <w:vAlign w:val="bottom"/>
          </w:tcPr>
          <w:p>
            <w:pPr>
              <w:spacing w:after="0"/>
              <w:rPr>
                <w:sz w:val="1"/>
                <w:szCs w:val="1"/>
                <w:color w:val="auto"/>
              </w:rPr>
            </w:pPr>
          </w:p>
        </w:tc>
      </w:tr>
      <w:tr>
        <w:trPr>
          <w:trHeight w:val="158"/>
        </w:trPr>
        <w:tc>
          <w:tcPr>
            <w:tcW w:w="7300" w:type="dxa"/>
            <w:vAlign w:val="bottom"/>
            <w:gridSpan w:val="3"/>
          </w:tcPr>
          <w:p>
            <w:pPr>
              <w:ind w:left="20"/>
              <w:spacing w:after="0" w:line="158" w:lineRule="exact"/>
              <w:rPr>
                <w:sz w:val="20"/>
                <w:szCs w:val="20"/>
                <w:color w:val="auto"/>
              </w:rPr>
            </w:pPr>
            <w:r>
              <w:rPr>
                <w:rFonts w:ascii="Arial" w:cs="Arial" w:eastAsia="Arial" w:hAnsi="Arial"/>
                <w:sz w:val="15"/>
                <w:szCs w:val="15"/>
                <w:color w:val="auto"/>
              </w:rPr>
              <w:t>Other intangible assets, net of accumulated amortization of $466.8 and $438.3</w:t>
            </w: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gridSpan w:val="2"/>
          </w:tcPr>
          <w:p>
            <w:pPr>
              <w:ind w:left="160"/>
              <w:spacing w:after="0"/>
              <w:rPr>
                <w:sz w:val="20"/>
                <w:szCs w:val="20"/>
                <w:color w:val="auto"/>
              </w:rPr>
            </w:pPr>
            <w:r>
              <w:rPr>
                <w:rFonts w:ascii="Arial" w:cs="Arial" w:eastAsia="Arial" w:hAnsi="Arial"/>
                <w:sz w:val="15"/>
                <w:szCs w:val="15"/>
                <w:color w:val="auto"/>
              </w:rPr>
              <w:t>at April 30, 2024 and October 31, 2023, respectively</w:t>
            </w:r>
          </w:p>
        </w:tc>
        <w:tc>
          <w:tcPr>
            <w:tcW w:w="2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274.8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302.9</w:t>
            </w:r>
          </w:p>
        </w:tc>
        <w:tc>
          <w:tcPr>
            <w:tcW w:w="0" w:type="dxa"/>
            <w:vAlign w:val="bottom"/>
          </w:tcPr>
          <w:p>
            <w:pPr>
              <w:spacing w:after="0"/>
              <w:rPr>
                <w:sz w:val="1"/>
                <w:szCs w:val="1"/>
                <w:color w:val="auto"/>
              </w:rPr>
            </w:pPr>
          </w:p>
        </w:tc>
      </w:tr>
      <w:tr>
        <w:trPr>
          <w:trHeight w:val="205"/>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Goodwill</w:t>
            </w:r>
          </w:p>
        </w:tc>
        <w:tc>
          <w:tcPr>
            <w:tcW w:w="260" w:type="dxa"/>
            <w:vAlign w:val="bottom"/>
            <w:shd w:val="clear" w:color="auto" w:fill="DCE2EF"/>
          </w:tcPr>
          <w:p>
            <w:pPr>
              <w:spacing w:after="0"/>
              <w:rPr>
                <w:sz w:val="17"/>
                <w:szCs w:val="17"/>
                <w:color w:val="auto"/>
              </w:rPr>
            </w:pPr>
          </w:p>
        </w:tc>
        <w:tc>
          <w:tcPr>
            <w:tcW w:w="160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2,493.3</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2,491.3</w:t>
            </w:r>
          </w:p>
        </w:tc>
        <w:tc>
          <w:tcPr>
            <w:tcW w:w="0" w:type="dxa"/>
            <w:vAlign w:val="bottom"/>
          </w:tcPr>
          <w:p>
            <w:pPr>
              <w:spacing w:after="0"/>
              <w:rPr>
                <w:sz w:val="1"/>
                <w:szCs w:val="1"/>
                <w:color w:val="auto"/>
              </w:rPr>
            </w:pPr>
          </w:p>
        </w:tc>
      </w:tr>
      <w:tr>
        <w:trPr>
          <w:trHeight w:val="201"/>
        </w:trPr>
        <w:tc>
          <w:tcPr>
            <w:tcW w:w="730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Other noncurrent assets</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180.1</w:t>
            </w:r>
          </w:p>
        </w:tc>
        <w:tc>
          <w:tcPr>
            <w:tcW w:w="100" w:type="dxa"/>
            <w:vAlign w:val="bottom"/>
            <w:tcBorders>
              <w:bottom w:val="single" w:sz="8" w:color="DCE2E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155.0</w:t>
            </w:r>
          </w:p>
        </w:tc>
        <w:tc>
          <w:tcPr>
            <w:tcW w:w="0" w:type="dxa"/>
            <w:vAlign w:val="bottom"/>
          </w:tcPr>
          <w:p>
            <w:pPr>
              <w:spacing w:after="0"/>
              <w:rPr>
                <w:sz w:val="1"/>
                <w:szCs w:val="1"/>
                <w:color w:val="auto"/>
              </w:rPr>
            </w:pPr>
          </w:p>
        </w:tc>
      </w:tr>
      <w:tr>
        <w:trPr>
          <w:trHeight w:val="222"/>
        </w:trPr>
        <w:tc>
          <w:tcPr>
            <w:tcW w:w="730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Total assets</w:t>
            </w:r>
          </w:p>
        </w:tc>
        <w:tc>
          <w:tcPr>
            <w:tcW w:w="260" w:type="dxa"/>
            <w:vAlign w:val="bottom"/>
            <w:tcBorders>
              <w:bottom w:val="single" w:sz="8" w:color="auto"/>
            </w:tcBorders>
            <w:shd w:val="clear" w:color="auto" w:fill="DCE2E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4,929.5</w:t>
            </w:r>
          </w:p>
        </w:tc>
        <w:tc>
          <w:tcPr>
            <w:tcW w:w="100" w:type="dxa"/>
            <w:vAlign w:val="bottom"/>
            <w:tcBorders>
              <w:bottom w:val="single" w:sz="8" w:color="DCE2EF"/>
            </w:tcBorders>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4,933.7</w:t>
            </w:r>
          </w:p>
        </w:tc>
        <w:tc>
          <w:tcPr>
            <w:tcW w:w="0" w:type="dxa"/>
            <w:vAlign w:val="bottom"/>
          </w:tcPr>
          <w:p>
            <w:pPr>
              <w:spacing w:after="0"/>
              <w:rPr>
                <w:sz w:val="1"/>
                <w:szCs w:val="1"/>
                <w:color w:val="auto"/>
              </w:rPr>
            </w:pPr>
          </w:p>
        </w:tc>
      </w:tr>
      <w:tr>
        <w:trPr>
          <w:trHeight w:val="20"/>
        </w:trPr>
        <w:tc>
          <w:tcPr>
            <w:tcW w:w="7300" w:type="dxa"/>
            <w:vAlign w:val="bottom"/>
            <w:tcBorders>
              <w:top w:val="single" w:sz="8" w:color="DCE2EF"/>
              <w:bottom w:val="single" w:sz="8" w:color="DCE2EF"/>
            </w:tcBorders>
            <w:gridSpan w:val="3"/>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60" w:type="dxa"/>
            <w:vAlign w:val="bottom"/>
            <w:tcBorders>
              <w:top w:val="single" w:sz="8" w:color="DCE2EF"/>
              <w:bottom w:val="single" w:sz="8" w:color="auto"/>
            </w:tcBorders>
          </w:tcPr>
          <w:p>
            <w:pPr>
              <w:spacing w:after="0" w:line="20" w:lineRule="exact"/>
              <w:rPr>
                <w:sz w:val="1"/>
                <w:szCs w:val="1"/>
                <w:color w:val="auto"/>
              </w:rPr>
            </w:pPr>
          </w:p>
        </w:tc>
        <w:tc>
          <w:tcPr>
            <w:tcW w:w="16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14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30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Current liabilities</w:t>
            </w:r>
          </w:p>
        </w:tc>
        <w:tc>
          <w:tcPr>
            <w:tcW w:w="260" w:type="dxa"/>
            <w:vAlign w:val="bottom"/>
            <w:shd w:val="clear" w:color="auto" w:fill="DCE2EF"/>
          </w:tcPr>
          <w:p>
            <w:pPr>
              <w:spacing w:after="0"/>
              <w:rPr>
                <w:sz w:val="17"/>
                <w:szCs w:val="17"/>
                <w:color w:val="auto"/>
              </w:rPr>
            </w:pPr>
          </w:p>
        </w:tc>
        <w:tc>
          <w:tcPr>
            <w:tcW w:w="16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2"/>
          </w:tcPr>
          <w:p>
            <w:pPr>
              <w:ind w:left="320"/>
              <w:spacing w:after="0"/>
              <w:rPr>
                <w:sz w:val="20"/>
                <w:szCs w:val="20"/>
                <w:color w:val="auto"/>
              </w:rPr>
            </w:pPr>
            <w:r>
              <w:rPr>
                <w:rFonts w:ascii="Arial" w:cs="Arial" w:eastAsia="Arial" w:hAnsi="Arial"/>
                <w:sz w:val="15"/>
                <w:szCs w:val="15"/>
                <w:color w:val="auto"/>
              </w:rPr>
              <w:t>Current portion of debt, net</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31.6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31.5</w:t>
            </w:r>
          </w:p>
        </w:tc>
        <w:tc>
          <w:tcPr>
            <w:tcW w:w="0" w:type="dxa"/>
            <w:vAlign w:val="bottom"/>
          </w:tcPr>
          <w:p>
            <w:pPr>
              <w:spacing w:after="0"/>
              <w:rPr>
                <w:sz w:val="1"/>
                <w:szCs w:val="1"/>
                <w:color w:val="auto"/>
              </w:rPr>
            </w:pPr>
          </w:p>
        </w:tc>
      </w:tr>
      <w:tr>
        <w:trPr>
          <w:trHeight w:val="204"/>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Trade accounts payable</w:t>
            </w:r>
          </w:p>
        </w:tc>
        <w:tc>
          <w:tcPr>
            <w:tcW w:w="260" w:type="dxa"/>
            <w:vAlign w:val="bottom"/>
            <w:shd w:val="clear" w:color="auto" w:fill="DCE2EF"/>
          </w:tcPr>
          <w:p>
            <w:pPr>
              <w:spacing w:after="0"/>
              <w:rPr>
                <w:sz w:val="17"/>
                <w:szCs w:val="17"/>
                <w:color w:val="auto"/>
              </w:rPr>
            </w:pPr>
          </w:p>
        </w:tc>
        <w:tc>
          <w:tcPr>
            <w:tcW w:w="160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253.6</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299.1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2"/>
          </w:tcPr>
          <w:p>
            <w:pPr>
              <w:ind w:left="320"/>
              <w:spacing w:after="0"/>
              <w:rPr>
                <w:sz w:val="20"/>
                <w:szCs w:val="20"/>
                <w:color w:val="auto"/>
              </w:rPr>
            </w:pPr>
            <w:r>
              <w:rPr>
                <w:rFonts w:ascii="Arial" w:cs="Arial" w:eastAsia="Arial" w:hAnsi="Arial"/>
                <w:sz w:val="15"/>
                <w:szCs w:val="15"/>
                <w:color w:val="auto"/>
              </w:rPr>
              <w:t>Accrued compensation</w:t>
            </w:r>
          </w:p>
        </w:tc>
        <w:tc>
          <w:tcPr>
            <w:tcW w:w="2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223.6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249.7</w:t>
            </w:r>
          </w:p>
        </w:tc>
        <w:tc>
          <w:tcPr>
            <w:tcW w:w="0" w:type="dxa"/>
            <w:vAlign w:val="bottom"/>
          </w:tcPr>
          <w:p>
            <w:pPr>
              <w:spacing w:after="0"/>
              <w:rPr>
                <w:sz w:val="1"/>
                <w:szCs w:val="1"/>
                <w:color w:val="auto"/>
              </w:rPr>
            </w:pPr>
          </w:p>
        </w:tc>
      </w:tr>
      <w:tr>
        <w:trPr>
          <w:trHeight w:val="204"/>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Accrued taxes — other than income</w:t>
            </w:r>
          </w:p>
        </w:tc>
        <w:tc>
          <w:tcPr>
            <w:tcW w:w="260" w:type="dxa"/>
            <w:vAlign w:val="bottom"/>
            <w:shd w:val="clear" w:color="auto" w:fill="DCE2EF"/>
          </w:tcPr>
          <w:p>
            <w:pPr>
              <w:spacing w:after="0"/>
              <w:rPr>
                <w:sz w:val="17"/>
                <w:szCs w:val="17"/>
                <w:color w:val="auto"/>
              </w:rPr>
            </w:pPr>
          </w:p>
        </w:tc>
        <w:tc>
          <w:tcPr>
            <w:tcW w:w="160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64.9</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58.9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2"/>
          </w:tcPr>
          <w:p>
            <w:pPr>
              <w:ind w:left="320"/>
              <w:spacing w:after="0"/>
              <w:rPr>
                <w:sz w:val="20"/>
                <w:szCs w:val="20"/>
                <w:color w:val="auto"/>
              </w:rPr>
            </w:pPr>
            <w:r>
              <w:rPr>
                <w:rFonts w:ascii="Arial" w:cs="Arial" w:eastAsia="Arial" w:hAnsi="Arial"/>
                <w:sz w:val="15"/>
                <w:szCs w:val="15"/>
                <w:color w:val="auto"/>
              </w:rPr>
              <w:t>Deferred revenue</w:t>
            </w:r>
          </w:p>
        </w:tc>
        <w:tc>
          <w:tcPr>
            <w:tcW w:w="2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101.2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90.1</w:t>
            </w:r>
          </w:p>
        </w:tc>
        <w:tc>
          <w:tcPr>
            <w:tcW w:w="0" w:type="dxa"/>
            <w:vAlign w:val="bottom"/>
          </w:tcPr>
          <w:p>
            <w:pPr>
              <w:spacing w:after="0"/>
              <w:rPr>
                <w:sz w:val="1"/>
                <w:szCs w:val="1"/>
                <w:color w:val="auto"/>
              </w:rPr>
            </w:pPr>
          </w:p>
        </w:tc>
      </w:tr>
      <w:tr>
        <w:trPr>
          <w:trHeight w:val="204"/>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Insurance claims</w:t>
            </w:r>
          </w:p>
        </w:tc>
        <w:tc>
          <w:tcPr>
            <w:tcW w:w="260" w:type="dxa"/>
            <w:vAlign w:val="bottom"/>
            <w:shd w:val="clear" w:color="auto" w:fill="DCE2EF"/>
          </w:tcPr>
          <w:p>
            <w:pPr>
              <w:spacing w:after="0"/>
              <w:rPr>
                <w:sz w:val="17"/>
                <w:szCs w:val="17"/>
                <w:color w:val="auto"/>
              </w:rPr>
            </w:pPr>
          </w:p>
        </w:tc>
        <w:tc>
          <w:tcPr>
            <w:tcW w:w="160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196.3</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177.0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2"/>
          </w:tcPr>
          <w:p>
            <w:pPr>
              <w:ind w:left="320"/>
              <w:spacing w:after="0"/>
              <w:rPr>
                <w:sz w:val="20"/>
                <w:szCs w:val="20"/>
                <w:color w:val="auto"/>
              </w:rPr>
            </w:pPr>
            <w:r>
              <w:rPr>
                <w:rFonts w:ascii="Arial" w:cs="Arial" w:eastAsia="Arial" w:hAnsi="Arial"/>
                <w:sz w:val="15"/>
                <w:szCs w:val="15"/>
                <w:color w:val="auto"/>
              </w:rPr>
              <w:t>Income taxes payable</w:t>
            </w:r>
          </w:p>
        </w:tc>
        <w:tc>
          <w:tcPr>
            <w:tcW w:w="2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204"/>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Current portion of lease liabilities</w:t>
            </w:r>
          </w:p>
        </w:tc>
        <w:tc>
          <w:tcPr>
            <w:tcW w:w="260" w:type="dxa"/>
            <w:vAlign w:val="bottom"/>
            <w:shd w:val="clear" w:color="auto" w:fill="DCE2EF"/>
          </w:tcPr>
          <w:p>
            <w:pPr>
              <w:spacing w:after="0"/>
              <w:rPr>
                <w:sz w:val="17"/>
                <w:szCs w:val="17"/>
                <w:color w:val="auto"/>
              </w:rPr>
            </w:pPr>
          </w:p>
        </w:tc>
        <w:tc>
          <w:tcPr>
            <w:tcW w:w="160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28.2</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32.5</w:t>
            </w:r>
          </w:p>
        </w:tc>
        <w:tc>
          <w:tcPr>
            <w:tcW w:w="0" w:type="dxa"/>
            <w:vAlign w:val="bottom"/>
          </w:tcPr>
          <w:p>
            <w:pPr>
              <w:spacing w:after="0"/>
              <w:rPr>
                <w:sz w:val="1"/>
                <w:szCs w:val="1"/>
                <w:color w:val="auto"/>
              </w:rPr>
            </w:pPr>
          </w:p>
        </w:tc>
      </w:tr>
      <w:tr>
        <w:trPr>
          <w:trHeight w:val="201"/>
        </w:trPr>
        <w:tc>
          <w:tcPr>
            <w:tcW w:w="20" w:type="dxa"/>
            <w:vAlign w:val="bottom"/>
            <w:tcBorders>
              <w:bottom w:val="single" w:sz="8" w:color="DCE2EF"/>
            </w:tcBorders>
          </w:tcPr>
          <w:p>
            <w:pPr>
              <w:spacing w:after="0"/>
              <w:rPr>
                <w:sz w:val="17"/>
                <w:szCs w:val="17"/>
                <w:color w:val="auto"/>
              </w:rPr>
            </w:pPr>
          </w:p>
        </w:tc>
        <w:tc>
          <w:tcPr>
            <w:tcW w:w="7280" w:type="dxa"/>
            <w:vAlign w:val="bottom"/>
            <w:tcBorders>
              <w:bottom w:val="single" w:sz="8" w:color="DCE2EF"/>
            </w:tcBorders>
            <w:gridSpan w:val="2"/>
          </w:tcPr>
          <w:p>
            <w:pPr>
              <w:ind w:left="320"/>
              <w:spacing w:after="0"/>
              <w:rPr>
                <w:sz w:val="20"/>
                <w:szCs w:val="20"/>
                <w:color w:val="auto"/>
              </w:rPr>
            </w:pPr>
            <w:r>
              <w:rPr>
                <w:rFonts w:ascii="Arial" w:cs="Arial" w:eastAsia="Arial" w:hAnsi="Arial"/>
                <w:sz w:val="15"/>
                <w:szCs w:val="15"/>
                <w:color w:val="auto"/>
              </w:rPr>
              <w:t>Other accrued liabilities</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267.3</w:t>
            </w:r>
          </w:p>
        </w:tc>
        <w:tc>
          <w:tcPr>
            <w:tcW w:w="100" w:type="dxa"/>
            <w:vAlign w:val="bottom"/>
            <w:tcBorders>
              <w:bottom w:val="single" w:sz="8" w:color="DCE2E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261.2</w:t>
            </w:r>
          </w:p>
        </w:tc>
        <w:tc>
          <w:tcPr>
            <w:tcW w:w="0" w:type="dxa"/>
            <w:vAlign w:val="bottom"/>
          </w:tcPr>
          <w:p>
            <w:pPr>
              <w:spacing w:after="0"/>
              <w:rPr>
                <w:sz w:val="1"/>
                <w:szCs w:val="1"/>
                <w:color w:val="auto"/>
              </w:rPr>
            </w:pPr>
          </w:p>
        </w:tc>
      </w:tr>
      <w:tr>
        <w:trPr>
          <w:trHeight w:val="197"/>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640"/>
              <w:spacing w:after="0"/>
              <w:rPr>
                <w:sz w:val="20"/>
                <w:szCs w:val="20"/>
                <w:color w:val="auto"/>
              </w:rPr>
            </w:pPr>
            <w:r>
              <w:rPr>
                <w:rFonts w:ascii="Arial" w:cs="Arial" w:eastAsia="Arial" w:hAnsi="Arial"/>
                <w:sz w:val="15"/>
                <w:szCs w:val="15"/>
                <w:color w:val="auto"/>
              </w:rPr>
              <w:t>Total current liabilities</w:t>
            </w:r>
          </w:p>
        </w:tc>
        <w:tc>
          <w:tcPr>
            <w:tcW w:w="260" w:type="dxa"/>
            <w:vAlign w:val="bottom"/>
            <w:tcBorders>
              <w:bottom w:val="single" w:sz="8" w:color="auto"/>
            </w:tcBorders>
            <w:shd w:val="clear" w:color="auto" w:fill="DCE2EF"/>
          </w:tcPr>
          <w:p>
            <w:pPr>
              <w:spacing w:after="0"/>
              <w:rPr>
                <w:sz w:val="17"/>
                <w:szCs w:val="17"/>
                <w:color w:val="auto"/>
              </w:rPr>
            </w:pPr>
          </w:p>
        </w:tc>
        <w:tc>
          <w:tcPr>
            <w:tcW w:w="160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1,179.1</w:t>
            </w:r>
          </w:p>
        </w:tc>
        <w:tc>
          <w:tcPr>
            <w:tcW w:w="100" w:type="dxa"/>
            <w:vAlign w:val="bottom"/>
            <w:shd w:val="clear" w:color="auto" w:fill="DCE2EF"/>
          </w:tcPr>
          <w:p>
            <w:pPr>
              <w:spacing w:after="0"/>
              <w:rPr>
                <w:sz w:val="17"/>
                <w:szCs w:val="17"/>
                <w:color w:val="auto"/>
              </w:rPr>
            </w:pPr>
          </w:p>
        </w:tc>
        <w:tc>
          <w:tcPr>
            <w:tcW w:w="160" w:type="dxa"/>
            <w:vAlign w:val="bottom"/>
            <w:tcBorders>
              <w:bottom w:val="single" w:sz="8" w:color="auto"/>
            </w:tcBorders>
            <w:shd w:val="clear" w:color="auto" w:fill="DCE2EF"/>
          </w:tcPr>
          <w:p>
            <w:pPr>
              <w:spacing w:after="0"/>
              <w:rPr>
                <w:sz w:val="17"/>
                <w:szCs w:val="17"/>
                <w:color w:val="auto"/>
              </w:rPr>
            </w:pPr>
          </w:p>
        </w:tc>
        <w:tc>
          <w:tcPr>
            <w:tcW w:w="148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1,217.9</w:t>
            </w:r>
          </w:p>
        </w:tc>
        <w:tc>
          <w:tcPr>
            <w:tcW w:w="0" w:type="dxa"/>
            <w:vAlign w:val="bottom"/>
          </w:tcPr>
          <w:p>
            <w:pPr>
              <w:spacing w:after="0"/>
              <w:rPr>
                <w:sz w:val="1"/>
                <w:szCs w:val="1"/>
                <w:color w:val="auto"/>
              </w:rPr>
            </w:pPr>
          </w:p>
        </w:tc>
      </w:tr>
      <w:tr>
        <w:trPr>
          <w:trHeight w:val="195"/>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Long-term debt, net</w:t>
            </w:r>
          </w:p>
        </w:tc>
        <w:tc>
          <w:tcPr>
            <w:tcW w:w="2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1,239.0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1,279.8</w:t>
            </w:r>
          </w:p>
        </w:tc>
        <w:tc>
          <w:tcPr>
            <w:tcW w:w="0" w:type="dxa"/>
            <w:vAlign w:val="bottom"/>
          </w:tcPr>
          <w:p>
            <w:pPr>
              <w:spacing w:after="0"/>
              <w:rPr>
                <w:sz w:val="1"/>
                <w:szCs w:val="1"/>
                <w:color w:val="auto"/>
              </w:rPr>
            </w:pPr>
          </w:p>
        </w:tc>
      </w:tr>
      <w:tr>
        <w:trPr>
          <w:trHeight w:val="204"/>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Long-term lease liabilities</w:t>
            </w:r>
          </w:p>
        </w:tc>
        <w:tc>
          <w:tcPr>
            <w:tcW w:w="260" w:type="dxa"/>
            <w:vAlign w:val="bottom"/>
            <w:shd w:val="clear" w:color="auto" w:fill="DCE2EF"/>
          </w:tcPr>
          <w:p>
            <w:pPr>
              <w:spacing w:after="0"/>
              <w:rPr>
                <w:sz w:val="17"/>
                <w:szCs w:val="17"/>
                <w:color w:val="auto"/>
              </w:rPr>
            </w:pPr>
          </w:p>
        </w:tc>
        <w:tc>
          <w:tcPr>
            <w:tcW w:w="160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97.0</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98.8</w:t>
            </w:r>
          </w:p>
        </w:tc>
        <w:tc>
          <w:tcPr>
            <w:tcW w:w="0" w:type="dxa"/>
            <w:vAlign w:val="bottom"/>
          </w:tcPr>
          <w:p>
            <w:pPr>
              <w:spacing w:after="0"/>
              <w:rPr>
                <w:sz w:val="1"/>
                <w:szCs w:val="1"/>
                <w:color w:val="auto"/>
              </w:rPr>
            </w:pPr>
          </w:p>
        </w:tc>
      </w:tr>
      <w:tr>
        <w:trPr>
          <w:trHeight w:val="201"/>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Deferred income tax liability, net</w:t>
            </w:r>
          </w:p>
        </w:tc>
        <w:tc>
          <w:tcPr>
            <w:tcW w:w="2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80.9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85.0</w:t>
            </w:r>
          </w:p>
        </w:tc>
        <w:tc>
          <w:tcPr>
            <w:tcW w:w="0" w:type="dxa"/>
            <w:vAlign w:val="bottom"/>
          </w:tcPr>
          <w:p>
            <w:pPr>
              <w:spacing w:after="0"/>
              <w:rPr>
                <w:sz w:val="1"/>
                <w:szCs w:val="1"/>
                <w:color w:val="auto"/>
              </w:rPr>
            </w:pPr>
          </w:p>
        </w:tc>
      </w:tr>
      <w:tr>
        <w:trPr>
          <w:trHeight w:val="204"/>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Noncurrent insurance claims</w:t>
            </w:r>
          </w:p>
        </w:tc>
        <w:tc>
          <w:tcPr>
            <w:tcW w:w="260" w:type="dxa"/>
            <w:vAlign w:val="bottom"/>
            <w:shd w:val="clear" w:color="auto" w:fill="DCE2EF"/>
          </w:tcPr>
          <w:p>
            <w:pPr>
              <w:spacing w:after="0"/>
              <w:rPr>
                <w:sz w:val="17"/>
                <w:szCs w:val="17"/>
                <w:color w:val="auto"/>
              </w:rPr>
            </w:pPr>
          </w:p>
        </w:tc>
        <w:tc>
          <w:tcPr>
            <w:tcW w:w="160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418.0</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387.5</w:t>
            </w:r>
          </w:p>
        </w:tc>
        <w:tc>
          <w:tcPr>
            <w:tcW w:w="0" w:type="dxa"/>
            <w:vAlign w:val="bottom"/>
          </w:tcPr>
          <w:p>
            <w:pPr>
              <w:spacing w:after="0"/>
              <w:rPr>
                <w:sz w:val="1"/>
                <w:szCs w:val="1"/>
                <w:color w:val="auto"/>
              </w:rPr>
            </w:pPr>
          </w:p>
        </w:tc>
      </w:tr>
      <w:tr>
        <w:trPr>
          <w:trHeight w:val="201"/>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Other noncurrent liabilities</w:t>
            </w:r>
          </w:p>
        </w:tc>
        <w:tc>
          <w:tcPr>
            <w:tcW w:w="2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68.1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61.1</w:t>
            </w:r>
          </w:p>
        </w:tc>
        <w:tc>
          <w:tcPr>
            <w:tcW w:w="0" w:type="dxa"/>
            <w:vAlign w:val="bottom"/>
          </w:tcPr>
          <w:p>
            <w:pPr>
              <w:spacing w:after="0"/>
              <w:rPr>
                <w:sz w:val="1"/>
                <w:szCs w:val="1"/>
                <w:color w:val="auto"/>
              </w:rPr>
            </w:pPr>
          </w:p>
        </w:tc>
      </w:tr>
      <w:tr>
        <w:trPr>
          <w:trHeight w:val="204"/>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Noncurrent income taxes payable</w:t>
            </w:r>
          </w:p>
        </w:tc>
        <w:tc>
          <w:tcPr>
            <w:tcW w:w="260" w:type="dxa"/>
            <w:vAlign w:val="bottom"/>
            <w:tcBorders>
              <w:bottom w:val="single" w:sz="8" w:color="auto"/>
            </w:tcBorders>
            <w:shd w:val="clear" w:color="auto" w:fill="DCE2EF"/>
          </w:tcPr>
          <w:p>
            <w:pPr>
              <w:spacing w:after="0"/>
              <w:rPr>
                <w:sz w:val="17"/>
                <w:szCs w:val="17"/>
                <w:color w:val="auto"/>
              </w:rPr>
            </w:pPr>
          </w:p>
        </w:tc>
        <w:tc>
          <w:tcPr>
            <w:tcW w:w="160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3.8</w:t>
            </w:r>
          </w:p>
        </w:tc>
        <w:tc>
          <w:tcPr>
            <w:tcW w:w="100" w:type="dxa"/>
            <w:vAlign w:val="bottom"/>
            <w:shd w:val="clear" w:color="auto" w:fill="DCE2EF"/>
          </w:tcPr>
          <w:p>
            <w:pPr>
              <w:spacing w:after="0"/>
              <w:rPr>
                <w:sz w:val="17"/>
                <w:szCs w:val="17"/>
                <w:color w:val="auto"/>
              </w:rPr>
            </w:pPr>
          </w:p>
        </w:tc>
        <w:tc>
          <w:tcPr>
            <w:tcW w:w="160" w:type="dxa"/>
            <w:vAlign w:val="bottom"/>
            <w:tcBorders>
              <w:bottom w:val="single" w:sz="8" w:color="auto"/>
            </w:tcBorders>
            <w:shd w:val="clear" w:color="auto" w:fill="DCE2EF"/>
          </w:tcPr>
          <w:p>
            <w:pPr>
              <w:spacing w:after="0"/>
              <w:rPr>
                <w:sz w:val="17"/>
                <w:szCs w:val="17"/>
                <w:color w:val="auto"/>
              </w:rPr>
            </w:pPr>
          </w:p>
        </w:tc>
        <w:tc>
          <w:tcPr>
            <w:tcW w:w="148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95"/>
        </w:trPr>
        <w:tc>
          <w:tcPr>
            <w:tcW w:w="20" w:type="dxa"/>
            <w:vAlign w:val="bottom"/>
            <w:tcBorders>
              <w:bottom w:val="single" w:sz="8" w:color="DCE2EF"/>
            </w:tcBorders>
          </w:tcPr>
          <w:p>
            <w:pPr>
              <w:spacing w:after="0"/>
              <w:rPr>
                <w:sz w:val="16"/>
                <w:szCs w:val="16"/>
                <w:color w:val="auto"/>
              </w:rPr>
            </w:pPr>
          </w:p>
        </w:tc>
        <w:tc>
          <w:tcPr>
            <w:tcW w:w="7280" w:type="dxa"/>
            <w:vAlign w:val="bottom"/>
            <w:tcBorders>
              <w:bottom w:val="single" w:sz="8" w:color="DCE2EF"/>
            </w:tcBorders>
            <w:gridSpan w:val="2"/>
          </w:tcPr>
          <w:p>
            <w:pPr>
              <w:ind w:left="320"/>
              <w:spacing w:after="0"/>
              <w:rPr>
                <w:sz w:val="20"/>
                <w:szCs w:val="20"/>
                <w:color w:val="auto"/>
              </w:rPr>
            </w:pPr>
            <w:r>
              <w:rPr>
                <w:rFonts w:ascii="Arial" w:cs="Arial" w:eastAsia="Arial" w:hAnsi="Arial"/>
                <w:sz w:val="15"/>
                <w:szCs w:val="15"/>
                <w:color w:val="auto"/>
              </w:rPr>
              <w:t>Total liabilities</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3,085.9</w:t>
            </w: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3,133.8</w:t>
            </w:r>
          </w:p>
        </w:tc>
        <w:tc>
          <w:tcPr>
            <w:tcW w:w="0" w:type="dxa"/>
            <w:vAlign w:val="bottom"/>
          </w:tcPr>
          <w:p>
            <w:pPr>
              <w:spacing w:after="0"/>
              <w:rPr>
                <w:sz w:val="1"/>
                <w:szCs w:val="1"/>
                <w:color w:val="auto"/>
              </w:rPr>
            </w:pPr>
          </w:p>
        </w:tc>
      </w:tr>
      <w:tr>
        <w:trPr>
          <w:trHeight w:val="184"/>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Commitments and contingencies</w:t>
            </w:r>
          </w:p>
        </w:tc>
        <w:tc>
          <w:tcPr>
            <w:tcW w:w="260" w:type="dxa"/>
            <w:vAlign w:val="bottom"/>
            <w:shd w:val="clear" w:color="auto" w:fill="DCE2EF"/>
          </w:tcPr>
          <w:p>
            <w:pPr>
              <w:spacing w:after="0"/>
              <w:rPr>
                <w:sz w:val="15"/>
                <w:szCs w:val="15"/>
                <w:color w:val="auto"/>
              </w:rPr>
            </w:pPr>
          </w:p>
        </w:tc>
        <w:tc>
          <w:tcPr>
            <w:tcW w:w="16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148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00" w:type="dxa"/>
            <w:vAlign w:val="bottom"/>
            <w:gridSpan w:val="3"/>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Preferred stock, $0.01 par value; 500,000 shares authorized; none issued</w:t>
            </w:r>
          </w:p>
        </w:tc>
        <w:tc>
          <w:tcPr>
            <w:tcW w:w="260" w:type="dxa"/>
            <w:vAlign w:val="bottom"/>
            <w:shd w:val="clear" w:color="auto" w:fill="DCE2EF"/>
          </w:tcPr>
          <w:p>
            <w:pPr>
              <w:spacing w:after="0"/>
              <w:rPr>
                <w:sz w:val="17"/>
                <w:szCs w:val="17"/>
                <w:color w:val="auto"/>
              </w:rPr>
            </w:pPr>
          </w:p>
        </w:tc>
        <w:tc>
          <w:tcPr>
            <w:tcW w:w="170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8"/>
        </w:trPr>
        <w:tc>
          <w:tcPr>
            <w:tcW w:w="7300" w:type="dxa"/>
            <w:vAlign w:val="bottom"/>
            <w:gridSpan w:val="3"/>
          </w:tcPr>
          <w:p>
            <w:pPr>
              <w:ind w:left="20"/>
              <w:spacing w:after="0" w:line="158" w:lineRule="exact"/>
              <w:rPr>
                <w:sz w:val="20"/>
                <w:szCs w:val="20"/>
                <w:color w:val="auto"/>
              </w:rPr>
            </w:pPr>
            <w:r>
              <w:rPr>
                <w:rFonts w:ascii="Arial" w:cs="Arial" w:eastAsia="Arial" w:hAnsi="Arial"/>
                <w:sz w:val="15"/>
                <w:szCs w:val="15"/>
                <w:color w:val="auto"/>
              </w:rPr>
              <w:t>Common stock, $0.01 par value; 100,000,000 shares authorized;</w:t>
            </w: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80" w:type="dxa"/>
            <w:vAlign w:val="bottom"/>
            <w:gridSpan w:val="2"/>
          </w:tcPr>
          <w:p>
            <w:pPr>
              <w:ind w:left="540"/>
              <w:spacing w:after="0" w:line="153" w:lineRule="exact"/>
              <w:rPr>
                <w:sz w:val="20"/>
                <w:szCs w:val="20"/>
                <w:color w:val="auto"/>
              </w:rPr>
            </w:pPr>
            <w:r>
              <w:rPr>
                <w:rFonts w:ascii="Arial" w:cs="Arial" w:eastAsia="Arial" w:hAnsi="Arial"/>
                <w:sz w:val="15"/>
                <w:szCs w:val="15"/>
                <w:color w:val="auto"/>
              </w:rPr>
              <w:t>62,756,634 and 62,847,387 shares issued and outstanding at</w:t>
            </w:r>
          </w:p>
        </w:tc>
        <w:tc>
          <w:tcPr>
            <w:tcW w:w="260" w:type="dxa"/>
            <w:vAlign w:val="bottom"/>
          </w:tcPr>
          <w:p>
            <w:pPr>
              <w:spacing w:after="0"/>
              <w:rPr>
                <w:sz w:val="13"/>
                <w:szCs w:val="13"/>
                <w:color w:val="auto"/>
              </w:rPr>
            </w:pPr>
          </w:p>
        </w:tc>
        <w:tc>
          <w:tcPr>
            <w:tcW w:w="1600" w:type="dxa"/>
            <w:vAlign w:val="bottom"/>
            <w:vMerge w:val="restart"/>
          </w:tcPr>
          <w:p>
            <w:pPr>
              <w:jc w:val="right"/>
              <w:ind w:right="4"/>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vMerge w:val="restart"/>
          </w:tcPr>
          <w:p>
            <w:pPr>
              <w:jc w:val="right"/>
              <w:ind w:right="4"/>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2"/>
          </w:tcPr>
          <w:p>
            <w:pPr>
              <w:ind w:left="540"/>
              <w:spacing w:after="0"/>
              <w:rPr>
                <w:sz w:val="20"/>
                <w:szCs w:val="20"/>
                <w:color w:val="auto"/>
              </w:rPr>
            </w:pPr>
            <w:r>
              <w:rPr>
                <w:rFonts w:ascii="Arial" w:cs="Arial" w:eastAsia="Arial" w:hAnsi="Arial"/>
                <w:sz w:val="15"/>
                <w:szCs w:val="15"/>
                <w:color w:val="auto"/>
              </w:rPr>
              <w:t>April 30, 2024 and October 31, 2023, respectively</w:t>
            </w:r>
          </w:p>
        </w:tc>
        <w:tc>
          <w:tcPr>
            <w:tcW w:w="26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Additional paid-in capital</w:t>
            </w:r>
          </w:p>
        </w:tc>
        <w:tc>
          <w:tcPr>
            <w:tcW w:w="260" w:type="dxa"/>
            <w:vAlign w:val="bottom"/>
            <w:shd w:val="clear" w:color="auto" w:fill="DCE2EF"/>
          </w:tcPr>
          <w:p>
            <w:pPr>
              <w:spacing w:after="0"/>
              <w:rPr>
                <w:sz w:val="17"/>
                <w:szCs w:val="17"/>
                <w:color w:val="auto"/>
              </w:rPr>
            </w:pPr>
          </w:p>
        </w:tc>
        <w:tc>
          <w:tcPr>
            <w:tcW w:w="160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544.0</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558.9</w:t>
            </w:r>
          </w:p>
        </w:tc>
        <w:tc>
          <w:tcPr>
            <w:tcW w:w="0" w:type="dxa"/>
            <w:vAlign w:val="bottom"/>
          </w:tcPr>
          <w:p>
            <w:pPr>
              <w:spacing w:after="0"/>
              <w:rPr>
                <w:sz w:val="1"/>
                <w:szCs w:val="1"/>
                <w:color w:val="auto"/>
              </w:rPr>
            </w:pPr>
          </w:p>
        </w:tc>
      </w:tr>
      <w:tr>
        <w:trPr>
          <w:trHeight w:val="201"/>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Accumulated other comprehensive loss, net of taxes</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04"/>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Retained earnings</w:t>
            </w:r>
          </w:p>
        </w:tc>
        <w:tc>
          <w:tcPr>
            <w:tcW w:w="260" w:type="dxa"/>
            <w:vAlign w:val="bottom"/>
            <w:tcBorders>
              <w:bottom w:val="single" w:sz="8" w:color="auto"/>
            </w:tcBorders>
            <w:shd w:val="clear" w:color="auto" w:fill="DCE2EF"/>
          </w:tcPr>
          <w:p>
            <w:pPr>
              <w:spacing w:after="0"/>
              <w:rPr>
                <w:sz w:val="17"/>
                <w:szCs w:val="17"/>
                <w:color w:val="auto"/>
              </w:rPr>
            </w:pPr>
          </w:p>
        </w:tc>
        <w:tc>
          <w:tcPr>
            <w:tcW w:w="160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1,308.8</w:t>
            </w:r>
          </w:p>
        </w:tc>
        <w:tc>
          <w:tcPr>
            <w:tcW w:w="100" w:type="dxa"/>
            <w:vAlign w:val="bottom"/>
            <w:shd w:val="clear" w:color="auto" w:fill="DCE2EF"/>
          </w:tcPr>
          <w:p>
            <w:pPr>
              <w:spacing w:after="0"/>
              <w:rPr>
                <w:sz w:val="17"/>
                <w:szCs w:val="17"/>
                <w:color w:val="auto"/>
              </w:rPr>
            </w:pPr>
          </w:p>
        </w:tc>
        <w:tc>
          <w:tcPr>
            <w:tcW w:w="160" w:type="dxa"/>
            <w:vAlign w:val="bottom"/>
            <w:tcBorders>
              <w:bottom w:val="single" w:sz="8" w:color="auto"/>
            </w:tcBorders>
            <w:shd w:val="clear" w:color="auto" w:fill="DCE2EF"/>
          </w:tcPr>
          <w:p>
            <w:pPr>
              <w:spacing w:after="0"/>
              <w:rPr>
                <w:sz w:val="17"/>
                <w:szCs w:val="17"/>
                <w:color w:val="auto"/>
              </w:rPr>
            </w:pPr>
          </w:p>
        </w:tc>
        <w:tc>
          <w:tcPr>
            <w:tcW w:w="148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1,249.6</w:t>
            </w:r>
          </w:p>
        </w:tc>
        <w:tc>
          <w:tcPr>
            <w:tcW w:w="0" w:type="dxa"/>
            <w:vAlign w:val="bottom"/>
          </w:tcPr>
          <w:p>
            <w:pPr>
              <w:spacing w:after="0"/>
              <w:rPr>
                <w:sz w:val="1"/>
                <w:szCs w:val="1"/>
                <w:color w:val="auto"/>
              </w:rPr>
            </w:pPr>
          </w:p>
        </w:tc>
      </w:tr>
      <w:tr>
        <w:trPr>
          <w:trHeight w:val="195"/>
        </w:trPr>
        <w:tc>
          <w:tcPr>
            <w:tcW w:w="20" w:type="dxa"/>
            <w:vAlign w:val="bottom"/>
            <w:tcBorders>
              <w:bottom w:val="single" w:sz="8" w:color="DCE2EF"/>
            </w:tcBorders>
          </w:tcPr>
          <w:p>
            <w:pPr>
              <w:spacing w:after="0"/>
              <w:rPr>
                <w:sz w:val="16"/>
                <w:szCs w:val="16"/>
                <w:color w:val="auto"/>
              </w:rPr>
            </w:pPr>
          </w:p>
        </w:tc>
        <w:tc>
          <w:tcPr>
            <w:tcW w:w="7280" w:type="dxa"/>
            <w:vAlign w:val="bottom"/>
            <w:tcBorders>
              <w:bottom w:val="single" w:sz="8" w:color="DCE2EF"/>
            </w:tcBorders>
            <w:gridSpan w:val="2"/>
          </w:tcPr>
          <w:p>
            <w:pPr>
              <w:ind w:left="320"/>
              <w:spacing w:after="0"/>
              <w:rPr>
                <w:sz w:val="20"/>
                <w:szCs w:val="20"/>
                <w:color w:val="auto"/>
              </w:rPr>
            </w:pPr>
            <w:r>
              <w:rPr>
                <w:rFonts w:ascii="Arial" w:cs="Arial" w:eastAsia="Arial" w:hAnsi="Arial"/>
                <w:sz w:val="15"/>
                <w:szCs w:val="15"/>
                <w:color w:val="auto"/>
              </w:rPr>
              <w:t>Total stockholders’ equity</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1,843.6</w:t>
            </w: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1,799.9</w:t>
            </w:r>
          </w:p>
        </w:tc>
        <w:tc>
          <w:tcPr>
            <w:tcW w:w="0" w:type="dxa"/>
            <w:vAlign w:val="bottom"/>
          </w:tcPr>
          <w:p>
            <w:pPr>
              <w:spacing w:after="0"/>
              <w:rPr>
                <w:sz w:val="1"/>
                <w:szCs w:val="1"/>
                <w:color w:val="auto"/>
              </w:rPr>
            </w:pPr>
          </w:p>
        </w:tc>
      </w:tr>
      <w:tr>
        <w:trPr>
          <w:trHeight w:val="222"/>
        </w:trPr>
        <w:tc>
          <w:tcPr>
            <w:tcW w:w="730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260" w:type="dxa"/>
            <w:vAlign w:val="bottom"/>
            <w:tcBorders>
              <w:bottom w:val="single" w:sz="8" w:color="auto"/>
            </w:tcBorders>
            <w:shd w:val="clear" w:color="auto" w:fill="DCE2E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4,929.5</w:t>
            </w:r>
          </w:p>
        </w:tc>
        <w:tc>
          <w:tcPr>
            <w:tcW w:w="100" w:type="dxa"/>
            <w:vAlign w:val="bottom"/>
            <w:tcBorders>
              <w:bottom w:val="single" w:sz="8" w:color="DCE2EF"/>
            </w:tcBorders>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4,933.7</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840" w:type="dxa"/>
            <w:vAlign w:val="bottom"/>
            <w:tcBorders>
              <w:top w:val="single" w:sz="8" w:color="DCE2EF"/>
            </w:tcBorders>
          </w:tcPr>
          <w:p>
            <w:pPr>
              <w:spacing w:after="0" w:line="20" w:lineRule="exact"/>
              <w:rPr>
                <w:sz w:val="1"/>
                <w:szCs w:val="1"/>
                <w:color w:val="auto"/>
              </w:rPr>
            </w:pPr>
          </w:p>
        </w:tc>
        <w:tc>
          <w:tcPr>
            <w:tcW w:w="444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bottom w:val="single" w:sz="8" w:color="auto"/>
            </w:tcBorders>
          </w:tcPr>
          <w:p>
            <w:pPr>
              <w:spacing w:after="0" w:line="20" w:lineRule="exact"/>
              <w:rPr>
                <w:sz w:val="1"/>
                <w:szCs w:val="1"/>
                <w:color w:val="auto"/>
              </w:rPr>
            </w:pPr>
          </w:p>
        </w:tc>
        <w:tc>
          <w:tcPr>
            <w:tcW w:w="16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14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080"/>
          </w:cols>
          <w:pgMar w:left="320" w:top="12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5" w:right="49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CONSOLIDATED STATEMENTS OF COMPREHENSIVE INCOME</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96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April 30,</w:t>
            </w:r>
          </w:p>
        </w:tc>
        <w:tc>
          <w:tcPr>
            <w:tcW w:w="2920" w:type="dxa"/>
            <w:vAlign w:val="bottom"/>
            <w:gridSpan w:val="5"/>
          </w:tcPr>
          <w:p>
            <w:pPr>
              <w:ind w:left="80"/>
              <w:spacing w:after="0"/>
              <w:rPr>
                <w:sz w:val="20"/>
                <w:szCs w:val="20"/>
                <w:color w:val="auto"/>
              </w:rPr>
            </w:pPr>
            <w:r>
              <w:rPr>
                <w:rFonts w:ascii="Arial" w:cs="Arial" w:eastAsia="Arial" w:hAnsi="Arial"/>
                <w:sz w:val="16"/>
                <w:szCs w:val="16"/>
                <w:b w:val="1"/>
                <w:bCs w:val="1"/>
                <w:color w:val="auto"/>
              </w:rPr>
              <w:t>Six Months Ended April 30,</w:t>
            </w:r>
          </w:p>
        </w:tc>
        <w:tc>
          <w:tcPr>
            <w:tcW w:w="0" w:type="dxa"/>
            <w:vAlign w:val="bottom"/>
          </w:tcPr>
          <w:p>
            <w:pPr>
              <w:spacing w:after="0"/>
              <w:rPr>
                <w:sz w:val="1"/>
                <w:szCs w:val="1"/>
                <w:color w:val="auto"/>
              </w:rPr>
            </w:pPr>
          </w:p>
        </w:tc>
      </w:tr>
      <w:tr>
        <w:trPr>
          <w:trHeight w:val="159"/>
        </w:trPr>
        <w:tc>
          <w:tcPr>
            <w:tcW w:w="53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ind w:right="441"/>
              <w:spacing w:after="0" w:line="139"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501"/>
              <w:spacing w:after="0" w:line="139" w:lineRule="exact"/>
              <w:rPr>
                <w:sz w:val="20"/>
                <w:szCs w:val="20"/>
                <w:color w:val="auto"/>
              </w:rPr>
            </w:pPr>
            <w:r>
              <w:rPr>
                <w:rFonts w:ascii="Arial" w:cs="Arial" w:eastAsia="Arial" w:hAnsi="Arial"/>
                <w:sz w:val="16"/>
                <w:szCs w:val="16"/>
                <w:b w:val="1"/>
                <w:bCs w:val="1"/>
                <w:color w:val="auto"/>
              </w:rPr>
              <w:t>2023</w:t>
            </w:r>
          </w:p>
        </w:tc>
        <w:tc>
          <w:tcPr>
            <w:tcW w:w="360" w:type="dxa"/>
            <w:vAlign w:val="bottom"/>
          </w:tcPr>
          <w:p>
            <w:pPr>
              <w:spacing w:after="0"/>
              <w:rPr>
                <w:sz w:val="13"/>
                <w:szCs w:val="13"/>
                <w:color w:val="auto"/>
              </w:rPr>
            </w:pPr>
          </w:p>
        </w:tc>
        <w:tc>
          <w:tcPr>
            <w:tcW w:w="1080" w:type="dxa"/>
            <w:vAlign w:val="bottom"/>
          </w:tcPr>
          <w:p>
            <w:pPr>
              <w:jc w:val="right"/>
              <w:ind w:right="441"/>
              <w:spacing w:after="0" w:line="139"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441"/>
              <w:spacing w:after="0" w:line="139"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4"/>
        </w:trPr>
        <w:tc>
          <w:tcPr>
            <w:tcW w:w="2260" w:type="dxa"/>
            <w:vAlign w:val="bottom"/>
            <w:tcBorders>
              <w:top w:val="single" w:sz="8" w:color="auto"/>
              <w:bottom w:val="single" w:sz="8" w:color="DCE2EF"/>
            </w:tcBorders>
          </w:tcPr>
          <w:p>
            <w:pPr>
              <w:spacing w:after="0"/>
              <w:rPr>
                <w:sz w:val="2"/>
                <w:szCs w:val="2"/>
                <w:color w:val="auto"/>
              </w:rPr>
            </w:pPr>
          </w:p>
        </w:tc>
        <w:tc>
          <w:tcPr>
            <w:tcW w:w="304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0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30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2,018.2</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1,984.0</w:t>
            </w:r>
          </w:p>
        </w:tc>
        <w:tc>
          <w:tcPr>
            <w:tcW w:w="360" w:type="dxa"/>
            <w:vAlign w:val="bottom"/>
            <w:shd w:val="clear" w:color="auto" w:fill="DCE2EF"/>
          </w:tcPr>
          <w:p>
            <w:pPr>
              <w:ind w:left="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4,087.8</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3,975.3</w:t>
            </w:r>
          </w:p>
        </w:tc>
        <w:tc>
          <w:tcPr>
            <w:tcW w:w="0" w:type="dxa"/>
            <w:vAlign w:val="bottom"/>
          </w:tcPr>
          <w:p>
            <w:pPr>
              <w:spacing w:after="0"/>
              <w:rPr>
                <w:sz w:val="1"/>
                <w:szCs w:val="1"/>
                <w:color w:val="auto"/>
              </w:rPr>
            </w:pPr>
          </w:p>
        </w:tc>
      </w:tr>
      <w:tr>
        <w:trPr>
          <w:trHeight w:val="214"/>
        </w:trPr>
        <w:tc>
          <w:tcPr>
            <w:tcW w:w="530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1,763.5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1,715.2</w:t>
            </w:r>
          </w:p>
        </w:tc>
        <w:tc>
          <w:tcPr>
            <w:tcW w:w="36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3,589.8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3,465.0</w:t>
            </w:r>
          </w:p>
        </w:tc>
        <w:tc>
          <w:tcPr>
            <w:tcW w:w="0" w:type="dxa"/>
            <w:vAlign w:val="bottom"/>
          </w:tcPr>
          <w:p>
            <w:pPr>
              <w:spacing w:after="0"/>
              <w:rPr>
                <w:sz w:val="1"/>
                <w:szCs w:val="1"/>
                <w:color w:val="auto"/>
              </w:rPr>
            </w:pPr>
          </w:p>
        </w:tc>
      </w:tr>
      <w:tr>
        <w:trPr>
          <w:trHeight w:val="218"/>
        </w:trPr>
        <w:tc>
          <w:tcPr>
            <w:tcW w:w="53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shd w:val="clear" w:color="auto" w:fill="DCE2EF"/>
          </w:tcPr>
          <w:p>
            <w:pPr>
              <w:spacing w:after="0"/>
              <w:rPr>
                <w:sz w:val="18"/>
                <w:szCs w:val="18"/>
                <w:color w:val="auto"/>
              </w:rPr>
            </w:pPr>
          </w:p>
        </w:tc>
        <w:tc>
          <w:tcPr>
            <w:tcW w:w="110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159.9</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156.6</w:t>
            </w:r>
          </w:p>
        </w:tc>
        <w:tc>
          <w:tcPr>
            <w:tcW w:w="36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314.5</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307.2</w:t>
            </w:r>
          </w:p>
        </w:tc>
        <w:tc>
          <w:tcPr>
            <w:tcW w:w="0" w:type="dxa"/>
            <w:vAlign w:val="bottom"/>
          </w:tcPr>
          <w:p>
            <w:pPr>
              <w:spacing w:after="0"/>
              <w:rPr>
                <w:sz w:val="1"/>
                <w:szCs w:val="1"/>
                <w:color w:val="auto"/>
              </w:rPr>
            </w:pPr>
          </w:p>
        </w:tc>
      </w:tr>
      <w:tr>
        <w:trPr>
          <w:trHeight w:val="214"/>
        </w:trPr>
        <w:tc>
          <w:tcPr>
            <w:tcW w:w="530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19.5</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DCE2E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12"/>
        </w:trPr>
        <w:tc>
          <w:tcPr>
            <w:tcW w:w="530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Operating profit</w:t>
            </w:r>
          </w:p>
        </w:tc>
        <w:tc>
          <w:tcPr>
            <w:tcW w:w="300" w:type="dxa"/>
            <w:vAlign w:val="bottom"/>
            <w:shd w:val="clear" w:color="auto" w:fill="DCE2EF"/>
          </w:tcPr>
          <w:p>
            <w:pPr>
              <w:spacing w:after="0"/>
              <w:rPr>
                <w:sz w:val="18"/>
                <w:szCs w:val="18"/>
                <w:color w:val="auto"/>
              </w:rPr>
            </w:pPr>
          </w:p>
        </w:tc>
        <w:tc>
          <w:tcPr>
            <w:tcW w:w="110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92.7</w:t>
            </w:r>
          </w:p>
        </w:tc>
        <w:tc>
          <w:tcPr>
            <w:tcW w:w="36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155.4</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164.1</w:t>
            </w:r>
          </w:p>
        </w:tc>
        <w:tc>
          <w:tcPr>
            <w:tcW w:w="0" w:type="dxa"/>
            <w:vAlign w:val="bottom"/>
          </w:tcPr>
          <w:p>
            <w:pPr>
              <w:spacing w:after="0"/>
              <w:rPr>
                <w:sz w:val="1"/>
                <w:szCs w:val="1"/>
                <w:color w:val="auto"/>
              </w:rPr>
            </w:pPr>
          </w:p>
        </w:tc>
      </w:tr>
      <w:tr>
        <w:trPr>
          <w:trHeight w:val="214"/>
        </w:trPr>
        <w:tc>
          <w:tcPr>
            <w:tcW w:w="5300" w:type="dxa"/>
            <w:vAlign w:val="bottom"/>
            <w:gridSpan w:val="2"/>
          </w:tcPr>
          <w:p>
            <w:pPr>
              <w:spacing w:after="0"/>
              <w:rPr>
                <w:sz w:val="20"/>
                <w:szCs w:val="20"/>
                <w:color w:val="auto"/>
              </w:rPr>
            </w:pPr>
            <w:r>
              <w:rPr>
                <w:rFonts w:ascii="Arial" w:cs="Arial" w:eastAsia="Arial" w:hAnsi="Arial"/>
                <w:sz w:val="16"/>
                <w:szCs w:val="16"/>
                <w:color w:val="auto"/>
              </w:rPr>
              <w:t>Income from unconsolidated affiliates</w:t>
            </w: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0.6</w:t>
            </w:r>
          </w:p>
        </w:tc>
        <w:tc>
          <w:tcPr>
            <w:tcW w:w="36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8"/>
        </w:trPr>
        <w:tc>
          <w:tcPr>
            <w:tcW w:w="53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auto"/>
            </w:tcBorders>
            <w:shd w:val="clear" w:color="auto" w:fill="DCE2EF"/>
          </w:tcPr>
          <w:p>
            <w:pPr>
              <w:spacing w:after="0"/>
              <w:rPr>
                <w:sz w:val="18"/>
                <w:szCs w:val="18"/>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(21.1)</w:t>
            </w:r>
          </w:p>
        </w:tc>
        <w:tc>
          <w:tcPr>
            <w:tcW w:w="360" w:type="dxa"/>
            <w:vAlign w:val="bottom"/>
            <w:tcBorders>
              <w:bottom w:val="single" w:sz="8" w:color="auto"/>
            </w:tcBorders>
            <w:shd w:val="clear" w:color="auto" w:fill="DCE2EF"/>
          </w:tcPr>
          <w:p>
            <w:pPr>
              <w:spacing w:after="0"/>
              <w:rPr>
                <w:sz w:val="18"/>
                <w:szCs w:val="18"/>
                <w:color w:val="auto"/>
              </w:rPr>
            </w:pP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DCE2EF"/>
          </w:tcPr>
          <w:p>
            <w:pPr>
              <w:spacing w:after="0"/>
              <w:rPr>
                <w:sz w:val="18"/>
                <w:szCs w:val="18"/>
                <w:color w:val="auto"/>
              </w:rPr>
            </w:pPr>
          </w:p>
        </w:tc>
        <w:tc>
          <w:tcPr>
            <w:tcW w:w="300" w:type="dxa"/>
            <w:vAlign w:val="bottom"/>
            <w:tcBorders>
              <w:bottom w:val="single" w:sz="8" w:color="auto"/>
            </w:tcBorders>
            <w:shd w:val="clear" w:color="auto" w:fill="DCE2EF"/>
          </w:tcPr>
          <w:p>
            <w:pPr>
              <w:spacing w:after="0"/>
              <w:rPr>
                <w:sz w:val="18"/>
                <w:szCs w:val="18"/>
                <w:color w:val="auto"/>
              </w:rPr>
            </w:pP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07"/>
        </w:trPr>
        <w:tc>
          <w:tcPr>
            <w:tcW w:w="530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72.3</w:t>
            </w:r>
          </w:p>
        </w:tc>
        <w:tc>
          <w:tcPr>
            <w:tcW w:w="36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8"/>
        </w:trPr>
        <w:tc>
          <w:tcPr>
            <w:tcW w:w="53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tax provision</w:t>
            </w:r>
          </w:p>
        </w:tc>
        <w:tc>
          <w:tcPr>
            <w:tcW w:w="300" w:type="dxa"/>
            <w:vAlign w:val="bottom"/>
            <w:tcBorders>
              <w:bottom w:val="single" w:sz="8" w:color="auto"/>
            </w:tcBorders>
            <w:shd w:val="clear" w:color="auto" w:fill="DCE2EF"/>
          </w:tcPr>
          <w:p>
            <w:pPr>
              <w:spacing w:after="0"/>
              <w:rPr>
                <w:sz w:val="18"/>
                <w:szCs w:val="18"/>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(20.4)</w:t>
            </w:r>
          </w:p>
        </w:tc>
        <w:tc>
          <w:tcPr>
            <w:tcW w:w="360" w:type="dxa"/>
            <w:vAlign w:val="bottom"/>
            <w:tcBorders>
              <w:bottom w:val="single" w:sz="8" w:color="auto"/>
            </w:tcBorders>
            <w:shd w:val="clear" w:color="auto" w:fill="DCE2EF"/>
          </w:tcPr>
          <w:p>
            <w:pPr>
              <w:spacing w:after="0"/>
              <w:rPr>
                <w:sz w:val="18"/>
                <w:szCs w:val="18"/>
                <w:color w:val="auto"/>
              </w:rPr>
            </w:pP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auto"/>
            </w:tcBorders>
            <w:shd w:val="clear" w:color="auto" w:fill="DCE2EF"/>
          </w:tcPr>
          <w:p>
            <w:pPr>
              <w:spacing w:after="0"/>
              <w:rPr>
                <w:sz w:val="18"/>
                <w:szCs w:val="18"/>
                <w:color w:val="auto"/>
              </w:rPr>
            </w:pPr>
          </w:p>
        </w:tc>
        <w:tc>
          <w:tcPr>
            <w:tcW w:w="300" w:type="dxa"/>
            <w:vAlign w:val="bottom"/>
            <w:tcBorders>
              <w:bottom w:val="single" w:sz="8" w:color="auto"/>
            </w:tcBorders>
            <w:shd w:val="clear" w:color="auto" w:fill="DCE2EF"/>
          </w:tcPr>
          <w:p>
            <w:pPr>
              <w:spacing w:after="0"/>
              <w:rPr>
                <w:sz w:val="18"/>
                <w:szCs w:val="18"/>
                <w:color w:val="auto"/>
              </w:rPr>
            </w:pP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8"/>
        </w:trPr>
        <w:tc>
          <w:tcPr>
            <w:tcW w:w="530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51.9</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198"/>
        </w:trPr>
        <w:tc>
          <w:tcPr>
            <w:tcW w:w="53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Other comprehensive income</w:t>
            </w:r>
          </w:p>
        </w:tc>
        <w:tc>
          <w:tcPr>
            <w:tcW w:w="300" w:type="dxa"/>
            <w:vAlign w:val="bottom"/>
            <w:shd w:val="clear" w:color="auto" w:fill="DCE2EF"/>
          </w:tcPr>
          <w:p>
            <w:pPr>
              <w:spacing w:after="0"/>
              <w:rPr>
                <w:sz w:val="17"/>
                <w:szCs w:val="17"/>
                <w:color w:val="auto"/>
              </w:rPr>
            </w:pPr>
          </w:p>
        </w:tc>
        <w:tc>
          <w:tcPr>
            <w:tcW w:w="11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4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340"/>
              <w:spacing w:after="0"/>
              <w:rPr>
                <w:sz w:val="20"/>
                <w:szCs w:val="20"/>
                <w:color w:val="auto"/>
              </w:rPr>
            </w:pPr>
            <w:r>
              <w:rPr>
                <w:rFonts w:ascii="Arial" w:cs="Arial" w:eastAsia="Arial" w:hAnsi="Arial"/>
                <w:sz w:val="16"/>
                <w:szCs w:val="16"/>
                <w:color w:val="auto"/>
              </w:rPr>
              <w:t>Interest rate swaps</w:t>
            </w: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8"/>
        </w:trPr>
        <w:tc>
          <w:tcPr>
            <w:tcW w:w="530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Foreign currency translation and other</w:t>
            </w:r>
          </w:p>
        </w:tc>
        <w:tc>
          <w:tcPr>
            <w:tcW w:w="30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2.3</w:t>
            </w:r>
          </w:p>
        </w:tc>
        <w:tc>
          <w:tcPr>
            <w:tcW w:w="36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3.7</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4"/>
        </w:trPr>
        <w:tc>
          <w:tcPr>
            <w:tcW w:w="5300" w:type="dxa"/>
            <w:vAlign w:val="bottom"/>
            <w:tcBorders>
              <w:bottom w:val="single" w:sz="8" w:color="DCE2EF"/>
            </w:tcBorders>
            <w:gridSpan w:val="2"/>
          </w:tcPr>
          <w:p>
            <w:pPr>
              <w:ind w:left="340"/>
              <w:spacing w:after="0"/>
              <w:rPr>
                <w:sz w:val="20"/>
                <w:szCs w:val="20"/>
                <w:color w:val="auto"/>
              </w:rPr>
            </w:pPr>
            <w:r>
              <w:rPr>
                <w:rFonts w:ascii="Arial" w:cs="Arial" w:eastAsia="Arial" w:hAnsi="Arial"/>
                <w:sz w:val="16"/>
                <w:szCs w:val="16"/>
                <w:color w:val="auto"/>
              </w:rPr>
              <w:t>Income tax (provision) benefit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0.7</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DCE2E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6"/>
        </w:trPr>
        <w:tc>
          <w:tcPr>
            <w:tcW w:w="53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shd w:val="clear" w:color="auto" w:fill="DCE2E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CE2EF"/>
          </w:tcPr>
          <w:p>
            <w:pPr>
              <w:jc w:val="right"/>
              <w:ind w:right="1"/>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DCE2EF"/>
            </w:tcBorders>
            <w:shd w:val="clear" w:color="auto" w:fill="DCE2EF"/>
          </w:tcPr>
          <w:p>
            <w:pPr>
              <w:spacing w:after="0"/>
              <w:rPr>
                <w:sz w:val="20"/>
                <w:szCs w:val="20"/>
                <w:color w:val="auto"/>
              </w:rPr>
            </w:pPr>
          </w:p>
        </w:tc>
        <w:tc>
          <w:tcPr>
            <w:tcW w:w="320" w:type="dxa"/>
            <w:vAlign w:val="bottom"/>
            <w:tcBorders>
              <w:bottom w:val="single" w:sz="8" w:color="auto"/>
            </w:tcBorders>
            <w:shd w:val="clear" w:color="auto" w:fill="DCE2EF"/>
          </w:tcPr>
          <w:p>
            <w:pPr>
              <w:jc w:val="right"/>
              <w:ind w:right="1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52.4</w:t>
            </w:r>
          </w:p>
        </w:tc>
        <w:tc>
          <w:tcPr>
            <w:tcW w:w="360" w:type="dxa"/>
            <w:vAlign w:val="bottom"/>
            <w:tcBorders>
              <w:bottom w:val="single" w:sz="8" w:color="auto"/>
            </w:tcBorders>
            <w:shd w:val="clear" w:color="auto" w:fill="DCE2EF"/>
          </w:tcPr>
          <w:p>
            <w:pPr>
              <w:ind w:left="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CE2EF"/>
          </w:tcPr>
          <w:p>
            <w:pPr>
              <w:jc w:val="right"/>
              <w:ind w:right="1"/>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CE2EF"/>
          </w:tcPr>
          <w:p>
            <w:pPr>
              <w:jc w:val="right"/>
              <w:ind w:right="1"/>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0"/>
        </w:trPr>
        <w:tc>
          <w:tcPr>
            <w:tcW w:w="530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6"/>
                <w:szCs w:val="16"/>
                <w:b w:val="1"/>
                <w:bCs w:val="1"/>
                <w:color w:val="auto"/>
              </w:rPr>
              <w:t>Net income per common share</w:t>
            </w: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1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140" w:type="dxa"/>
            <w:vAlign w:val="bottom"/>
            <w:tcBorders>
              <w:top w:val="single" w:sz="8" w:color="DCE2EF"/>
              <w:bottom w:val="single" w:sz="8" w:color="auto"/>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0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0.69</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0.78</w:t>
            </w:r>
          </w:p>
        </w:tc>
        <w:tc>
          <w:tcPr>
            <w:tcW w:w="360" w:type="dxa"/>
            <w:vAlign w:val="bottom"/>
            <w:shd w:val="clear" w:color="auto" w:fill="DCE2EF"/>
          </w:tcPr>
          <w:p>
            <w:pPr>
              <w:ind w:left="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4"/>
        </w:trPr>
        <w:tc>
          <w:tcPr>
            <w:tcW w:w="5300" w:type="dxa"/>
            <w:vAlign w:val="bottom"/>
            <w:gridSpan w:val="2"/>
          </w:tcPr>
          <w:p>
            <w:pPr>
              <w:ind w:left="340"/>
              <w:spacing w:after="0"/>
              <w:rPr>
                <w:sz w:val="20"/>
                <w:szCs w:val="20"/>
                <w:color w:val="auto"/>
              </w:rPr>
            </w:pPr>
            <w:r>
              <w:rPr>
                <w:rFonts w:ascii="Arial" w:cs="Arial" w:eastAsia="Arial" w:hAnsi="Arial"/>
                <w:sz w:val="16"/>
                <w:szCs w:val="16"/>
                <w:color w:val="auto"/>
              </w:rPr>
              <w:t>Diluted</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0.78</w:t>
            </w:r>
          </w:p>
        </w:tc>
        <w:tc>
          <w:tcPr>
            <w:tcW w:w="360" w:type="dxa"/>
            <w:vAlign w:val="bottom"/>
          </w:tcPr>
          <w:p>
            <w:pPr>
              <w:ind w:left="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67"/>
        </w:trPr>
        <w:tc>
          <w:tcPr>
            <w:tcW w:w="5300" w:type="dxa"/>
            <w:vAlign w:val="bottom"/>
            <w:gridSpan w:val="2"/>
            <w:shd w:val="clear" w:color="auto" w:fill="DCE2EF"/>
          </w:tcPr>
          <w:p>
            <w:pPr>
              <w:spacing w:after="0" w:line="167" w:lineRule="exact"/>
              <w:rPr>
                <w:sz w:val="20"/>
                <w:szCs w:val="20"/>
                <w:color w:val="auto"/>
              </w:rPr>
            </w:pPr>
            <w:r>
              <w:rPr>
                <w:rFonts w:ascii="Arial" w:cs="Arial" w:eastAsia="Arial" w:hAnsi="Arial"/>
                <w:sz w:val="16"/>
                <w:szCs w:val="16"/>
                <w:b w:val="1"/>
                <w:bCs w:val="1"/>
                <w:color w:val="auto"/>
              </w:rPr>
              <w:t>Weighted-average common and common equivalent</w:t>
            </w:r>
          </w:p>
        </w:tc>
        <w:tc>
          <w:tcPr>
            <w:tcW w:w="300" w:type="dxa"/>
            <w:vAlign w:val="bottom"/>
            <w:shd w:val="clear" w:color="auto" w:fill="DCE2EF"/>
          </w:tcPr>
          <w:p>
            <w:pPr>
              <w:spacing w:after="0"/>
              <w:rPr>
                <w:sz w:val="14"/>
                <w:szCs w:val="14"/>
                <w:color w:val="auto"/>
              </w:rPr>
            </w:pPr>
          </w:p>
        </w:tc>
        <w:tc>
          <w:tcPr>
            <w:tcW w:w="110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20" w:type="dxa"/>
            <w:vAlign w:val="bottom"/>
            <w:shd w:val="clear" w:color="auto" w:fill="DCE2EF"/>
          </w:tcPr>
          <w:p>
            <w:pPr>
              <w:spacing w:after="0"/>
              <w:rPr>
                <w:sz w:val="14"/>
                <w:szCs w:val="14"/>
                <w:color w:val="auto"/>
              </w:rPr>
            </w:pPr>
          </w:p>
        </w:tc>
        <w:tc>
          <w:tcPr>
            <w:tcW w:w="1140" w:type="dxa"/>
            <w:vAlign w:val="bottom"/>
            <w:shd w:val="clear" w:color="auto" w:fill="DCE2EF"/>
          </w:tcPr>
          <w:p>
            <w:pPr>
              <w:spacing w:after="0"/>
              <w:rPr>
                <w:sz w:val="14"/>
                <w:szCs w:val="14"/>
                <w:color w:val="auto"/>
              </w:rPr>
            </w:pPr>
          </w:p>
        </w:tc>
        <w:tc>
          <w:tcPr>
            <w:tcW w:w="360" w:type="dxa"/>
            <w:vAlign w:val="bottom"/>
            <w:shd w:val="clear" w:color="auto" w:fill="DCE2EF"/>
          </w:tcPr>
          <w:p>
            <w:pPr>
              <w:spacing w:after="0"/>
              <w:rPr>
                <w:sz w:val="14"/>
                <w:szCs w:val="14"/>
                <w:color w:val="auto"/>
              </w:rPr>
            </w:pPr>
          </w:p>
        </w:tc>
        <w:tc>
          <w:tcPr>
            <w:tcW w:w="108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8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300" w:type="dxa"/>
            <w:vAlign w:val="bottom"/>
            <w:gridSpan w:val="2"/>
            <w:shd w:val="clear" w:color="auto" w:fill="DCE2EF"/>
          </w:tcPr>
          <w:p>
            <w:pPr>
              <w:ind w:left="140"/>
              <w:spacing w:after="0"/>
              <w:rPr>
                <w:sz w:val="20"/>
                <w:szCs w:val="20"/>
                <w:color w:val="auto"/>
              </w:rPr>
            </w:pPr>
            <w:r>
              <w:rPr>
                <w:rFonts w:ascii="Arial" w:cs="Arial" w:eastAsia="Arial" w:hAnsi="Arial"/>
                <w:sz w:val="16"/>
                <w:szCs w:val="16"/>
                <w:b w:val="1"/>
                <w:bCs w:val="1"/>
                <w:color w:val="auto"/>
              </w:rPr>
              <w:t>shares outstanding</w:t>
            </w:r>
          </w:p>
        </w:tc>
        <w:tc>
          <w:tcPr>
            <w:tcW w:w="300" w:type="dxa"/>
            <w:vAlign w:val="bottom"/>
            <w:shd w:val="clear" w:color="auto" w:fill="DCE2EF"/>
          </w:tcPr>
          <w:p>
            <w:pPr>
              <w:spacing w:after="0"/>
              <w:rPr>
                <w:sz w:val="17"/>
                <w:szCs w:val="17"/>
                <w:color w:val="auto"/>
              </w:rPr>
            </w:pPr>
          </w:p>
        </w:tc>
        <w:tc>
          <w:tcPr>
            <w:tcW w:w="11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4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34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66.4</w:t>
            </w:r>
          </w:p>
        </w:tc>
        <w:tc>
          <w:tcPr>
            <w:tcW w:w="36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18"/>
        </w:trPr>
        <w:tc>
          <w:tcPr>
            <w:tcW w:w="530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DCE2EF"/>
          </w:tcPr>
          <w:p>
            <w:pPr>
              <w:spacing w:after="0"/>
              <w:rPr>
                <w:sz w:val="18"/>
                <w:szCs w:val="18"/>
                <w:color w:val="auto"/>
              </w:rPr>
            </w:pPr>
          </w:p>
        </w:tc>
        <w:tc>
          <w:tcPr>
            <w:tcW w:w="110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63.5</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66.7</w:t>
            </w:r>
          </w:p>
        </w:tc>
        <w:tc>
          <w:tcPr>
            <w:tcW w:w="36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63.7</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255" w:right="359" w:bottom="1440" w:gutter="0" w:footer="0" w:header="0"/>
        </w:sectPr>
      </w:pPr>
    </w:p>
    <w:bookmarkStart w:id="7" w:name="page8"/>
    <w:bookmarkEnd w:id="7"/>
    <w:p>
      <w:pPr>
        <w:ind w:left="32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3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0046AD"/>
        </w:rPr>
        <w:t>CONSOLIDATED STATEMENTS OF STOCKHOLDERS’ EQUITY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540" w:type="dxa"/>
            <w:vAlign w:val="bottom"/>
            <w:gridSpan w:val="9"/>
          </w:tcPr>
          <w:p>
            <w:pPr>
              <w:jc w:val="right"/>
              <w:ind w:right="588"/>
              <w:spacing w:after="0"/>
              <w:rPr>
                <w:sz w:val="20"/>
                <w:szCs w:val="20"/>
                <w:color w:val="auto"/>
              </w:rPr>
            </w:pPr>
            <w:r>
              <w:rPr>
                <w:rFonts w:ascii="Arial" w:cs="Arial" w:eastAsia="Arial" w:hAnsi="Arial"/>
                <w:sz w:val="16"/>
                <w:szCs w:val="16"/>
                <w:b w:val="1"/>
                <w:bCs w:val="1"/>
                <w:color w:val="auto"/>
              </w:rPr>
              <w:t>Three Months Ended April 30,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20" w:type="dxa"/>
            <w:vAlign w:val="bottom"/>
            <w:gridSpan w:val="8"/>
          </w:tcPr>
          <w:p>
            <w:pPr>
              <w:jc w:val="right"/>
              <w:ind w:right="8"/>
              <w:spacing w:after="0"/>
              <w:rPr>
                <w:sz w:val="20"/>
                <w:szCs w:val="20"/>
                <w:color w:val="auto"/>
              </w:rPr>
            </w:pPr>
            <w:r>
              <w:rPr>
                <w:rFonts w:ascii="Arial" w:cs="Arial" w:eastAsia="Arial" w:hAnsi="Arial"/>
                <w:sz w:val="16"/>
                <w:szCs w:val="16"/>
                <w:b w:val="1"/>
                <w:bCs w:val="1"/>
                <w:color w:val="auto"/>
                <w:w w:val="97"/>
              </w:rPr>
              <w:t>Six Months Ended April 30,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2024</w:t>
            </w:r>
          </w:p>
        </w:tc>
        <w:tc>
          <w:tcPr>
            <w:tcW w:w="68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Pr>
          <w:p>
            <w:pPr>
              <w:spacing w:after="0"/>
              <w:rPr>
                <w:sz w:val="18"/>
                <w:szCs w:val="18"/>
                <w:color w:val="auto"/>
              </w:rPr>
            </w:pPr>
          </w:p>
        </w:tc>
        <w:tc>
          <w:tcPr>
            <w:tcW w:w="1140" w:type="dxa"/>
            <w:vAlign w:val="bottom"/>
            <w:gridSpan w:val="5"/>
          </w:tcPr>
          <w:p>
            <w:pPr>
              <w:jc w:val="right"/>
              <w:spacing w:after="0"/>
              <w:rPr>
                <w:sz w:val="20"/>
                <w:szCs w:val="20"/>
                <w:color w:val="auto"/>
              </w:rPr>
            </w:pPr>
            <w:r>
              <w:rPr>
                <w:rFonts w:ascii="Arial" w:cs="Arial" w:eastAsia="Arial" w:hAnsi="Arial"/>
                <w:sz w:val="16"/>
                <w:szCs w:val="16"/>
                <w:b w:val="1"/>
                <w:bCs w:val="1"/>
                <w:color w:val="auto"/>
              </w:rPr>
              <w:t>2024</w:t>
            </w:r>
          </w:p>
        </w:tc>
        <w:tc>
          <w:tcPr>
            <w:tcW w:w="68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 share amounts)</w:t>
            </w:r>
          </w:p>
        </w:tc>
        <w:tc>
          <w:tcPr>
            <w:tcW w:w="9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c>
          <w:tcPr>
            <w:tcW w:w="92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c>
          <w:tcPr>
            <w:tcW w:w="76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9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1980" w:type="dxa"/>
            <w:vAlign w:val="bottom"/>
            <w:tcBorders>
              <w:top w:val="single" w:sz="8" w:color="auto"/>
              <w:bottom w:val="single" w:sz="8" w:color="DCE2EF"/>
            </w:tcBorders>
          </w:tcPr>
          <w:p>
            <w:pPr>
              <w:spacing w:after="0" w:line="20" w:lineRule="exact"/>
              <w:rPr>
                <w:sz w:val="1"/>
                <w:szCs w:val="1"/>
                <w:color w:val="auto"/>
              </w:rPr>
            </w:pPr>
          </w:p>
        </w:tc>
        <w:tc>
          <w:tcPr>
            <w:tcW w:w="2040" w:type="dxa"/>
            <w:vAlign w:val="bottom"/>
            <w:tcBorders>
              <w:bottom w:val="single" w:sz="8" w:color="DCE2E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DCE2EF"/>
          </w:tcPr>
          <w:p>
            <w:pPr>
              <w:spacing w:after="0"/>
              <w:rPr>
                <w:sz w:val="15"/>
                <w:szCs w:val="15"/>
                <w:color w:val="auto"/>
              </w:rPr>
            </w:pPr>
          </w:p>
        </w:tc>
        <w:tc>
          <w:tcPr>
            <w:tcW w:w="402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Common Stock</w:t>
            </w:r>
          </w:p>
        </w:tc>
        <w:tc>
          <w:tcPr>
            <w:tcW w:w="8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6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80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6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760" w:type="dxa"/>
            <w:vAlign w:val="bottom"/>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68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8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68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tcPr>
          <w:p>
            <w:pPr>
              <w:ind w:left="120"/>
              <w:spacing w:after="0"/>
              <w:rPr>
                <w:sz w:val="20"/>
                <w:szCs w:val="20"/>
                <w:color w:val="auto"/>
              </w:rPr>
            </w:pPr>
            <w:r>
              <w:rPr>
                <w:rFonts w:ascii="Arial" w:cs="Arial" w:eastAsia="Arial" w:hAnsi="Arial"/>
                <w:sz w:val="14"/>
                <w:szCs w:val="14"/>
                <w:color w:val="auto"/>
              </w:rPr>
              <w:t>Balance, beginning of period</w:t>
            </w:r>
          </w:p>
        </w:tc>
        <w:tc>
          <w:tcPr>
            <w:tcW w:w="800" w:type="dxa"/>
            <w:vAlign w:val="bottom"/>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66.1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62.8</w:t>
            </w:r>
          </w:p>
        </w:tc>
        <w:tc>
          <w:tcPr>
            <w:tcW w:w="2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7"/>
        </w:trPr>
        <w:tc>
          <w:tcPr>
            <w:tcW w:w="20" w:type="dxa"/>
            <w:vAlign w:val="bottom"/>
            <w:shd w:val="clear" w:color="auto" w:fill="DCE2EF"/>
          </w:tcPr>
          <w:p>
            <w:pPr>
              <w:spacing w:after="0"/>
              <w:rPr>
                <w:sz w:val="13"/>
                <w:szCs w:val="13"/>
                <w:color w:val="auto"/>
              </w:rPr>
            </w:pPr>
          </w:p>
        </w:tc>
        <w:tc>
          <w:tcPr>
            <w:tcW w:w="4020" w:type="dxa"/>
            <w:vAlign w:val="bottom"/>
            <w:gridSpan w:val="2"/>
            <w:shd w:val="clear" w:color="auto" w:fill="DCE2EF"/>
          </w:tcPr>
          <w:p>
            <w:pPr>
              <w:ind w:left="120"/>
              <w:spacing w:after="0" w:line="157" w:lineRule="exact"/>
              <w:rPr>
                <w:sz w:val="20"/>
                <w:szCs w:val="20"/>
                <w:color w:val="auto"/>
              </w:rPr>
            </w:pPr>
            <w:r>
              <w:rPr>
                <w:rFonts w:ascii="Arial" w:cs="Arial" w:eastAsia="Arial" w:hAnsi="Arial"/>
                <w:sz w:val="14"/>
                <w:szCs w:val="14"/>
                <w:color w:val="auto"/>
              </w:rPr>
              <w:t>Stock issued under employee stock purchase and share-</w:t>
            </w:r>
          </w:p>
        </w:tc>
        <w:tc>
          <w:tcPr>
            <w:tcW w:w="900" w:type="dxa"/>
            <w:vAlign w:val="bottom"/>
            <w:gridSpan w:val="2"/>
            <w:vMerge w:val="restart"/>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DCE2EF"/>
          </w:tcPr>
          <w:p>
            <w:pPr>
              <w:spacing w:after="0"/>
              <w:rPr>
                <w:sz w:val="13"/>
                <w:szCs w:val="13"/>
                <w:color w:val="auto"/>
              </w:rPr>
            </w:pPr>
          </w:p>
        </w:tc>
        <w:tc>
          <w:tcPr>
            <w:tcW w:w="68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13"/>
                <w:szCs w:val="13"/>
                <w:color w:val="auto"/>
              </w:rPr>
            </w:pPr>
          </w:p>
        </w:tc>
        <w:tc>
          <w:tcPr>
            <w:tcW w:w="920" w:type="dxa"/>
            <w:vAlign w:val="bottom"/>
            <w:gridSpan w:val="2"/>
            <w:vMerge w:val="restart"/>
            <w:shd w:val="clear" w:color="auto" w:fill="DCE2E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13"/>
                <w:szCs w:val="13"/>
                <w:color w:val="auto"/>
              </w:rPr>
            </w:pPr>
          </w:p>
        </w:tc>
        <w:tc>
          <w:tcPr>
            <w:tcW w:w="68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DCE2EF"/>
          </w:tcPr>
          <w:p>
            <w:pPr>
              <w:jc w:val="right"/>
              <w:spacing w:after="0"/>
              <w:rPr>
                <w:sz w:val="20"/>
                <w:szCs w:val="20"/>
                <w:color w:val="auto"/>
              </w:rPr>
            </w:pPr>
            <w:r>
              <w:rPr>
                <w:rFonts w:ascii="Arial" w:cs="Arial" w:eastAsia="Arial" w:hAnsi="Arial"/>
                <w:sz w:val="14"/>
                <w:szCs w:val="14"/>
                <w:color w:val="auto"/>
              </w:rPr>
              <w:t>0.5</w:t>
            </w:r>
          </w:p>
        </w:tc>
        <w:tc>
          <w:tcPr>
            <w:tcW w:w="4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68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68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DCE2EF"/>
          </w:tcPr>
          <w:p>
            <w:pPr>
              <w:spacing w:after="0"/>
              <w:rPr>
                <w:sz w:val="16"/>
                <w:szCs w:val="16"/>
                <w:color w:val="auto"/>
              </w:rPr>
            </w:pPr>
          </w:p>
        </w:tc>
        <w:tc>
          <w:tcPr>
            <w:tcW w:w="4020" w:type="dxa"/>
            <w:vAlign w:val="bottom"/>
            <w:gridSpan w:val="2"/>
            <w:shd w:val="clear" w:color="auto" w:fill="DCE2EF"/>
          </w:tcPr>
          <w:p>
            <w:pPr>
              <w:ind w:left="280"/>
              <w:spacing w:after="0"/>
              <w:rPr>
                <w:sz w:val="20"/>
                <w:szCs w:val="20"/>
                <w:color w:val="auto"/>
              </w:rPr>
            </w:pPr>
            <w:r>
              <w:rPr>
                <w:rFonts w:ascii="Arial" w:cs="Arial" w:eastAsia="Arial" w:hAnsi="Arial"/>
                <w:sz w:val="14"/>
                <w:szCs w:val="14"/>
                <w:color w:val="auto"/>
              </w:rPr>
              <w:t>based compensation plans</w:t>
            </w:r>
          </w:p>
        </w:tc>
        <w:tc>
          <w:tcPr>
            <w:tcW w:w="900" w:type="dxa"/>
            <w:vAlign w:val="bottom"/>
            <w:gridSpan w:val="2"/>
            <w:vMerge w:val="continue"/>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68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920" w:type="dxa"/>
            <w:vAlign w:val="bottom"/>
            <w:gridSpan w:val="2"/>
            <w:vMerge w:val="continue"/>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680" w:type="dxa"/>
            <w:vAlign w:val="bottom"/>
            <w:vMerge w:val="continue"/>
            <w:shd w:val="clear" w:color="auto" w:fill="DCE2EF"/>
          </w:tcPr>
          <w:p>
            <w:pPr>
              <w:spacing w:after="0"/>
              <w:rPr>
                <w:sz w:val="16"/>
                <w:szCs w:val="16"/>
                <w:color w:val="auto"/>
              </w:rPr>
            </w:pPr>
          </w:p>
        </w:tc>
        <w:tc>
          <w:tcPr>
            <w:tcW w:w="860" w:type="dxa"/>
            <w:vAlign w:val="bottom"/>
            <w:gridSpan w:val="2"/>
            <w:vMerge w:val="continue"/>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680" w:type="dxa"/>
            <w:vAlign w:val="bottom"/>
            <w:vMerge w:val="continue"/>
            <w:shd w:val="clear" w:color="auto" w:fill="DCE2EF"/>
          </w:tcPr>
          <w:p>
            <w:pPr>
              <w:spacing w:after="0"/>
              <w:rPr>
                <w:sz w:val="16"/>
                <w:szCs w:val="16"/>
                <w:color w:val="auto"/>
              </w:rPr>
            </w:pPr>
          </w:p>
        </w:tc>
        <w:tc>
          <w:tcPr>
            <w:tcW w:w="920" w:type="dxa"/>
            <w:vAlign w:val="bottom"/>
            <w:gridSpan w:val="2"/>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680" w:type="dxa"/>
            <w:vAlign w:val="bottom"/>
            <w:vMerge w:val="continue"/>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4020" w:type="dxa"/>
            <w:vAlign w:val="bottom"/>
            <w:tcBorders>
              <w:bottom w:val="single" w:sz="8" w:color="DCE2EF"/>
            </w:tcBorders>
            <w:gridSpan w:val="2"/>
          </w:tcPr>
          <w:p>
            <w:pPr>
              <w:ind w:left="120"/>
              <w:spacing w:after="0"/>
              <w:rPr>
                <w:sz w:val="20"/>
                <w:szCs w:val="20"/>
                <w:color w:val="auto"/>
              </w:rPr>
            </w:pPr>
            <w:r>
              <w:rPr>
                <w:rFonts w:ascii="Arial" w:cs="Arial" w:eastAsia="Arial" w:hAnsi="Arial"/>
                <w:sz w:val="14"/>
                <w:szCs w:val="14"/>
                <w:color w:val="auto"/>
              </w:rPr>
              <w:t>Repurchase of common stock, including excise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DCE2E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CE2E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shd w:val="clear" w:color="auto" w:fill="DCE2EF"/>
          </w:tcPr>
          <w:p>
            <w:pPr>
              <w:spacing w:after="0"/>
              <w:rPr>
                <w:sz w:val="17"/>
                <w:szCs w:val="17"/>
                <w:color w:val="auto"/>
              </w:rPr>
            </w:pPr>
          </w:p>
        </w:tc>
        <w:tc>
          <w:tcPr>
            <w:tcW w:w="40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end of period</w:t>
            </w: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900" w:type="dxa"/>
            <w:vAlign w:val="bottom"/>
            <w:gridSpan w:val="2"/>
            <w:shd w:val="clear" w:color="auto" w:fill="DCE2EF"/>
          </w:tcPr>
          <w:p>
            <w:pPr>
              <w:jc w:val="right"/>
              <w:spacing w:after="0"/>
              <w:rPr>
                <w:sz w:val="20"/>
                <w:szCs w:val="20"/>
                <w:color w:val="auto"/>
              </w:rPr>
            </w:pPr>
            <w:r>
              <w:rPr>
                <w:rFonts w:ascii="Arial" w:cs="Arial" w:eastAsia="Arial" w:hAnsi="Arial"/>
                <w:sz w:val="14"/>
                <w:szCs w:val="14"/>
                <w:color w:val="auto"/>
              </w:rPr>
              <w:t>66.1</w:t>
            </w: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0.7</w:t>
            </w:r>
          </w:p>
        </w:tc>
        <w:tc>
          <w:tcPr>
            <w:tcW w:w="860" w:type="dxa"/>
            <w:vAlign w:val="bottom"/>
            <w:gridSpan w:val="2"/>
            <w:shd w:val="clear" w:color="auto" w:fill="DCE2EF"/>
          </w:tcPr>
          <w:p>
            <w:pPr>
              <w:jc w:val="right"/>
              <w:spacing w:after="0"/>
              <w:rPr>
                <w:sz w:val="20"/>
                <w:szCs w:val="20"/>
                <w:color w:val="auto"/>
              </w:rPr>
            </w:pPr>
            <w:r>
              <w:rPr>
                <w:rFonts w:ascii="Arial" w:cs="Arial" w:eastAsia="Arial" w:hAnsi="Arial"/>
                <w:sz w:val="14"/>
                <w:szCs w:val="14"/>
                <w:color w:val="auto"/>
              </w:rPr>
              <w:t>62.8</w:t>
            </w:r>
          </w:p>
        </w:tc>
        <w:tc>
          <w:tcPr>
            <w:tcW w:w="4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920" w:type="dxa"/>
            <w:vAlign w:val="bottom"/>
            <w:gridSpan w:val="2"/>
            <w:shd w:val="clear" w:color="auto" w:fill="DCE2EF"/>
          </w:tcPr>
          <w:p>
            <w:pPr>
              <w:jc w:val="right"/>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Additional Paid-in Capital</w:t>
            </w: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40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beginning of period</w:t>
            </w: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558.5</w:t>
            </w:r>
          </w:p>
        </w:tc>
        <w:tc>
          <w:tcPr>
            <w:tcW w:w="10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670.7</w:t>
            </w:r>
          </w:p>
        </w:tc>
        <w:tc>
          <w:tcPr>
            <w:tcW w:w="100" w:type="dxa"/>
            <w:vAlign w:val="bottom"/>
            <w:shd w:val="clear" w:color="auto" w:fill="DCE2EF"/>
          </w:tcPr>
          <w:p>
            <w:pPr>
              <w:spacing w:after="0"/>
              <w:rPr>
                <w:sz w:val="17"/>
                <w:szCs w:val="17"/>
                <w:color w:val="auto"/>
              </w:rPr>
            </w:pPr>
          </w:p>
        </w:tc>
        <w:tc>
          <w:tcPr>
            <w:tcW w:w="76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558.9</w:t>
            </w:r>
          </w:p>
        </w:tc>
        <w:tc>
          <w:tcPr>
            <w:tcW w:w="12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675.5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20" w:type="dxa"/>
            <w:vAlign w:val="bottom"/>
            <w:gridSpan w:val="2"/>
          </w:tcPr>
          <w:p>
            <w:pPr>
              <w:ind w:left="120"/>
              <w:spacing w:after="0" w:line="153" w:lineRule="exact"/>
              <w:rPr>
                <w:sz w:val="20"/>
                <w:szCs w:val="20"/>
                <w:color w:val="auto"/>
              </w:rPr>
            </w:pPr>
            <w:r>
              <w:rPr>
                <w:rFonts w:ascii="Arial" w:cs="Arial" w:eastAsia="Arial" w:hAnsi="Arial"/>
                <w:sz w:val="14"/>
                <w:szCs w:val="14"/>
                <w:color w:val="auto"/>
              </w:rPr>
              <w:t>Stock issued (taxes withheld) under employee stock</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20" w:type="dxa"/>
            <w:vAlign w:val="bottom"/>
            <w:gridSpan w:val="2"/>
          </w:tcPr>
          <w:p>
            <w:pPr>
              <w:ind w:left="280"/>
              <w:spacing w:after="0"/>
              <w:rPr>
                <w:sz w:val="20"/>
                <w:szCs w:val="20"/>
                <w:color w:val="auto"/>
              </w:rPr>
            </w:pPr>
            <w:r>
              <w:rPr>
                <w:rFonts w:ascii="Arial" w:cs="Arial" w:eastAsia="Arial" w:hAnsi="Arial"/>
                <w:sz w:val="14"/>
                <w:szCs w:val="14"/>
                <w:color w:val="auto"/>
              </w:rPr>
              <w:t>purchase and share-based compensation plans, net</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40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Share-based compensation expense</w:t>
            </w: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DCE2EF"/>
          </w:tcPr>
          <w:p>
            <w:pPr>
              <w:spacing w:after="0"/>
              <w:rPr>
                <w:sz w:val="17"/>
                <w:szCs w:val="17"/>
                <w:color w:val="auto"/>
              </w:rPr>
            </w:pPr>
          </w:p>
        </w:tc>
        <w:tc>
          <w:tcPr>
            <w:tcW w:w="76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4020" w:type="dxa"/>
            <w:vAlign w:val="bottom"/>
            <w:tcBorders>
              <w:bottom w:val="single" w:sz="8" w:color="DCE2EF"/>
            </w:tcBorders>
            <w:gridSpan w:val="2"/>
          </w:tcPr>
          <w:p>
            <w:pPr>
              <w:ind w:left="120"/>
              <w:spacing w:after="0"/>
              <w:rPr>
                <w:sz w:val="20"/>
                <w:szCs w:val="20"/>
                <w:color w:val="auto"/>
              </w:rPr>
            </w:pPr>
            <w:r>
              <w:rPr>
                <w:rFonts w:ascii="Arial" w:cs="Arial" w:eastAsia="Arial" w:hAnsi="Arial"/>
                <w:sz w:val="14"/>
                <w:szCs w:val="14"/>
                <w:color w:val="auto"/>
              </w:rPr>
              <w:t>Repurchase of common stock, including excise taxes</w:t>
            </w:r>
          </w:p>
        </w:tc>
        <w:tc>
          <w:tcPr>
            <w:tcW w:w="80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Borders>
              <w:bottom w:val="single" w:sz="8" w:color="DCE2EF"/>
            </w:tcBorders>
          </w:tcPr>
          <w:p>
            <w:pPr>
              <w:spacing w:after="0"/>
              <w:rPr>
                <w:sz w:val="17"/>
                <w:szCs w:val="17"/>
                <w:color w:val="auto"/>
              </w:rPr>
            </w:pPr>
          </w:p>
        </w:tc>
        <w:tc>
          <w:tcPr>
            <w:tcW w:w="800" w:type="dxa"/>
            <w:vAlign w:val="bottom"/>
            <w:tcBorders>
              <w:bottom w:val="single" w:sz="8" w:color="DCE2EF"/>
            </w:tcBorders>
          </w:tcPr>
          <w:p>
            <w:pPr>
              <w:spacing w:after="0"/>
              <w:rPr>
                <w:sz w:val="17"/>
                <w:szCs w:val="17"/>
                <w:color w:val="auto"/>
              </w:rPr>
            </w:pPr>
          </w:p>
        </w:tc>
        <w:tc>
          <w:tcPr>
            <w:tcW w:w="120" w:type="dxa"/>
            <w:vAlign w:val="bottom"/>
            <w:tcBorders>
              <w:bottom w:val="single" w:sz="8" w:color="DCE2E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7"/>
                <w:szCs w:val="17"/>
                <w:color w:val="auto"/>
              </w:rPr>
            </w:pPr>
          </w:p>
        </w:tc>
        <w:tc>
          <w:tcPr>
            <w:tcW w:w="760" w:type="dxa"/>
            <w:vAlign w:val="bottom"/>
            <w:tcBorders>
              <w:bottom w:val="single" w:sz="8" w:color="DCE2EF"/>
            </w:tcBorders>
          </w:tcPr>
          <w:p>
            <w:pPr>
              <w:spacing w:after="0"/>
              <w:rPr>
                <w:sz w:val="17"/>
                <w:szCs w:val="17"/>
                <w:color w:val="auto"/>
              </w:rPr>
            </w:pPr>
          </w:p>
        </w:tc>
        <w:tc>
          <w:tcPr>
            <w:tcW w:w="40" w:type="dxa"/>
            <w:vAlign w:val="bottom"/>
            <w:tcBorders>
              <w:bottom w:val="single" w:sz="8" w:color="DCE2EF"/>
            </w:tcBorders>
          </w:tcPr>
          <w:p>
            <w:pPr>
              <w:spacing w:after="0"/>
              <w:rPr>
                <w:sz w:val="17"/>
                <w:szCs w:val="17"/>
                <w:color w:val="auto"/>
              </w:rPr>
            </w:pPr>
          </w:p>
        </w:tc>
        <w:tc>
          <w:tcPr>
            <w:tcW w:w="120" w:type="dxa"/>
            <w:vAlign w:val="bottom"/>
            <w:tcBorders>
              <w:bottom w:val="single" w:sz="8" w:color="DCE2E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Borders>
              <w:bottom w:val="single" w:sz="8" w:color="DCE2EF"/>
            </w:tcBorders>
          </w:tcPr>
          <w:p>
            <w:pPr>
              <w:spacing w:after="0"/>
              <w:rPr>
                <w:sz w:val="17"/>
                <w:szCs w:val="17"/>
                <w:color w:val="auto"/>
              </w:rPr>
            </w:pPr>
          </w:p>
        </w:tc>
        <w:tc>
          <w:tcPr>
            <w:tcW w:w="80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shd w:val="clear" w:color="auto" w:fill="DCE2EF"/>
          </w:tcPr>
          <w:p>
            <w:pPr>
              <w:spacing w:after="0"/>
              <w:rPr>
                <w:sz w:val="17"/>
                <w:szCs w:val="17"/>
                <w:color w:val="auto"/>
              </w:rPr>
            </w:pPr>
          </w:p>
        </w:tc>
        <w:tc>
          <w:tcPr>
            <w:tcW w:w="40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end of period</w:t>
            </w: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544.0</w:t>
            </w:r>
          </w:p>
        </w:tc>
        <w:tc>
          <w:tcPr>
            <w:tcW w:w="10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spacing w:after="0"/>
              <w:rPr>
                <w:sz w:val="17"/>
                <w:szCs w:val="17"/>
                <w:color w:val="auto"/>
              </w:rPr>
            </w:pPr>
          </w:p>
        </w:tc>
        <w:tc>
          <w:tcPr>
            <w:tcW w:w="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679.2</w:t>
            </w:r>
          </w:p>
        </w:tc>
        <w:tc>
          <w:tcPr>
            <w:tcW w:w="100" w:type="dxa"/>
            <w:vAlign w:val="bottom"/>
            <w:shd w:val="clear" w:color="auto" w:fill="DCE2EF"/>
          </w:tcPr>
          <w:p>
            <w:pPr>
              <w:spacing w:after="0"/>
              <w:rPr>
                <w:sz w:val="17"/>
                <w:szCs w:val="17"/>
                <w:color w:val="auto"/>
              </w:rPr>
            </w:pPr>
          </w:p>
        </w:tc>
        <w:tc>
          <w:tcPr>
            <w:tcW w:w="76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spacing w:after="0"/>
              <w:rPr>
                <w:sz w:val="17"/>
                <w:szCs w:val="17"/>
                <w:color w:val="auto"/>
              </w:rPr>
            </w:pPr>
          </w:p>
        </w:tc>
        <w:tc>
          <w:tcPr>
            <w:tcW w:w="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544.0</w:t>
            </w:r>
          </w:p>
        </w:tc>
        <w:tc>
          <w:tcPr>
            <w:tcW w:w="12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679.2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Accumulated Other Comprehensive Loss, Net of Taxes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DCE2EF"/>
          </w:tcPr>
          <w:p>
            <w:pPr>
              <w:spacing w:after="0"/>
              <w:rPr>
                <w:sz w:val="17"/>
                <w:szCs w:val="17"/>
                <w:color w:val="auto"/>
              </w:rPr>
            </w:pPr>
          </w:p>
        </w:tc>
        <w:tc>
          <w:tcPr>
            <w:tcW w:w="40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beginning of period</w:t>
            </w: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DCE2EF"/>
          </w:tcPr>
          <w:p>
            <w:pPr>
              <w:spacing w:after="0"/>
              <w:rPr>
                <w:sz w:val="17"/>
                <w:szCs w:val="17"/>
                <w:color w:val="auto"/>
              </w:rPr>
            </w:pPr>
          </w:p>
        </w:tc>
        <w:tc>
          <w:tcPr>
            <w:tcW w:w="76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4020" w:type="dxa"/>
            <w:vAlign w:val="bottom"/>
            <w:tcBorders>
              <w:bottom w:val="single" w:sz="8" w:color="DCE2EF"/>
            </w:tcBorders>
            <w:gridSpan w:val="2"/>
          </w:tcPr>
          <w:p>
            <w:pPr>
              <w:ind w:left="1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DCE2EF"/>
            </w:tcBorders>
          </w:tcPr>
          <w:p>
            <w:pPr>
              <w:spacing w:after="0"/>
              <w:rPr>
                <w:sz w:val="17"/>
                <w:szCs w:val="17"/>
                <w:color w:val="auto"/>
              </w:rPr>
            </w:pPr>
          </w:p>
        </w:tc>
        <w:tc>
          <w:tcPr>
            <w:tcW w:w="800" w:type="dxa"/>
            <w:vAlign w:val="bottom"/>
            <w:tcBorders>
              <w:bottom w:val="single" w:sz="8" w:color="DCE2EF"/>
            </w:tcBorders>
          </w:tcPr>
          <w:p>
            <w:pPr>
              <w:spacing w:after="0"/>
              <w:rPr>
                <w:sz w:val="17"/>
                <w:szCs w:val="17"/>
                <w:color w:val="auto"/>
              </w:rPr>
            </w:pPr>
          </w:p>
        </w:tc>
        <w:tc>
          <w:tcPr>
            <w:tcW w:w="120" w:type="dxa"/>
            <w:vAlign w:val="bottom"/>
            <w:tcBorders>
              <w:bottom w:val="single" w:sz="8" w:color="DCE2E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DCE2EF"/>
            </w:tcBorders>
          </w:tcPr>
          <w:p>
            <w:pPr>
              <w:spacing w:after="0"/>
              <w:rPr>
                <w:sz w:val="17"/>
                <w:szCs w:val="17"/>
                <w:color w:val="auto"/>
              </w:rPr>
            </w:pPr>
          </w:p>
        </w:tc>
        <w:tc>
          <w:tcPr>
            <w:tcW w:w="760" w:type="dxa"/>
            <w:vAlign w:val="bottom"/>
            <w:tcBorders>
              <w:bottom w:val="single" w:sz="8" w:color="DCE2EF"/>
            </w:tcBorders>
          </w:tcPr>
          <w:p>
            <w:pPr>
              <w:spacing w:after="0"/>
              <w:rPr>
                <w:sz w:val="17"/>
                <w:szCs w:val="17"/>
                <w:color w:val="auto"/>
              </w:rPr>
            </w:pPr>
          </w:p>
        </w:tc>
        <w:tc>
          <w:tcPr>
            <w:tcW w:w="40" w:type="dxa"/>
            <w:vAlign w:val="bottom"/>
            <w:tcBorders>
              <w:bottom w:val="single" w:sz="8" w:color="DCE2EF"/>
            </w:tcBorders>
          </w:tcPr>
          <w:p>
            <w:pPr>
              <w:spacing w:after="0"/>
              <w:rPr>
                <w:sz w:val="17"/>
                <w:szCs w:val="17"/>
                <w:color w:val="auto"/>
              </w:rPr>
            </w:pPr>
          </w:p>
        </w:tc>
        <w:tc>
          <w:tcPr>
            <w:tcW w:w="120" w:type="dxa"/>
            <w:vAlign w:val="bottom"/>
            <w:tcBorders>
              <w:bottom w:val="single" w:sz="8" w:color="DCE2E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DCE2EF"/>
            </w:tcBorders>
          </w:tcPr>
          <w:p>
            <w:pPr>
              <w:spacing w:after="0"/>
              <w:rPr>
                <w:sz w:val="17"/>
                <w:szCs w:val="17"/>
                <w:color w:val="auto"/>
              </w:rPr>
            </w:pPr>
          </w:p>
        </w:tc>
        <w:tc>
          <w:tcPr>
            <w:tcW w:w="80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0"/>
        </w:trPr>
        <w:tc>
          <w:tcPr>
            <w:tcW w:w="20" w:type="dxa"/>
            <w:vAlign w:val="bottom"/>
            <w:shd w:val="clear" w:color="auto" w:fill="DCE2EF"/>
          </w:tcPr>
          <w:p>
            <w:pPr>
              <w:spacing w:after="0"/>
              <w:rPr>
                <w:sz w:val="17"/>
                <w:szCs w:val="17"/>
                <w:color w:val="auto"/>
              </w:rPr>
            </w:pPr>
          </w:p>
        </w:tc>
        <w:tc>
          <w:tcPr>
            <w:tcW w:w="40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end of period</w:t>
            </w: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spacing w:after="0"/>
              <w:rPr>
                <w:sz w:val="17"/>
                <w:szCs w:val="17"/>
                <w:color w:val="auto"/>
              </w:rPr>
            </w:pPr>
          </w:p>
        </w:tc>
        <w:tc>
          <w:tcPr>
            <w:tcW w:w="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DCE2EF"/>
          </w:tcPr>
          <w:p>
            <w:pPr>
              <w:spacing w:after="0"/>
              <w:rPr>
                <w:sz w:val="17"/>
                <w:szCs w:val="17"/>
                <w:color w:val="auto"/>
              </w:rPr>
            </w:pPr>
          </w:p>
        </w:tc>
        <w:tc>
          <w:tcPr>
            <w:tcW w:w="76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spacing w:after="0"/>
              <w:rPr>
                <w:sz w:val="17"/>
                <w:szCs w:val="17"/>
                <w:color w:val="auto"/>
              </w:rPr>
            </w:pPr>
          </w:p>
        </w:tc>
        <w:tc>
          <w:tcPr>
            <w:tcW w:w="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Retained Earnings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40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beginning of period</w:t>
            </w: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1,279.3</w:t>
            </w:r>
          </w:p>
        </w:tc>
        <w:tc>
          <w:tcPr>
            <w:tcW w:w="10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1,080.3</w:t>
            </w:r>
          </w:p>
        </w:tc>
        <w:tc>
          <w:tcPr>
            <w:tcW w:w="100" w:type="dxa"/>
            <w:vAlign w:val="bottom"/>
            <w:shd w:val="clear" w:color="auto" w:fill="DCE2EF"/>
          </w:tcPr>
          <w:p>
            <w:pPr>
              <w:spacing w:after="0"/>
              <w:rPr>
                <w:sz w:val="17"/>
                <w:szCs w:val="17"/>
                <w:color w:val="auto"/>
              </w:rPr>
            </w:pPr>
          </w:p>
        </w:tc>
        <w:tc>
          <w:tcPr>
            <w:tcW w:w="76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1,249.6</w:t>
            </w:r>
          </w:p>
        </w:tc>
        <w:tc>
          <w:tcPr>
            <w:tcW w:w="12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1,057.2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7"/>
                <w:szCs w:val="17"/>
                <w:color w:val="auto"/>
              </w:rPr>
            </w:pPr>
          </w:p>
        </w:tc>
        <w:tc>
          <w:tcPr>
            <w:tcW w:w="40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Dividends</w:t>
            </w: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76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tcPr>
          <w:p>
            <w:pPr>
              <w:ind w:left="220"/>
              <w:spacing w:after="0" w:line="202" w:lineRule="exact"/>
              <w:rPr>
                <w:sz w:val="20"/>
                <w:szCs w:val="20"/>
                <w:color w:val="auto"/>
              </w:rPr>
            </w:pPr>
            <w:r>
              <w:rPr>
                <w:rFonts w:ascii="Arial" w:cs="Arial" w:eastAsia="Arial" w:hAnsi="Arial"/>
                <w:sz w:val="14"/>
                <w:szCs w:val="14"/>
                <w:color w:val="auto"/>
              </w:rPr>
              <w:t xml:space="preserve">Common stock </w:t>
            </w:r>
            <w:r>
              <w:rPr>
                <w:rFonts w:ascii="Arial" w:cs="Arial" w:eastAsia="Arial" w:hAnsi="Arial"/>
                <w:sz w:val="18"/>
                <w:szCs w:val="18"/>
                <w:color w:val="auto"/>
                <w:vertAlign w:val="superscript"/>
              </w:rPr>
              <w:t>(1)</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53"/>
        </w:trPr>
        <w:tc>
          <w:tcPr>
            <w:tcW w:w="20" w:type="dxa"/>
            <w:vAlign w:val="bottom"/>
            <w:shd w:val="clear" w:color="auto" w:fill="DCE2EF"/>
          </w:tcPr>
          <w:p>
            <w:pPr>
              <w:spacing w:after="0"/>
              <w:rPr>
                <w:sz w:val="13"/>
                <w:szCs w:val="13"/>
                <w:color w:val="auto"/>
              </w:rPr>
            </w:pPr>
          </w:p>
        </w:tc>
        <w:tc>
          <w:tcPr>
            <w:tcW w:w="4020" w:type="dxa"/>
            <w:vAlign w:val="bottom"/>
            <w:gridSpan w:val="2"/>
            <w:shd w:val="clear" w:color="auto" w:fill="DCE2EF"/>
          </w:tcPr>
          <w:p>
            <w:pPr>
              <w:ind w:left="220"/>
              <w:spacing w:after="0" w:line="153" w:lineRule="exact"/>
              <w:rPr>
                <w:sz w:val="20"/>
                <w:szCs w:val="20"/>
                <w:color w:val="auto"/>
              </w:rPr>
            </w:pPr>
            <w:r>
              <w:rPr>
                <w:rFonts w:ascii="Arial" w:cs="Arial" w:eastAsia="Arial" w:hAnsi="Arial"/>
                <w:sz w:val="14"/>
                <w:szCs w:val="14"/>
                <w:color w:val="auto"/>
              </w:rPr>
              <w:t>Stock issued under share-based compensation</w:t>
            </w:r>
          </w:p>
        </w:tc>
        <w:tc>
          <w:tcPr>
            <w:tcW w:w="80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68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DCE2EF"/>
          </w:tcPr>
          <w:p>
            <w:pPr>
              <w:spacing w:after="0"/>
              <w:rPr>
                <w:sz w:val="13"/>
                <w:szCs w:val="13"/>
                <w:color w:val="auto"/>
              </w:rPr>
            </w:pPr>
          </w:p>
        </w:tc>
        <w:tc>
          <w:tcPr>
            <w:tcW w:w="80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68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DCE2EF"/>
          </w:tcPr>
          <w:p>
            <w:pPr>
              <w:spacing w:after="0"/>
              <w:rPr>
                <w:sz w:val="13"/>
                <w:szCs w:val="13"/>
                <w:color w:val="auto"/>
              </w:rPr>
            </w:pPr>
          </w:p>
        </w:tc>
        <w:tc>
          <w:tcPr>
            <w:tcW w:w="760" w:type="dxa"/>
            <w:vAlign w:val="bottom"/>
            <w:shd w:val="clear" w:color="auto" w:fill="DCE2EF"/>
          </w:tcPr>
          <w:p>
            <w:pPr>
              <w:spacing w:after="0"/>
              <w:rPr>
                <w:sz w:val="13"/>
                <w:szCs w:val="13"/>
                <w:color w:val="auto"/>
              </w:rPr>
            </w:pPr>
          </w:p>
        </w:tc>
        <w:tc>
          <w:tcPr>
            <w:tcW w:w="4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68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DCE2EF"/>
          </w:tcPr>
          <w:p>
            <w:pPr>
              <w:spacing w:after="0"/>
              <w:rPr>
                <w:sz w:val="13"/>
                <w:szCs w:val="13"/>
                <w:color w:val="auto"/>
              </w:rPr>
            </w:pPr>
          </w:p>
        </w:tc>
        <w:tc>
          <w:tcPr>
            <w:tcW w:w="80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68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5"/>
        </w:trPr>
        <w:tc>
          <w:tcPr>
            <w:tcW w:w="20" w:type="dxa"/>
            <w:vAlign w:val="bottom"/>
            <w:shd w:val="clear" w:color="auto" w:fill="DCE2EF"/>
          </w:tcPr>
          <w:p>
            <w:pPr>
              <w:spacing w:after="0"/>
              <w:rPr>
                <w:sz w:val="16"/>
                <w:szCs w:val="16"/>
                <w:color w:val="auto"/>
              </w:rPr>
            </w:pPr>
          </w:p>
        </w:tc>
        <w:tc>
          <w:tcPr>
            <w:tcW w:w="4020" w:type="dxa"/>
            <w:vAlign w:val="bottom"/>
            <w:gridSpan w:val="2"/>
            <w:shd w:val="clear" w:color="auto" w:fill="DCE2EF"/>
          </w:tcPr>
          <w:p>
            <w:pPr>
              <w:ind w:left="380"/>
              <w:spacing w:after="0"/>
              <w:rPr>
                <w:sz w:val="20"/>
                <w:szCs w:val="20"/>
                <w:color w:val="auto"/>
              </w:rPr>
            </w:pPr>
            <w:r>
              <w:rPr>
                <w:rFonts w:ascii="Arial" w:cs="Arial" w:eastAsia="Arial" w:hAnsi="Arial"/>
                <w:sz w:val="14"/>
                <w:szCs w:val="14"/>
                <w:color w:val="auto"/>
              </w:rPr>
              <w:t>plans</w:t>
            </w:r>
          </w:p>
        </w:tc>
        <w:tc>
          <w:tcPr>
            <w:tcW w:w="8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40" w:type="dxa"/>
            <w:vAlign w:val="bottom"/>
            <w:tcBorders>
              <w:bottom w:val="single" w:sz="8" w:color="auto"/>
            </w:tcBorders>
            <w:shd w:val="clear" w:color="auto" w:fill="DCE2EF"/>
          </w:tcPr>
          <w:p>
            <w:pPr>
              <w:spacing w:after="0"/>
              <w:rPr>
                <w:sz w:val="16"/>
                <w:szCs w:val="16"/>
                <w:color w:val="auto"/>
              </w:rPr>
            </w:pPr>
          </w:p>
        </w:tc>
        <w:tc>
          <w:tcPr>
            <w:tcW w:w="680" w:type="dxa"/>
            <w:vAlign w:val="bottom"/>
            <w:tcBorders>
              <w:bottom w:val="single" w:sz="8" w:color="auto"/>
            </w:tcBorders>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8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20" w:type="dxa"/>
            <w:vAlign w:val="bottom"/>
            <w:tcBorders>
              <w:bottom w:val="single" w:sz="8" w:color="auto"/>
            </w:tcBorders>
            <w:shd w:val="clear" w:color="auto" w:fill="DCE2EF"/>
          </w:tcPr>
          <w:p>
            <w:pPr>
              <w:spacing w:after="0"/>
              <w:rPr>
                <w:sz w:val="16"/>
                <w:szCs w:val="16"/>
                <w:color w:val="auto"/>
              </w:rPr>
            </w:pPr>
          </w:p>
        </w:tc>
        <w:tc>
          <w:tcPr>
            <w:tcW w:w="680" w:type="dxa"/>
            <w:vAlign w:val="bottom"/>
            <w:tcBorders>
              <w:bottom w:val="single" w:sz="8" w:color="auto"/>
            </w:tcBorders>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20" w:type="dxa"/>
            <w:vAlign w:val="bottom"/>
            <w:tcBorders>
              <w:bottom w:val="single" w:sz="8" w:color="auto"/>
            </w:tcBorders>
            <w:shd w:val="clear" w:color="auto" w:fill="DCE2EF"/>
          </w:tcPr>
          <w:p>
            <w:pPr>
              <w:spacing w:after="0"/>
              <w:rPr>
                <w:sz w:val="16"/>
                <w:szCs w:val="16"/>
                <w:color w:val="auto"/>
              </w:rPr>
            </w:pPr>
          </w:p>
        </w:tc>
        <w:tc>
          <w:tcPr>
            <w:tcW w:w="680" w:type="dxa"/>
            <w:vAlign w:val="bottom"/>
            <w:tcBorders>
              <w:bottom w:val="single" w:sz="8" w:color="auto"/>
            </w:tcBorders>
            <w:vMerge w:val="continue"/>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8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40" w:type="dxa"/>
            <w:vAlign w:val="bottom"/>
            <w:tcBorders>
              <w:bottom w:val="single" w:sz="8" w:color="auto"/>
            </w:tcBorders>
            <w:shd w:val="clear" w:color="auto" w:fill="DCE2EF"/>
          </w:tcPr>
          <w:p>
            <w:pPr>
              <w:spacing w:after="0"/>
              <w:rPr>
                <w:sz w:val="16"/>
                <w:szCs w:val="16"/>
                <w:color w:val="auto"/>
              </w:rPr>
            </w:pPr>
          </w:p>
        </w:tc>
        <w:tc>
          <w:tcPr>
            <w:tcW w:w="680" w:type="dxa"/>
            <w:vAlign w:val="bottom"/>
            <w:tcBorders>
              <w:bottom w:val="single" w:sz="8" w:color="auto"/>
            </w:tcBorders>
            <w:vMerge w:val="continue"/>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DCE2EF"/>
            </w:tcBorders>
          </w:tcPr>
          <w:p>
            <w:pPr>
              <w:spacing w:after="0"/>
              <w:rPr>
                <w:sz w:val="16"/>
                <w:szCs w:val="16"/>
                <w:color w:val="auto"/>
              </w:rPr>
            </w:pPr>
          </w:p>
        </w:tc>
        <w:tc>
          <w:tcPr>
            <w:tcW w:w="4020" w:type="dxa"/>
            <w:vAlign w:val="bottom"/>
            <w:tcBorders>
              <w:bottom w:val="single" w:sz="8" w:color="DCE2EF"/>
            </w:tcBorders>
            <w:gridSpan w:val="2"/>
          </w:tcPr>
          <w:p>
            <w:pPr>
              <w:ind w:left="120"/>
              <w:spacing w:after="0"/>
              <w:rPr>
                <w:sz w:val="20"/>
                <w:szCs w:val="20"/>
                <w:color w:val="auto"/>
              </w:rPr>
            </w:pPr>
            <w:r>
              <w:rPr>
                <w:rFonts w:ascii="Arial" w:cs="Arial" w:eastAsia="Arial" w:hAnsi="Arial"/>
                <w:sz w:val="14"/>
                <w:szCs w:val="14"/>
                <w:color w:val="auto"/>
              </w:rPr>
              <w:t>Balance, end of period</w:t>
            </w:r>
          </w:p>
        </w:tc>
        <w:tc>
          <w:tcPr>
            <w:tcW w:w="800" w:type="dxa"/>
            <w:vAlign w:val="bottom"/>
            <w:tcBorders>
              <w:bottom w:val="single" w:sz="8" w:color="DCE2EF"/>
            </w:tcBorders>
          </w:tcPr>
          <w:p>
            <w:pPr>
              <w:spacing w:after="0"/>
              <w:rPr>
                <w:sz w:val="16"/>
                <w:szCs w:val="16"/>
                <w:color w:val="auto"/>
              </w:rPr>
            </w:pPr>
          </w:p>
        </w:tc>
        <w:tc>
          <w:tcPr>
            <w:tcW w:w="10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1,308.8</w:t>
            </w:r>
          </w:p>
        </w:tc>
        <w:tc>
          <w:tcPr>
            <w:tcW w:w="100" w:type="dxa"/>
            <w:vAlign w:val="bottom"/>
            <w:tcBorders>
              <w:bottom w:val="single" w:sz="8" w:color="DCE2EF"/>
            </w:tcBorders>
          </w:tcPr>
          <w:p>
            <w:pPr>
              <w:spacing w:after="0"/>
              <w:rPr>
                <w:sz w:val="16"/>
                <w:szCs w:val="16"/>
                <w:color w:val="auto"/>
              </w:rPr>
            </w:pPr>
          </w:p>
        </w:tc>
        <w:tc>
          <w:tcPr>
            <w:tcW w:w="80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1,117.5</w:t>
            </w:r>
          </w:p>
        </w:tc>
        <w:tc>
          <w:tcPr>
            <w:tcW w:w="100" w:type="dxa"/>
            <w:vAlign w:val="bottom"/>
            <w:tcBorders>
              <w:bottom w:val="single" w:sz="8" w:color="DCE2EF"/>
            </w:tcBorders>
          </w:tcPr>
          <w:p>
            <w:pPr>
              <w:spacing w:after="0"/>
              <w:rPr>
                <w:sz w:val="16"/>
                <w:szCs w:val="16"/>
                <w:color w:val="auto"/>
              </w:rPr>
            </w:pPr>
          </w:p>
        </w:tc>
        <w:tc>
          <w:tcPr>
            <w:tcW w:w="760" w:type="dxa"/>
            <w:vAlign w:val="bottom"/>
            <w:tcBorders>
              <w:bottom w:val="single" w:sz="8" w:color="DCE2EF"/>
            </w:tcBorders>
          </w:tcPr>
          <w:p>
            <w:pPr>
              <w:spacing w:after="0"/>
              <w:rPr>
                <w:sz w:val="16"/>
                <w:szCs w:val="16"/>
                <w:color w:val="auto"/>
              </w:rPr>
            </w:pPr>
          </w:p>
        </w:tc>
        <w:tc>
          <w:tcPr>
            <w:tcW w:w="4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1,308.8</w:t>
            </w:r>
          </w:p>
        </w:tc>
        <w:tc>
          <w:tcPr>
            <w:tcW w:w="120" w:type="dxa"/>
            <w:vAlign w:val="bottom"/>
            <w:tcBorders>
              <w:bottom w:val="single" w:sz="8" w:color="DCE2EF"/>
            </w:tcBorders>
          </w:tcPr>
          <w:p>
            <w:pPr>
              <w:spacing w:after="0"/>
              <w:rPr>
                <w:sz w:val="16"/>
                <w:szCs w:val="16"/>
                <w:color w:val="auto"/>
              </w:rPr>
            </w:pPr>
          </w:p>
        </w:tc>
        <w:tc>
          <w:tcPr>
            <w:tcW w:w="800" w:type="dxa"/>
            <w:vAlign w:val="bottom"/>
            <w:tcBorders>
              <w:bottom w:val="single" w:sz="8" w:color="DCE2EF"/>
            </w:tcBorders>
          </w:tcPr>
          <w:p>
            <w:pPr>
              <w:spacing w:after="0"/>
              <w:rPr>
                <w:sz w:val="16"/>
                <w:szCs w:val="16"/>
                <w:color w:val="auto"/>
              </w:rPr>
            </w:pPr>
          </w:p>
        </w:tc>
        <w:tc>
          <w:tcPr>
            <w:tcW w:w="10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1,117.5</w:t>
            </w: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402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Total Stockholders’ Equity</w:t>
            </w:r>
          </w:p>
        </w:tc>
        <w:tc>
          <w:tcPr>
            <w:tcW w:w="80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1,843.6</w:t>
            </w:r>
          </w:p>
        </w:tc>
        <w:tc>
          <w:tcPr>
            <w:tcW w:w="10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1,782.8</w:t>
            </w:r>
          </w:p>
        </w:tc>
        <w:tc>
          <w:tcPr>
            <w:tcW w:w="100" w:type="dxa"/>
            <w:vAlign w:val="bottom"/>
            <w:shd w:val="clear" w:color="auto" w:fill="DCE2EF"/>
          </w:tcPr>
          <w:p>
            <w:pPr>
              <w:spacing w:after="0"/>
              <w:rPr>
                <w:sz w:val="19"/>
                <w:szCs w:val="19"/>
                <w:color w:val="auto"/>
              </w:rPr>
            </w:pPr>
          </w:p>
        </w:tc>
        <w:tc>
          <w:tcPr>
            <w:tcW w:w="760" w:type="dxa"/>
            <w:vAlign w:val="bottom"/>
            <w:shd w:val="clear" w:color="auto" w:fill="DCE2EF"/>
          </w:tcPr>
          <w:p>
            <w:pPr>
              <w:spacing w:after="0"/>
              <w:rPr>
                <w:sz w:val="19"/>
                <w:szCs w:val="19"/>
                <w:color w:val="auto"/>
              </w:rPr>
            </w:pPr>
          </w:p>
        </w:tc>
        <w:tc>
          <w:tcPr>
            <w:tcW w:w="280" w:type="dxa"/>
            <w:vAlign w:val="bottom"/>
            <w:gridSpan w:val="3"/>
            <w:shd w:val="clear" w:color="auto" w:fill="DCE2E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1,843.6</w:t>
            </w:r>
          </w:p>
        </w:tc>
        <w:tc>
          <w:tcPr>
            <w:tcW w:w="1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1,782.8</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1980" w:type="dxa"/>
            <w:vAlign w:val="bottom"/>
            <w:tcBorders>
              <w:top w:val="single" w:sz="8" w:color="DCE2EF"/>
            </w:tcBorders>
          </w:tcPr>
          <w:p>
            <w:pPr>
              <w:spacing w:after="0" w:line="20" w:lineRule="exact"/>
              <w:rPr>
                <w:sz w:val="1"/>
                <w:szCs w:val="1"/>
                <w:color w:val="auto"/>
              </w:rPr>
            </w:pPr>
          </w:p>
        </w:tc>
        <w:tc>
          <w:tcPr>
            <w:tcW w:w="2040" w:type="dxa"/>
            <w:vAlign w:val="bottom"/>
            <w:tcBorders>
              <w:top w:val="single" w:sz="8" w:color="DCE2EF"/>
            </w:tcBorders>
          </w:tcPr>
          <w:p>
            <w:pPr>
              <w:spacing w:after="0" w:line="20" w:lineRule="exact"/>
              <w:rPr>
                <w:sz w:val="1"/>
                <w:szCs w:val="1"/>
                <w:color w:val="auto"/>
              </w:rPr>
            </w:pPr>
          </w:p>
        </w:tc>
        <w:tc>
          <w:tcPr>
            <w:tcW w:w="80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80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76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80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right="280" w:firstLine="8"/>
        <w:spacing w:after="0" w:line="235" w:lineRule="auto"/>
        <w:tabs>
          <w:tab w:leader="none" w:pos="154"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Cash dividends declared per common share were $0.225 and $0.220 for the three months ended April 30, 2024 and 2023, respectively, and $0.450 and $0.440 for the six months ended April 30, 2024 and 2023,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8" w:name="page9"/>
    <w:bookmarkEnd w:id="8"/>
    <w:p>
      <w:pPr>
        <w:ind w:left="32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0046AD"/>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167"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Six Months Ended April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08"/>
              <w:spacing w:after="0" w:line="157" w:lineRule="exact"/>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88"/>
              <w:spacing w:after="0" w:line="157" w:lineRule="exact"/>
              <w:rPr>
                <w:sz w:val="20"/>
                <w:szCs w:val="20"/>
                <w:color w:val="auto"/>
              </w:rPr>
            </w:pPr>
            <w:r>
              <w:rPr>
                <w:rFonts w:ascii="Arial" w:cs="Arial" w:eastAsia="Arial" w:hAnsi="Arial"/>
                <w:sz w:val="14"/>
                <w:szCs w:val="14"/>
                <w:b w:val="1"/>
                <w:bCs w:val="1"/>
                <w:color w:val="auto"/>
              </w:rPr>
              <w:t>2023</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75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DCE2EF"/>
          </w:tcPr>
          <w:p>
            <w:pPr>
              <w:spacing w:after="0"/>
              <w:rPr>
                <w:sz w:val="15"/>
                <w:szCs w:val="15"/>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DCE2EF"/>
          </w:tcPr>
          <w:p>
            <w:pPr>
              <w:spacing w:after="0"/>
              <w:rPr>
                <w:sz w:val="15"/>
                <w:szCs w:val="15"/>
                <w:color w:val="auto"/>
              </w:rPr>
            </w:pPr>
          </w:p>
        </w:tc>
        <w:tc>
          <w:tcPr>
            <w:tcW w:w="114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20" w:type="dxa"/>
            <w:vAlign w:val="bottom"/>
            <w:shd w:val="clear" w:color="auto" w:fill="DCE2EF"/>
          </w:tcPr>
          <w:p>
            <w:pPr>
              <w:spacing w:after="0"/>
              <w:rPr>
                <w:sz w:val="15"/>
                <w:szCs w:val="15"/>
                <w:color w:val="auto"/>
              </w:rPr>
            </w:pPr>
          </w:p>
        </w:tc>
        <w:tc>
          <w:tcPr>
            <w:tcW w:w="1120" w:type="dxa"/>
            <w:vAlign w:val="bottom"/>
            <w:shd w:val="clear" w:color="auto" w:fill="DCE2E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90.4</w:t>
            </w:r>
          </w:p>
        </w:tc>
      </w:tr>
      <w:tr>
        <w:trPr>
          <w:trHeight w:val="157"/>
        </w:trPr>
        <w:tc>
          <w:tcPr>
            <w:tcW w:w="20" w:type="dxa"/>
            <w:vAlign w:val="bottom"/>
            <w:shd w:val="clear" w:color="auto" w:fill="DCE2EF"/>
          </w:tcPr>
          <w:p>
            <w:pPr>
              <w:spacing w:after="0"/>
              <w:rPr>
                <w:sz w:val="13"/>
                <w:szCs w:val="13"/>
                <w:color w:val="auto"/>
              </w:rPr>
            </w:pPr>
          </w:p>
        </w:tc>
        <w:tc>
          <w:tcPr>
            <w:tcW w:w="8160" w:type="dxa"/>
            <w:vAlign w:val="bottom"/>
            <w:gridSpan w:val="2"/>
            <w:shd w:val="clear" w:color="auto" w:fill="DCE2EF"/>
          </w:tcPr>
          <w:p>
            <w:pPr>
              <w:spacing w:after="0" w:line="157" w:lineRule="exact"/>
              <w:rPr>
                <w:sz w:val="20"/>
                <w:szCs w:val="20"/>
                <w:color w:val="auto"/>
              </w:rPr>
            </w:pPr>
            <w:r>
              <w:rPr>
                <w:rFonts w:ascii="Arial" w:cs="Arial" w:eastAsia="Arial" w:hAnsi="Arial"/>
                <w:sz w:val="14"/>
                <w:szCs w:val="14"/>
                <w:b w:val="1"/>
                <w:bCs w:val="1"/>
                <w:color w:val="auto"/>
              </w:rPr>
              <w:t>Adjustments to reconcile net income to net cash provided by operating</w:t>
            </w:r>
          </w:p>
        </w:tc>
        <w:tc>
          <w:tcPr>
            <w:tcW w:w="360" w:type="dxa"/>
            <w:vAlign w:val="bottom"/>
            <w:shd w:val="clear" w:color="auto" w:fill="DCE2EF"/>
          </w:tcPr>
          <w:p>
            <w:pPr>
              <w:spacing w:after="0"/>
              <w:rPr>
                <w:sz w:val="13"/>
                <w:szCs w:val="13"/>
                <w:color w:val="auto"/>
              </w:rPr>
            </w:pPr>
          </w:p>
        </w:tc>
        <w:tc>
          <w:tcPr>
            <w:tcW w:w="114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320" w:type="dxa"/>
            <w:vAlign w:val="bottom"/>
            <w:shd w:val="clear" w:color="auto" w:fill="DCE2EF"/>
          </w:tcPr>
          <w:p>
            <w:pPr>
              <w:spacing w:after="0"/>
              <w:rPr>
                <w:sz w:val="13"/>
                <w:szCs w:val="13"/>
                <w:color w:val="auto"/>
              </w:rPr>
            </w:pPr>
          </w:p>
        </w:tc>
        <w:tc>
          <w:tcPr>
            <w:tcW w:w="1120" w:type="dxa"/>
            <w:vAlign w:val="bottom"/>
            <w:shd w:val="clear" w:color="auto" w:fill="DCE2EF"/>
          </w:tcPr>
          <w:p>
            <w:pPr>
              <w:spacing w:after="0"/>
              <w:rPr>
                <w:sz w:val="13"/>
                <w:szCs w:val="13"/>
                <w:color w:val="auto"/>
              </w:rPr>
            </w:pPr>
          </w:p>
        </w:tc>
      </w:tr>
      <w:tr>
        <w:trPr>
          <w:trHeight w:val="185"/>
        </w:trPr>
        <w:tc>
          <w:tcPr>
            <w:tcW w:w="20" w:type="dxa"/>
            <w:vAlign w:val="bottom"/>
            <w:shd w:val="clear" w:color="auto" w:fill="DCE2EF"/>
          </w:tcPr>
          <w:p>
            <w:pPr>
              <w:spacing w:after="0"/>
              <w:rPr>
                <w:sz w:val="16"/>
                <w:szCs w:val="16"/>
                <w:color w:val="auto"/>
              </w:rPr>
            </w:pPr>
          </w:p>
        </w:tc>
        <w:tc>
          <w:tcPr>
            <w:tcW w:w="8160" w:type="dxa"/>
            <w:vAlign w:val="bottom"/>
            <w:gridSpan w:val="2"/>
            <w:shd w:val="clear" w:color="auto" w:fill="DCE2EF"/>
          </w:tcPr>
          <w:p>
            <w:pPr>
              <w:ind w:left="160"/>
              <w:spacing w:after="0"/>
              <w:rPr>
                <w:sz w:val="20"/>
                <w:szCs w:val="20"/>
                <w:color w:val="auto"/>
              </w:rPr>
            </w:pPr>
            <w:r>
              <w:rPr>
                <w:rFonts w:ascii="Arial" w:cs="Arial" w:eastAsia="Arial" w:hAnsi="Arial"/>
                <w:sz w:val="14"/>
                <w:szCs w:val="14"/>
                <w:b w:val="1"/>
                <w:bCs w:val="1"/>
                <w:color w:val="auto"/>
              </w:rPr>
              <w:t>activities</w:t>
            </w:r>
          </w:p>
        </w:tc>
        <w:tc>
          <w:tcPr>
            <w:tcW w:w="36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120" w:type="dxa"/>
            <w:vAlign w:val="bottom"/>
            <w:shd w:val="clear" w:color="auto" w:fill="DCE2E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61.1</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3.3</w:t>
            </w:r>
          </w:p>
        </w:tc>
      </w:tr>
      <w:tr>
        <w:trPr>
          <w:trHeight w:val="198"/>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Share-based compensation expense</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Provision for bad debt</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Discount accretion on insurance claims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(Gain)/Loss on sale of assets</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0.2</w:t>
            </w:r>
          </w:p>
        </w:tc>
      </w:tr>
      <w:tr>
        <w:trPr>
          <w:trHeight w:val="198"/>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Change in fair value of contingent consideration</w:t>
            </w:r>
          </w:p>
        </w:tc>
        <w:tc>
          <w:tcPr>
            <w:tcW w:w="36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Income from unconsolidated affiliates</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(1.7)</w:t>
            </w:r>
          </w:p>
        </w:tc>
      </w:tr>
      <w:tr>
        <w:trPr>
          <w:trHeight w:val="198"/>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Distributions from unconsolidated affiliates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160" w:type="dxa"/>
            <w:vAlign w:val="bottom"/>
            <w:gridSpan w:val="2"/>
          </w:tcPr>
          <w:p>
            <w:pPr>
              <w:ind w:left="340"/>
              <w:spacing w:after="0"/>
              <w:rPr>
                <w:sz w:val="20"/>
                <w:szCs w:val="20"/>
                <w:color w:val="auto"/>
              </w:rPr>
            </w:pPr>
            <w:r>
              <w:rPr>
                <w:rFonts w:ascii="Arial" w:cs="Arial" w:eastAsia="Arial" w:hAnsi="Arial"/>
                <w:sz w:val="14"/>
                <w:szCs w:val="14"/>
                <w:color w:val="auto"/>
              </w:rPr>
              <w:t>Trade accounts receivable and costs incurred in excess of amounts billed</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(93.5)</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(35.9)</w:t>
            </w:r>
          </w:p>
        </w:tc>
      </w:tr>
      <w:tr>
        <w:trPr>
          <w:trHeight w:val="198"/>
        </w:trPr>
        <w:tc>
          <w:tcPr>
            <w:tcW w:w="20" w:type="dxa"/>
            <w:vAlign w:val="bottom"/>
          </w:tcPr>
          <w:p>
            <w:pPr>
              <w:spacing w:after="0"/>
              <w:rPr>
                <w:sz w:val="17"/>
                <w:szCs w:val="17"/>
                <w:color w:val="auto"/>
              </w:rPr>
            </w:pPr>
          </w:p>
        </w:tc>
        <w:tc>
          <w:tcPr>
            <w:tcW w:w="8160" w:type="dxa"/>
            <w:vAlign w:val="bottom"/>
            <w:gridSpan w:val="2"/>
          </w:tcPr>
          <w:p>
            <w:pPr>
              <w:ind w:left="340"/>
              <w:spacing w:after="0"/>
              <w:rPr>
                <w:sz w:val="20"/>
                <w:szCs w:val="20"/>
                <w:color w:val="auto"/>
              </w:rPr>
            </w:pPr>
            <w:r>
              <w:rPr>
                <w:rFonts w:ascii="Arial" w:cs="Arial" w:eastAsia="Arial" w:hAnsi="Arial"/>
                <w:sz w:val="14"/>
                <w:szCs w:val="14"/>
                <w:color w:val="auto"/>
              </w:rPr>
              <w:t>Right-of-use assets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Other noncurrent assets</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22.9</w:t>
            </w:r>
          </w:p>
        </w:tc>
      </w:tr>
      <w:tr>
        <w:trPr>
          <w:trHeight w:val="198"/>
        </w:trPr>
        <w:tc>
          <w:tcPr>
            <w:tcW w:w="20" w:type="dxa"/>
            <w:vAlign w:val="bottom"/>
          </w:tcPr>
          <w:p>
            <w:pPr>
              <w:spacing w:after="0"/>
              <w:rPr>
                <w:sz w:val="17"/>
                <w:szCs w:val="17"/>
                <w:color w:val="auto"/>
              </w:rPr>
            </w:pPr>
          </w:p>
        </w:tc>
        <w:tc>
          <w:tcPr>
            <w:tcW w:w="8160" w:type="dxa"/>
            <w:vAlign w:val="bottom"/>
            <w:gridSpan w:val="2"/>
          </w:tcPr>
          <w:p>
            <w:pPr>
              <w:ind w:left="340"/>
              <w:spacing w:after="0"/>
              <w:rPr>
                <w:sz w:val="20"/>
                <w:szCs w:val="20"/>
                <w:color w:val="auto"/>
              </w:rPr>
            </w:pPr>
            <w:r>
              <w:rPr>
                <w:rFonts w:ascii="Arial" w:cs="Arial" w:eastAsia="Arial" w:hAnsi="Arial"/>
                <w:sz w:val="14"/>
                <w:szCs w:val="14"/>
                <w:color w:val="auto"/>
              </w:rPr>
              <w:t>Trade accounts payable and other accrued liabilities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(118.1)</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Long-term lease liabilities</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(6.5)</w:t>
            </w:r>
          </w:p>
        </w:tc>
      </w:tr>
      <w:tr>
        <w:trPr>
          <w:trHeight w:val="198"/>
        </w:trPr>
        <w:tc>
          <w:tcPr>
            <w:tcW w:w="20" w:type="dxa"/>
            <w:vAlign w:val="bottom"/>
          </w:tcPr>
          <w:p>
            <w:pPr>
              <w:spacing w:after="0"/>
              <w:rPr>
                <w:sz w:val="17"/>
                <w:szCs w:val="17"/>
                <w:color w:val="auto"/>
              </w:rPr>
            </w:pPr>
          </w:p>
        </w:tc>
        <w:tc>
          <w:tcPr>
            <w:tcW w:w="8160" w:type="dxa"/>
            <w:vAlign w:val="bottom"/>
            <w:gridSpan w:val="2"/>
          </w:tcPr>
          <w:p>
            <w:pPr>
              <w:ind w:left="340"/>
              <w:spacing w:after="0"/>
              <w:rPr>
                <w:sz w:val="20"/>
                <w:szCs w:val="20"/>
                <w:color w:val="auto"/>
              </w:rPr>
            </w:pPr>
            <w:r>
              <w:rPr>
                <w:rFonts w:ascii="Arial" w:cs="Arial" w:eastAsia="Arial" w:hAnsi="Arial"/>
                <w:sz w:val="14"/>
                <w:szCs w:val="14"/>
                <w:color w:val="auto"/>
              </w:rPr>
              <w:t>Insurance claims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25.4</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Income taxes payable, net</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(4.0)</w:t>
            </w:r>
          </w:p>
        </w:tc>
      </w:tr>
      <w:tr>
        <w:trPr>
          <w:trHeight w:val="198"/>
        </w:trPr>
        <w:tc>
          <w:tcPr>
            <w:tcW w:w="20" w:type="dxa"/>
            <w:vAlign w:val="bottom"/>
            <w:tcBorders>
              <w:bottom w:val="single" w:sz="8" w:color="DCE2EF"/>
            </w:tcBorders>
          </w:tcPr>
          <w:p>
            <w:pPr>
              <w:spacing w:after="0"/>
              <w:rPr>
                <w:sz w:val="17"/>
                <w:szCs w:val="17"/>
                <w:color w:val="auto"/>
              </w:rPr>
            </w:pPr>
          </w:p>
        </w:tc>
        <w:tc>
          <w:tcPr>
            <w:tcW w:w="8160" w:type="dxa"/>
            <w:vAlign w:val="bottom"/>
            <w:tcBorders>
              <w:bottom w:val="single" w:sz="8" w:color="DCE2EF"/>
            </w:tcBorders>
            <w:gridSpan w:val="2"/>
          </w:tcPr>
          <w:p>
            <w:pPr>
              <w:ind w:left="340"/>
              <w:spacing w:after="0"/>
              <w:rPr>
                <w:sz w:val="20"/>
                <w:szCs w:val="20"/>
                <w:color w:val="auto"/>
              </w:rPr>
            </w:pPr>
            <w:r>
              <w:rPr>
                <w:rFonts w:ascii="Arial" w:cs="Arial" w:eastAsia="Arial" w:hAnsi="Arial"/>
                <w:sz w:val="14"/>
                <w:szCs w:val="14"/>
                <w:color w:val="auto"/>
              </w:rPr>
              <w:t>Other noncurrent liabilities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00"/>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Total adjustments</w:t>
            </w:r>
          </w:p>
        </w:tc>
        <w:tc>
          <w:tcPr>
            <w:tcW w:w="360" w:type="dxa"/>
            <w:vAlign w:val="bottom"/>
            <w:tcBorders>
              <w:bottom w:val="single" w:sz="8" w:color="auto"/>
            </w:tcBorders>
            <w:shd w:val="clear" w:color="auto" w:fill="DCE2EF"/>
          </w:tcPr>
          <w:p>
            <w:pPr>
              <w:spacing w:after="0"/>
              <w:rPr>
                <w:sz w:val="17"/>
                <w:szCs w:val="17"/>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(135.4)</w:t>
            </w:r>
          </w:p>
        </w:tc>
      </w:tr>
      <w:tr>
        <w:trPr>
          <w:trHeight w:val="195"/>
        </w:trPr>
        <w:tc>
          <w:tcPr>
            <w:tcW w:w="20" w:type="dxa"/>
            <w:vAlign w:val="bottom"/>
            <w:tcBorders>
              <w:bottom w:val="single" w:sz="8" w:color="DCE2EF"/>
            </w:tcBorders>
          </w:tcPr>
          <w:p>
            <w:pPr>
              <w:spacing w:after="0"/>
              <w:rPr>
                <w:sz w:val="16"/>
                <w:szCs w:val="16"/>
                <w:color w:val="auto"/>
              </w:rPr>
            </w:pPr>
          </w:p>
        </w:tc>
        <w:tc>
          <w:tcPr>
            <w:tcW w:w="8160" w:type="dxa"/>
            <w:vAlign w:val="bottom"/>
            <w:tcBorders>
              <w:bottom w:val="single" w:sz="8" w:color="DCE2EF"/>
            </w:tcBorders>
            <w:gridSpan w:val="2"/>
          </w:tcPr>
          <w:p>
            <w:pPr>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116.9</w:t>
            </w:r>
          </w:p>
        </w:tc>
        <w:tc>
          <w:tcPr>
            <w:tcW w:w="120" w:type="dxa"/>
            <w:vAlign w:val="bottom"/>
            <w:tcBorders>
              <w:bottom w:val="single" w:sz="8" w:color="DCE2E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w:t>
            </w:r>
          </w:p>
        </w:tc>
      </w:tr>
      <w:tr>
        <w:trPr>
          <w:trHeight w:val="184"/>
        </w:trPr>
        <w:tc>
          <w:tcPr>
            <w:tcW w:w="20" w:type="dxa"/>
            <w:vAlign w:val="bottom"/>
            <w:shd w:val="clear" w:color="auto" w:fill="DCE2EF"/>
          </w:tcPr>
          <w:p>
            <w:pPr>
              <w:spacing w:after="0"/>
              <w:rPr>
                <w:sz w:val="15"/>
                <w:szCs w:val="15"/>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shd w:val="clear" w:color="auto" w:fill="DCE2EF"/>
          </w:tcPr>
          <w:p>
            <w:pPr>
              <w:spacing w:after="0"/>
              <w:rPr>
                <w:sz w:val="15"/>
                <w:szCs w:val="15"/>
                <w:color w:val="auto"/>
              </w:rPr>
            </w:pPr>
          </w:p>
        </w:tc>
        <w:tc>
          <w:tcPr>
            <w:tcW w:w="114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20" w:type="dxa"/>
            <w:vAlign w:val="bottom"/>
            <w:shd w:val="clear" w:color="auto" w:fill="DCE2EF"/>
          </w:tcPr>
          <w:p>
            <w:pPr>
              <w:spacing w:after="0"/>
              <w:rPr>
                <w:sz w:val="15"/>
                <w:szCs w:val="15"/>
                <w:color w:val="auto"/>
              </w:rPr>
            </w:pPr>
          </w:p>
        </w:tc>
        <w:tc>
          <w:tcPr>
            <w:tcW w:w="1120" w:type="dxa"/>
            <w:vAlign w:val="bottom"/>
            <w:shd w:val="clear" w:color="auto" w:fill="DCE2E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Additions to property, plant and equipment</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(23.8)</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Proceeds from sale of assets</w:t>
            </w:r>
          </w:p>
        </w:tc>
        <w:tc>
          <w:tcPr>
            <w:tcW w:w="360" w:type="dxa"/>
            <w:vAlign w:val="bottom"/>
            <w:tcBorders>
              <w:bottom w:val="single" w:sz="8" w:color="auto"/>
            </w:tcBorders>
            <w:shd w:val="clear" w:color="auto" w:fill="DCE2EF"/>
          </w:tcPr>
          <w:p>
            <w:pPr>
              <w:spacing w:after="0"/>
              <w:rPr>
                <w:sz w:val="17"/>
                <w:szCs w:val="17"/>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1.6</w:t>
            </w:r>
          </w:p>
        </w:tc>
      </w:tr>
      <w:tr>
        <w:trPr>
          <w:trHeight w:val="195"/>
        </w:trPr>
        <w:tc>
          <w:tcPr>
            <w:tcW w:w="20" w:type="dxa"/>
            <w:vAlign w:val="bottom"/>
            <w:tcBorders>
              <w:bottom w:val="single" w:sz="8" w:color="DCE2EF"/>
            </w:tcBorders>
          </w:tcPr>
          <w:p>
            <w:pPr>
              <w:spacing w:after="0"/>
              <w:rPr>
                <w:sz w:val="16"/>
                <w:szCs w:val="16"/>
                <w:color w:val="auto"/>
              </w:rPr>
            </w:pPr>
          </w:p>
        </w:tc>
        <w:tc>
          <w:tcPr>
            <w:tcW w:w="8160" w:type="dxa"/>
            <w:vAlign w:val="bottom"/>
            <w:tcBorders>
              <w:bottom w:val="single" w:sz="8" w:color="DCE2EF"/>
            </w:tcBorders>
            <w:gridSpan w:val="2"/>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Borders>
              <w:bottom w:val="single" w:sz="8" w:color="DCE2E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r>
      <w:tr>
        <w:trPr>
          <w:trHeight w:val="183"/>
        </w:trPr>
        <w:tc>
          <w:tcPr>
            <w:tcW w:w="20" w:type="dxa"/>
            <w:vAlign w:val="bottom"/>
            <w:shd w:val="clear" w:color="auto" w:fill="DCE2EF"/>
          </w:tcPr>
          <w:p>
            <w:pPr>
              <w:spacing w:after="0"/>
              <w:rPr>
                <w:sz w:val="15"/>
                <w:szCs w:val="15"/>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DCE2EF"/>
          </w:tcPr>
          <w:p>
            <w:pPr>
              <w:spacing w:after="0"/>
              <w:rPr>
                <w:sz w:val="15"/>
                <w:szCs w:val="15"/>
                <w:color w:val="auto"/>
              </w:rPr>
            </w:pPr>
          </w:p>
        </w:tc>
        <w:tc>
          <w:tcPr>
            <w:tcW w:w="114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20" w:type="dxa"/>
            <w:vAlign w:val="bottom"/>
            <w:shd w:val="clear" w:color="auto" w:fill="DCE2EF"/>
          </w:tcPr>
          <w:p>
            <w:pPr>
              <w:spacing w:after="0"/>
              <w:rPr>
                <w:sz w:val="15"/>
                <w:szCs w:val="15"/>
                <w:color w:val="auto"/>
              </w:rPr>
            </w:pPr>
          </w:p>
        </w:tc>
        <w:tc>
          <w:tcPr>
            <w:tcW w:w="1120" w:type="dxa"/>
            <w:vAlign w:val="bottom"/>
            <w:shd w:val="clear" w:color="auto" w:fill="DCE2EF"/>
          </w:tcPr>
          <w:p>
            <w:pPr>
              <w:spacing w:after="0"/>
              <w:rPr>
                <w:sz w:val="15"/>
                <w:szCs w:val="15"/>
                <w:color w:val="auto"/>
              </w:rPr>
            </w:pPr>
          </w:p>
        </w:tc>
      </w:tr>
      <w:tr>
        <w:trPr>
          <w:trHeight w:val="199"/>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Taxes withheld from issuance of share-based compensation awards, net</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06"/>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Repurchases of common stock, including excise taxes</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Dividends paid</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(29.0)</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Borrowings from debt</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556.0</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575.5</w:t>
            </w:r>
          </w:p>
        </w:tc>
      </w:tr>
      <w:tr>
        <w:trPr>
          <w:trHeight w:val="198"/>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Repayment of borrowings from debt</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(597.3)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(459.8)</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Changes in book cash overdrafts</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(11.0)</w:t>
            </w:r>
          </w:p>
        </w:tc>
      </w:tr>
      <w:tr>
        <w:trPr>
          <w:trHeight w:val="198"/>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Financing of energy savings performance contracts</w:t>
            </w:r>
          </w:p>
        </w:tc>
        <w:tc>
          <w:tcPr>
            <w:tcW w:w="36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Repayment of finance lease obligations</w:t>
            </w:r>
          </w:p>
        </w:tc>
        <w:tc>
          <w:tcPr>
            <w:tcW w:w="360" w:type="dxa"/>
            <w:vAlign w:val="bottom"/>
            <w:tcBorders>
              <w:bottom w:val="single" w:sz="8" w:color="auto"/>
            </w:tcBorders>
            <w:shd w:val="clear" w:color="auto" w:fill="DCE2EF"/>
          </w:tcPr>
          <w:p>
            <w:pPr>
              <w:spacing w:after="0"/>
              <w:rPr>
                <w:sz w:val="17"/>
                <w:szCs w:val="17"/>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(1.5)</w:t>
            </w:r>
          </w:p>
        </w:tc>
      </w:tr>
      <w:tr>
        <w:trPr>
          <w:trHeight w:val="195"/>
        </w:trPr>
        <w:tc>
          <w:tcPr>
            <w:tcW w:w="20" w:type="dxa"/>
            <w:vAlign w:val="bottom"/>
            <w:tcBorders>
              <w:bottom w:val="single" w:sz="8" w:color="DCE2EF"/>
            </w:tcBorders>
          </w:tcPr>
          <w:p>
            <w:pPr>
              <w:spacing w:after="0"/>
              <w:rPr>
                <w:sz w:val="16"/>
                <w:szCs w:val="16"/>
                <w:color w:val="auto"/>
              </w:rPr>
            </w:pPr>
          </w:p>
        </w:tc>
        <w:tc>
          <w:tcPr>
            <w:tcW w:w="8160" w:type="dxa"/>
            <w:vAlign w:val="bottom"/>
            <w:tcBorders>
              <w:bottom w:val="single" w:sz="8" w:color="DCE2EF"/>
            </w:tcBorders>
            <w:gridSpan w:val="2"/>
          </w:tcPr>
          <w:p>
            <w:pPr>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w:t>
            </w:r>
          </w:p>
        </w:tc>
        <w:tc>
          <w:tcPr>
            <w:tcW w:w="120" w:type="dxa"/>
            <w:vAlign w:val="bottom"/>
            <w:tcBorders>
              <w:bottom w:val="single" w:sz="8" w:color="DCE2E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w:t>
            </w:r>
          </w:p>
        </w:tc>
      </w:tr>
      <w:tr>
        <w:trPr>
          <w:trHeight w:val="19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360" w:type="dxa"/>
            <w:vAlign w:val="bottom"/>
            <w:tcBorders>
              <w:bottom w:val="single" w:sz="8" w:color="auto"/>
            </w:tcBorders>
            <w:shd w:val="clear" w:color="auto" w:fill="DCE2EF"/>
          </w:tcPr>
          <w:p>
            <w:pPr>
              <w:spacing w:after="0"/>
              <w:rPr>
                <w:sz w:val="17"/>
                <w:szCs w:val="17"/>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2.6</w:t>
            </w:r>
          </w:p>
        </w:tc>
      </w:tr>
      <w:tr>
        <w:trPr>
          <w:trHeight w:val="195"/>
        </w:trPr>
        <w:tc>
          <w:tcPr>
            <w:tcW w:w="20" w:type="dxa"/>
            <w:vAlign w:val="bottom"/>
          </w:tcPr>
          <w:p>
            <w:pPr>
              <w:spacing w:after="0"/>
              <w:rPr>
                <w:sz w:val="16"/>
                <w:szCs w:val="16"/>
                <w:color w:val="auto"/>
              </w:rPr>
            </w:pPr>
          </w:p>
        </w:tc>
        <w:tc>
          <w:tcPr>
            <w:tcW w:w="8160" w:type="dxa"/>
            <w:vAlign w:val="bottom"/>
            <w:gridSpan w:val="2"/>
          </w:tcPr>
          <w:p>
            <w:pPr>
              <w:spacing w:after="0"/>
              <w:rPr>
                <w:sz w:val="20"/>
                <w:szCs w:val="20"/>
                <w:color w:val="auto"/>
              </w:rPr>
            </w:pPr>
            <w:r>
              <w:rPr>
                <w:rFonts w:ascii="Arial" w:cs="Arial" w:eastAsia="Arial" w:hAnsi="Arial"/>
                <w:sz w:val="14"/>
                <w:szCs w:val="14"/>
                <w:b w:val="1"/>
                <w:bCs w:val="1"/>
                <w:color w:val="auto"/>
              </w:rPr>
              <w:t>Net decrease in cash and cash equivalents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3"/>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360" w:type="dxa"/>
            <w:vAlign w:val="bottom"/>
            <w:tcBorders>
              <w:bottom w:val="single" w:sz="8" w:color="auto"/>
            </w:tcBorders>
            <w:shd w:val="clear" w:color="auto" w:fill="DCE2EF"/>
          </w:tcPr>
          <w:p>
            <w:pPr>
              <w:spacing w:after="0"/>
              <w:rPr>
                <w:sz w:val="17"/>
                <w:szCs w:val="17"/>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69.5</w:t>
            </w:r>
          </w:p>
        </w:tc>
        <w:tc>
          <w:tcPr>
            <w:tcW w:w="12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73.0</w:t>
            </w:r>
          </w:p>
        </w:tc>
      </w:tr>
      <w:tr>
        <w:trPr>
          <w:trHeight w:val="197"/>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ABM is a leading provider of integrated facility services with a mission to make a difference, every person, every day. We are organized into four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74930</wp:posOffset>
            </wp:positionV>
            <wp:extent cx="4989195" cy="942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8919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Through these groups, we offer janitorial, facilities engineering, parking, and specialized mechanical and electrical technical solutions, on a standalone basis or in combination with other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Basis of Presentation</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(i) United States generally accepted accounting principles (“U.S. GAAP”) for interim financial information and (ii) the instructions to Form 10-Q and Article 10 of Regulation S-X. In the opinion of our management, our unaudited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The Financial Statements should be read in conjunction with our audited consolidated financial statements (and notes thereto) in our Annual Report on Form 10-K for the year ended October 31, 2023. Unless otherwise indicated, all references to years are to our fiscal years, which end on October 31.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Rounding</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Management Reimbursement Revenue by Segment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certain parking facilities under management reimbursement arrangements. Under these arrangements, we manage the parking facilities for management fees and pass through the revenues and expenses associated with the facilities to the owners. These revenues and expenses are reported in equal amounts as costs reimbursed from our managed locations. Management reimbursement revenue for the three and six months ended April 30, 2024, was $76.9 million and $157.0 million, respectively. Management reimbursement revenue for the three and six months ended April 30, 2023, was $73.5 million and $146.0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Recently Adopted Accounting Standards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September 2022, the FASB issued ASU 2022-04, </w:t>
      </w:r>
      <w:r>
        <w:rPr>
          <w:rFonts w:ascii="Arial" w:cs="Arial" w:eastAsia="Arial" w:hAnsi="Arial"/>
          <w:sz w:val="18"/>
          <w:szCs w:val="18"/>
          <w:i w:val="1"/>
          <w:iCs w:val="1"/>
          <w:color w:val="auto"/>
        </w:rPr>
        <w:t>Liabilities — Supplier Finance Programs (Subtopic 405-50): 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Supplier Finance Program Obligations</w:t>
      </w:r>
      <w:r>
        <w:rPr>
          <w:rFonts w:ascii="Arial" w:cs="Arial" w:eastAsia="Arial" w:hAnsi="Arial"/>
          <w:sz w:val="18"/>
          <w:szCs w:val="18"/>
          <w:color w:val="auto"/>
        </w:rPr>
        <w:t>, designed to enhance transparency around supplier finance programs by requiring new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allow a user of the financial statements to understand the program’s nature, activity during the period, changes from period to period, and potential magnitude. This ASU is effective for fiscal years beginning after December 15, 2022, including interim periods within those fiscal years, except for the amendment on rollforward information, which is effective for fiscal years beginning after December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 w:name="page11"/>
    <w:bookmarkEnd w:id="10"/>
    <w:p>
      <w:pPr>
        <w:jc w:val="both"/>
        <w:spacing w:after="0" w:line="268" w:lineRule="auto"/>
        <w:rPr>
          <w:sz w:val="20"/>
          <w:szCs w:val="20"/>
          <w:color w:val="auto"/>
        </w:rPr>
      </w:pPr>
      <w:r>
        <w:rPr>
          <w:rFonts w:ascii="Arial" w:cs="Arial" w:eastAsia="Arial" w:hAnsi="Arial"/>
          <w:sz w:val="18"/>
          <w:szCs w:val="18"/>
          <w:color w:val="auto"/>
        </w:rPr>
        <w:t>15, 2023, with early adoption permitted. We adopted this standard, effective November 1, 2023, on a prospective basis, except for the rollforward requirement, which becomes effective in fiscal year 2025. We do not participate in any material supplier finance programs and, as such, the adoption of this guidance did not have an impact on our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0046AD"/>
        </w:rPr>
        <w:t>3.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 of RavenVolt</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September 1, 2022, we completed the acquisition of all of the equity interests of RavenVolt, Inc. (“RavenVolt”), a nationwide provider of advanced turn-key microgrid systems utilized by diversified commercial and industrial customers, national retailers, utilities, and municipalities. RavenVolt’s operations are included within our Technical Solutions segment.</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purchase price for the acquisition was approximately $170.0 million in cash at closing (subject to customary working capital and net debt adjustments) plus the potential of post-closing contingent consideration of up to $280.0 million. The post-closing contingent consideration would be payable in cash in calendar years 2024, 2025, and 2026 if RavenVolt’s earnings before interest, taxes, depreciation, and amortization (“EBITDA”), as defined in the RavenVolt merger agreement, meets or exceeds certain defined targets. In 2024, defined EBITDA targets were not achieved, and as a result, no contingent consideration payment was made in 2024 for calendar year 2023. The maximum remaining contingent consideration that is payable in calendar years 2025 and 2026 is $75.0 million and $130.0 million, respectively. If the EBITDA achieved for calendar years 2023–2025 cumulatively meets the defined EBITDA targets, the entire $280.0 million would be paid in calendar year 2026, minus any earn-out payments made in 2024 and 2025. The estimate of the fair value of the contingent consideration on the date of acquisition was $59.0 million.</w:t>
      </w:r>
    </w:p>
    <w:p>
      <w:pPr>
        <w:spacing w:after="0" w:line="12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At October 31, 2023, the estimate of the fair value of the contingent consideration was $13.4 million. There was no material change in the fair value of the contingent consideration during the three and six months ended April 30, 2024.</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0046AD"/>
        </w:rPr>
        <w:t>4.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Disaggregation of Revenues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generate revenues under several types of contracts, which are further explained below. Generally, the type of contract is determined by the nature of the services provided by each of our major service lines throughout our reportable segments; therefore, we disaggregate revenues from contracts with customers into major service lines. We have determined that disaggregating revenues into these categories best depicts how the nature, amount, timing, and uncertainty of revenues and cash flows are affected by economic factors. Our reportable segments are B&amp;I, M&amp;D, Education, Aviation, and Technical Solutions, as described in Note 12, “Segment Information.”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11"/>
          </w:tcPr>
          <w:p>
            <w:pPr>
              <w:ind w:left="420"/>
              <w:spacing w:after="0"/>
              <w:rPr>
                <w:sz w:val="20"/>
                <w:szCs w:val="20"/>
                <w:color w:val="auto"/>
              </w:rPr>
            </w:pPr>
            <w:r>
              <w:rPr>
                <w:rFonts w:ascii="Arial" w:cs="Arial" w:eastAsia="Arial" w:hAnsi="Arial"/>
                <w:sz w:val="14"/>
                <w:szCs w:val="14"/>
                <w:b w:val="1"/>
                <w:bCs w:val="1"/>
                <w:color w:val="auto"/>
              </w:rPr>
              <w:t>Three Months Ended April 30, 2024</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11"/>
          </w:tcPr>
          <w:p>
            <w:pPr>
              <w:ind w:left="460"/>
              <w:spacing w:after="0"/>
              <w:rPr>
                <w:sz w:val="20"/>
                <w:szCs w:val="20"/>
                <w:color w:val="auto"/>
              </w:rPr>
            </w:pPr>
            <w:r>
              <w:rPr>
                <w:rFonts w:ascii="Arial" w:cs="Arial" w:eastAsia="Arial" w:hAnsi="Arial"/>
                <w:sz w:val="14"/>
                <w:szCs w:val="14"/>
                <w:b w:val="1"/>
                <w:bCs w:val="1"/>
                <w:color w:val="auto"/>
              </w:rPr>
              <w:t>Six Months Ended April 30, 2024</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1"/>
                <w:szCs w:val="11"/>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B&amp;I</w:t>
            </w: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M&amp;D</w:t>
            </w:r>
          </w:p>
        </w:tc>
        <w:tc>
          <w:tcPr>
            <w:tcW w:w="10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Education</w:t>
            </w:r>
          </w:p>
        </w:tc>
        <w:tc>
          <w:tcPr>
            <w:tcW w:w="12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Aviation</w:t>
            </w:r>
          </w:p>
        </w:tc>
        <w:tc>
          <w:tcPr>
            <w:tcW w:w="120" w:type="dxa"/>
            <w:vAlign w:val="bottom"/>
          </w:tcPr>
          <w:p>
            <w:pPr>
              <w:spacing w:after="0"/>
              <w:rPr>
                <w:sz w:val="11"/>
                <w:szCs w:val="11"/>
                <w:color w:val="auto"/>
              </w:rPr>
            </w:pPr>
          </w:p>
        </w:tc>
        <w:tc>
          <w:tcPr>
            <w:tcW w:w="80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Technical</w:t>
            </w: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B&amp;I</w:t>
            </w:r>
          </w:p>
        </w:tc>
        <w:tc>
          <w:tcPr>
            <w:tcW w:w="16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M&amp;D</w:t>
            </w:r>
          </w:p>
        </w:tc>
        <w:tc>
          <w:tcPr>
            <w:tcW w:w="10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Education</w:t>
            </w:r>
          </w:p>
        </w:tc>
        <w:tc>
          <w:tcPr>
            <w:tcW w:w="12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Aviation</w:t>
            </w:r>
          </w:p>
        </w:tc>
        <w:tc>
          <w:tcPr>
            <w:tcW w:w="10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3"/>
                <w:szCs w:val="13"/>
                <w:b w:val="1"/>
                <w:bCs w:val="1"/>
                <w:color w:val="auto"/>
              </w:rPr>
              <w:t>Technical</w:t>
            </w:r>
          </w:p>
        </w:tc>
        <w:tc>
          <w:tcPr>
            <w:tcW w:w="140" w:type="dxa"/>
            <w:vAlign w:val="bottom"/>
          </w:tcPr>
          <w:p>
            <w:pPr>
              <w:spacing w:after="0"/>
              <w:rPr>
                <w:sz w:val="11"/>
                <w:szCs w:val="11"/>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Solutions</w:t>
            </w: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rPr>
              <w:t>Solutions</w:t>
            </w: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top w:val="single" w:sz="8" w:color="auto"/>
              <w:bottom w:val="single" w:sz="8" w:color="DCE2EF"/>
            </w:tcBorders>
          </w:tcPr>
          <w:p>
            <w:pPr>
              <w:spacing w:after="0" w:line="20" w:lineRule="exact"/>
              <w:rPr>
                <w:sz w:val="1"/>
                <w:szCs w:val="1"/>
                <w:color w:val="auto"/>
              </w:rPr>
            </w:pPr>
          </w:p>
        </w:tc>
        <w:tc>
          <w:tcPr>
            <w:tcW w:w="46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DCE2EF"/>
          </w:tcPr>
          <w:p>
            <w:pPr>
              <w:spacing w:after="0"/>
              <w:rPr>
                <w:sz w:val="10"/>
                <w:szCs w:val="10"/>
                <w:color w:val="auto"/>
              </w:rPr>
            </w:pPr>
          </w:p>
        </w:tc>
        <w:tc>
          <w:tcPr>
            <w:tcW w:w="1140" w:type="dxa"/>
            <w:vAlign w:val="bottom"/>
            <w:gridSpan w:val="2"/>
            <w:shd w:val="clear" w:color="auto" w:fill="DCE2EF"/>
          </w:tcPr>
          <w:p>
            <w:pPr>
              <w:spacing w:after="0" w:line="115" w:lineRule="exact"/>
              <w:rPr>
                <w:sz w:val="20"/>
                <w:szCs w:val="20"/>
                <w:color w:val="auto"/>
              </w:rPr>
            </w:pPr>
            <w:r>
              <w:rPr>
                <w:rFonts w:ascii="Arial" w:cs="Arial" w:eastAsia="Arial" w:hAnsi="Arial"/>
                <w:sz w:val="13"/>
                <w:szCs w:val="13"/>
                <w:b w:val="1"/>
                <w:bCs w:val="1"/>
                <w:color w:val="auto"/>
              </w:rPr>
              <w:t>Major Service</w:t>
            </w:r>
          </w:p>
        </w:tc>
        <w:tc>
          <w:tcPr>
            <w:tcW w:w="160" w:type="dxa"/>
            <w:vAlign w:val="bottom"/>
            <w:shd w:val="clear" w:color="auto" w:fill="DCE2EF"/>
          </w:tcPr>
          <w:p>
            <w:pPr>
              <w:spacing w:after="0"/>
              <w:rPr>
                <w:sz w:val="10"/>
                <w:szCs w:val="10"/>
                <w:color w:val="auto"/>
              </w:rPr>
            </w:pPr>
          </w:p>
        </w:tc>
        <w:tc>
          <w:tcPr>
            <w:tcW w:w="52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140" w:type="dxa"/>
            <w:vAlign w:val="bottom"/>
            <w:shd w:val="clear" w:color="auto" w:fill="DCE2EF"/>
          </w:tcPr>
          <w:p>
            <w:pPr>
              <w:spacing w:after="0"/>
              <w:rPr>
                <w:sz w:val="10"/>
                <w:szCs w:val="10"/>
                <w:color w:val="auto"/>
              </w:rPr>
            </w:pPr>
          </w:p>
        </w:tc>
        <w:tc>
          <w:tcPr>
            <w:tcW w:w="54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720" w:type="dxa"/>
            <w:vAlign w:val="bottom"/>
            <w:shd w:val="clear" w:color="auto" w:fill="DCE2EF"/>
          </w:tcPr>
          <w:p>
            <w:pPr>
              <w:spacing w:after="0"/>
              <w:rPr>
                <w:sz w:val="10"/>
                <w:szCs w:val="10"/>
                <w:color w:val="auto"/>
              </w:rPr>
            </w:pPr>
          </w:p>
        </w:tc>
        <w:tc>
          <w:tcPr>
            <w:tcW w:w="80" w:type="dxa"/>
            <w:vAlign w:val="bottom"/>
            <w:shd w:val="clear" w:color="auto" w:fill="DCE2EF"/>
          </w:tcPr>
          <w:p>
            <w:pPr>
              <w:spacing w:after="0"/>
              <w:rPr>
                <w:sz w:val="10"/>
                <w:szCs w:val="10"/>
                <w:color w:val="auto"/>
              </w:rPr>
            </w:pPr>
          </w:p>
        </w:tc>
        <w:tc>
          <w:tcPr>
            <w:tcW w:w="120" w:type="dxa"/>
            <w:vAlign w:val="bottom"/>
            <w:shd w:val="clear" w:color="auto" w:fill="DCE2EF"/>
          </w:tcPr>
          <w:p>
            <w:pPr>
              <w:spacing w:after="0"/>
              <w:rPr>
                <w:sz w:val="10"/>
                <w:szCs w:val="10"/>
                <w:color w:val="auto"/>
              </w:rPr>
            </w:pPr>
          </w:p>
        </w:tc>
        <w:tc>
          <w:tcPr>
            <w:tcW w:w="660" w:type="dxa"/>
            <w:vAlign w:val="bottom"/>
            <w:shd w:val="clear" w:color="auto" w:fill="DCE2EF"/>
          </w:tcPr>
          <w:p>
            <w:pPr>
              <w:spacing w:after="0"/>
              <w:rPr>
                <w:sz w:val="10"/>
                <w:szCs w:val="10"/>
                <w:color w:val="auto"/>
              </w:rPr>
            </w:pPr>
          </w:p>
        </w:tc>
        <w:tc>
          <w:tcPr>
            <w:tcW w:w="80" w:type="dxa"/>
            <w:vAlign w:val="bottom"/>
            <w:shd w:val="clear" w:color="auto" w:fill="DCE2EF"/>
          </w:tcPr>
          <w:p>
            <w:pPr>
              <w:spacing w:after="0"/>
              <w:rPr>
                <w:sz w:val="10"/>
                <w:szCs w:val="10"/>
                <w:color w:val="auto"/>
              </w:rPr>
            </w:pPr>
          </w:p>
        </w:tc>
        <w:tc>
          <w:tcPr>
            <w:tcW w:w="120" w:type="dxa"/>
            <w:vAlign w:val="bottom"/>
            <w:shd w:val="clear" w:color="auto" w:fill="DCE2EF"/>
          </w:tcPr>
          <w:p>
            <w:pPr>
              <w:spacing w:after="0"/>
              <w:rPr>
                <w:sz w:val="10"/>
                <w:szCs w:val="10"/>
                <w:color w:val="auto"/>
              </w:rPr>
            </w:pPr>
          </w:p>
        </w:tc>
        <w:tc>
          <w:tcPr>
            <w:tcW w:w="70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140" w:type="dxa"/>
            <w:vAlign w:val="bottom"/>
            <w:shd w:val="clear" w:color="auto" w:fill="DCE2EF"/>
          </w:tcPr>
          <w:p>
            <w:pPr>
              <w:spacing w:after="0"/>
              <w:rPr>
                <w:sz w:val="10"/>
                <w:szCs w:val="10"/>
                <w:color w:val="auto"/>
              </w:rPr>
            </w:pPr>
          </w:p>
        </w:tc>
        <w:tc>
          <w:tcPr>
            <w:tcW w:w="56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160" w:type="dxa"/>
            <w:vAlign w:val="bottom"/>
            <w:shd w:val="clear" w:color="auto" w:fill="DCE2EF"/>
          </w:tcPr>
          <w:p>
            <w:pPr>
              <w:spacing w:after="0"/>
              <w:rPr>
                <w:sz w:val="10"/>
                <w:szCs w:val="10"/>
                <w:color w:val="auto"/>
              </w:rPr>
            </w:pPr>
          </w:p>
        </w:tc>
        <w:tc>
          <w:tcPr>
            <w:tcW w:w="58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160" w:type="dxa"/>
            <w:vAlign w:val="bottom"/>
            <w:shd w:val="clear" w:color="auto" w:fill="DCE2EF"/>
          </w:tcPr>
          <w:p>
            <w:pPr>
              <w:spacing w:after="0"/>
              <w:rPr>
                <w:sz w:val="10"/>
                <w:szCs w:val="10"/>
                <w:color w:val="auto"/>
              </w:rPr>
            </w:pPr>
          </w:p>
        </w:tc>
        <w:tc>
          <w:tcPr>
            <w:tcW w:w="56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720" w:type="dxa"/>
            <w:vAlign w:val="bottom"/>
            <w:shd w:val="clear" w:color="auto" w:fill="DCE2EF"/>
          </w:tcPr>
          <w:p>
            <w:pPr>
              <w:spacing w:after="0"/>
              <w:rPr>
                <w:sz w:val="10"/>
                <w:szCs w:val="10"/>
                <w:color w:val="auto"/>
              </w:rPr>
            </w:pPr>
          </w:p>
        </w:tc>
        <w:tc>
          <w:tcPr>
            <w:tcW w:w="80" w:type="dxa"/>
            <w:vAlign w:val="bottom"/>
            <w:shd w:val="clear" w:color="auto" w:fill="DCE2EF"/>
          </w:tcPr>
          <w:p>
            <w:pPr>
              <w:spacing w:after="0"/>
              <w:rPr>
                <w:sz w:val="10"/>
                <w:szCs w:val="10"/>
                <w:color w:val="auto"/>
              </w:rPr>
            </w:pPr>
          </w:p>
        </w:tc>
        <w:tc>
          <w:tcPr>
            <w:tcW w:w="120" w:type="dxa"/>
            <w:vAlign w:val="bottom"/>
            <w:shd w:val="clear" w:color="auto" w:fill="DCE2EF"/>
          </w:tcPr>
          <w:p>
            <w:pPr>
              <w:spacing w:after="0"/>
              <w:rPr>
                <w:sz w:val="10"/>
                <w:szCs w:val="10"/>
                <w:color w:val="auto"/>
              </w:rPr>
            </w:pPr>
          </w:p>
        </w:tc>
        <w:tc>
          <w:tcPr>
            <w:tcW w:w="64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70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140" w:type="dxa"/>
            <w:vAlign w:val="bottom"/>
            <w:shd w:val="clear" w:color="auto" w:fill="DCE2EF"/>
          </w:tcPr>
          <w:p>
            <w:pPr>
              <w:spacing w:after="0"/>
              <w:rPr>
                <w:sz w:val="10"/>
                <w:szCs w:val="10"/>
                <w:color w:val="auto"/>
              </w:rPr>
            </w:pPr>
          </w:p>
        </w:tc>
        <w:tc>
          <w:tcPr>
            <w:tcW w:w="580" w:type="dxa"/>
            <w:vAlign w:val="bottom"/>
            <w:shd w:val="clear" w:color="auto" w:fill="DCE2E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11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Line</w:t>
            </w:r>
          </w:p>
        </w:tc>
        <w:tc>
          <w:tcPr>
            <w:tcW w:w="160" w:type="dxa"/>
            <w:vAlign w:val="bottom"/>
            <w:shd w:val="clear" w:color="auto" w:fill="DCE2EF"/>
          </w:tcPr>
          <w:p>
            <w:pPr>
              <w:spacing w:after="0"/>
              <w:rPr>
                <w:sz w:val="16"/>
                <w:szCs w:val="16"/>
                <w:color w:val="auto"/>
              </w:rPr>
            </w:pPr>
          </w:p>
        </w:tc>
        <w:tc>
          <w:tcPr>
            <w:tcW w:w="5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66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5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5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6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Janitorial</w:t>
            </w:r>
            <w:r>
              <w:rPr>
                <w:rFonts w:ascii="Arial" w:cs="Arial" w:eastAsia="Arial" w:hAnsi="Arial"/>
                <w:sz w:val="17"/>
                <w:szCs w:val="17"/>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681.5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338.2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199.7</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41.9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1,261.3</w:t>
            </w:r>
          </w:p>
        </w:tc>
        <w:tc>
          <w:tcPr>
            <w:tcW w:w="100" w:type="dxa"/>
            <w:vAlign w:val="bottom"/>
          </w:tcPr>
          <w:p>
            <w:pPr>
              <w:spacing w:after="0"/>
              <w:rPr>
                <w:sz w:val="16"/>
                <w:szCs w:val="16"/>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1,374.7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687.1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397.7</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78.4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2,537.9</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1140" w:type="dxa"/>
            <w:vAlign w:val="bottom"/>
            <w:gridSpan w:val="2"/>
            <w:shd w:val="clear" w:color="auto" w:fill="DCE2EF"/>
          </w:tcPr>
          <w:p>
            <w:pPr>
              <w:ind w:left="120"/>
              <w:spacing w:after="0" w:line="189" w:lineRule="exact"/>
              <w:rPr>
                <w:sz w:val="20"/>
                <w:szCs w:val="20"/>
                <w:color w:val="auto"/>
              </w:rPr>
            </w:pPr>
            <w:r>
              <w:rPr>
                <w:rFonts w:ascii="Arial" w:cs="Arial" w:eastAsia="Arial" w:hAnsi="Arial"/>
                <w:sz w:val="14"/>
                <w:szCs w:val="14"/>
                <w:color w:val="auto"/>
              </w:rPr>
              <w:t>Parking</w:t>
            </w:r>
            <w:r>
              <w:rPr>
                <w:rFonts w:ascii="Arial" w:cs="Arial" w:eastAsia="Arial" w:hAnsi="Arial"/>
                <w:sz w:val="17"/>
                <w:szCs w:val="17"/>
                <w:color w:val="auto"/>
                <w:vertAlign w:val="superscript"/>
              </w:rPr>
              <w:t>(2)</w:t>
            </w:r>
          </w:p>
        </w:tc>
        <w:tc>
          <w:tcPr>
            <w:tcW w:w="160" w:type="dxa"/>
            <w:vAlign w:val="bottom"/>
            <w:shd w:val="clear" w:color="auto" w:fill="DCE2EF"/>
          </w:tcPr>
          <w:p>
            <w:pPr>
              <w:spacing w:after="0"/>
              <w:rPr>
                <w:sz w:val="16"/>
                <w:szCs w:val="16"/>
                <w:color w:val="auto"/>
              </w:rPr>
            </w:pPr>
          </w:p>
        </w:tc>
        <w:tc>
          <w:tcPr>
            <w:tcW w:w="5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102.5</w:t>
            </w:r>
          </w:p>
        </w:tc>
        <w:tc>
          <w:tcPr>
            <w:tcW w:w="10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40" w:type="dxa"/>
            <w:vAlign w:val="bottom"/>
            <w:shd w:val="clear" w:color="auto" w:fill="DCE2EF"/>
          </w:tcPr>
          <w:p>
            <w:pPr>
              <w:jc w:val="right"/>
              <w:ind w:right="12"/>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20" w:type="dxa"/>
            <w:vAlign w:val="bottom"/>
            <w:shd w:val="clear" w:color="auto" w:fill="DCE2EF"/>
          </w:tcPr>
          <w:p>
            <w:pPr>
              <w:jc w:val="right"/>
              <w:ind w:right="12"/>
              <w:spacing w:after="0"/>
              <w:rPr>
                <w:sz w:val="20"/>
                <w:szCs w:val="20"/>
                <w:color w:val="auto"/>
              </w:rPr>
            </w:pPr>
            <w:r>
              <w:rPr>
                <w:rFonts w:ascii="Arial" w:cs="Arial" w:eastAsia="Arial" w:hAnsi="Arial"/>
                <w:sz w:val="14"/>
                <w:szCs w:val="14"/>
                <w:color w:val="auto"/>
              </w:rPr>
              <w:t>0.1</w:t>
            </w: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6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80.1</w:t>
            </w: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80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DCE2EF"/>
          </w:tcPr>
          <w:p>
            <w:pPr>
              <w:spacing w:after="0"/>
              <w:rPr>
                <w:sz w:val="16"/>
                <w:szCs w:val="16"/>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194.8</w:t>
            </w: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205.7</w:t>
            </w: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6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162.8</w:t>
            </w:r>
          </w:p>
        </w:tc>
        <w:tc>
          <w:tcPr>
            <w:tcW w:w="1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80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DCE2EF"/>
          </w:tcPr>
          <w:p>
            <w:pPr>
              <w:spacing w:after="0"/>
              <w:rPr>
                <w:sz w:val="16"/>
                <w:szCs w:val="16"/>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393.9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Facility</w:t>
            </w:r>
          </w:p>
        </w:tc>
        <w:tc>
          <w:tcPr>
            <w:tcW w:w="1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205.7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12"/>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25.8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280.8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442.3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591.4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Services</w:t>
            </w:r>
            <w:r>
              <w:rPr>
                <w:rFonts w:ascii="Arial" w:cs="Arial" w:eastAsia="Arial" w:hAnsi="Arial"/>
                <w:sz w:val="17"/>
                <w:szCs w:val="17"/>
                <w:color w:val="auto"/>
                <w:vertAlign w:val="superscript"/>
              </w:rPr>
              <w:t>(3)</w:t>
            </w: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DCE2EF"/>
          </w:tcPr>
          <w:p>
            <w:pPr>
              <w:spacing w:after="0"/>
              <w:rPr>
                <w:sz w:val="11"/>
                <w:szCs w:val="11"/>
                <w:color w:val="auto"/>
              </w:rPr>
            </w:pPr>
          </w:p>
        </w:tc>
        <w:tc>
          <w:tcPr>
            <w:tcW w:w="1140" w:type="dxa"/>
            <w:vAlign w:val="bottom"/>
            <w:gridSpan w:val="2"/>
            <w:shd w:val="clear" w:color="auto" w:fill="DCE2EF"/>
          </w:tcPr>
          <w:p>
            <w:pPr>
              <w:ind w:left="120"/>
              <w:spacing w:after="0" w:line="135" w:lineRule="exact"/>
              <w:rPr>
                <w:sz w:val="20"/>
                <w:szCs w:val="20"/>
                <w:color w:val="auto"/>
              </w:rPr>
            </w:pPr>
            <w:r>
              <w:rPr>
                <w:rFonts w:ascii="Arial" w:cs="Arial" w:eastAsia="Arial" w:hAnsi="Arial"/>
                <w:sz w:val="14"/>
                <w:szCs w:val="14"/>
                <w:color w:val="auto"/>
              </w:rPr>
              <w:t>Building &amp;</w:t>
            </w:r>
          </w:p>
        </w:tc>
        <w:tc>
          <w:tcPr>
            <w:tcW w:w="160" w:type="dxa"/>
            <w:vAlign w:val="bottom"/>
            <w:shd w:val="clear" w:color="auto" w:fill="DCE2EF"/>
          </w:tcPr>
          <w:p>
            <w:pPr>
              <w:spacing w:after="0"/>
              <w:rPr>
                <w:sz w:val="11"/>
                <w:szCs w:val="11"/>
                <w:color w:val="auto"/>
              </w:rPr>
            </w:pPr>
          </w:p>
        </w:tc>
        <w:tc>
          <w:tcPr>
            <w:tcW w:w="52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54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7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66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70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56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160" w:type="dxa"/>
            <w:vAlign w:val="bottom"/>
            <w:shd w:val="clear" w:color="auto" w:fill="DCE2EF"/>
          </w:tcPr>
          <w:p>
            <w:pPr>
              <w:spacing w:after="0"/>
              <w:rPr>
                <w:sz w:val="11"/>
                <w:szCs w:val="11"/>
                <w:color w:val="auto"/>
              </w:rPr>
            </w:pPr>
          </w:p>
        </w:tc>
        <w:tc>
          <w:tcPr>
            <w:tcW w:w="58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160" w:type="dxa"/>
            <w:vAlign w:val="bottom"/>
            <w:shd w:val="clear" w:color="auto" w:fill="DCE2EF"/>
          </w:tcPr>
          <w:p>
            <w:pPr>
              <w:spacing w:after="0"/>
              <w:rPr>
                <w:sz w:val="11"/>
                <w:szCs w:val="11"/>
                <w:color w:val="auto"/>
              </w:rPr>
            </w:pPr>
          </w:p>
        </w:tc>
        <w:tc>
          <w:tcPr>
            <w:tcW w:w="56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7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64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70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580" w:type="dxa"/>
            <w:vAlign w:val="bottom"/>
            <w:shd w:val="clear" w:color="auto" w:fill="DCE2E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DCE2EF"/>
          </w:tcPr>
          <w:p>
            <w:pPr>
              <w:spacing w:after="0"/>
              <w:rPr>
                <w:sz w:val="11"/>
                <w:szCs w:val="11"/>
                <w:color w:val="auto"/>
              </w:rPr>
            </w:pPr>
          </w:p>
        </w:tc>
        <w:tc>
          <w:tcPr>
            <w:tcW w:w="1140" w:type="dxa"/>
            <w:vAlign w:val="bottom"/>
            <w:gridSpan w:val="2"/>
            <w:shd w:val="clear" w:color="auto" w:fill="DCE2EF"/>
          </w:tcPr>
          <w:p>
            <w:pPr>
              <w:ind w:left="120"/>
              <w:spacing w:after="0" w:line="135" w:lineRule="exact"/>
              <w:rPr>
                <w:sz w:val="20"/>
                <w:szCs w:val="20"/>
                <w:color w:val="auto"/>
              </w:rPr>
            </w:pPr>
            <w:r>
              <w:rPr>
                <w:rFonts w:ascii="Arial" w:cs="Arial" w:eastAsia="Arial" w:hAnsi="Arial"/>
                <w:sz w:val="14"/>
                <w:szCs w:val="14"/>
                <w:color w:val="auto"/>
              </w:rPr>
              <w:t>Energy</w:t>
            </w:r>
          </w:p>
        </w:tc>
        <w:tc>
          <w:tcPr>
            <w:tcW w:w="160" w:type="dxa"/>
            <w:vAlign w:val="bottom"/>
            <w:shd w:val="clear" w:color="auto" w:fill="DCE2EF"/>
          </w:tcPr>
          <w:p>
            <w:pPr>
              <w:spacing w:after="0"/>
              <w:rPr>
                <w:sz w:val="11"/>
                <w:szCs w:val="11"/>
                <w:color w:val="auto"/>
              </w:rPr>
            </w:pPr>
          </w:p>
        </w:tc>
        <w:tc>
          <w:tcPr>
            <w:tcW w:w="620" w:type="dxa"/>
            <w:vAlign w:val="bottom"/>
            <w:gridSpan w:val="2"/>
            <w:vMerge w:val="restart"/>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DCE2EF"/>
          </w:tcPr>
          <w:p>
            <w:pPr>
              <w:spacing w:after="0"/>
              <w:rPr>
                <w:sz w:val="11"/>
                <w:szCs w:val="11"/>
                <w:color w:val="auto"/>
              </w:rPr>
            </w:pPr>
          </w:p>
        </w:tc>
        <w:tc>
          <w:tcPr>
            <w:tcW w:w="640" w:type="dxa"/>
            <w:vAlign w:val="bottom"/>
            <w:gridSpan w:val="2"/>
            <w:vMerge w:val="restart"/>
            <w:shd w:val="clear" w:color="auto" w:fill="DCE2E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11"/>
                <w:szCs w:val="11"/>
                <w:color w:val="auto"/>
              </w:rPr>
            </w:pPr>
          </w:p>
        </w:tc>
        <w:tc>
          <w:tcPr>
            <w:tcW w:w="800" w:type="dxa"/>
            <w:vAlign w:val="bottom"/>
            <w:gridSpan w:val="2"/>
            <w:vMerge w:val="restart"/>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11"/>
                <w:szCs w:val="11"/>
                <w:color w:val="auto"/>
              </w:rPr>
            </w:pPr>
          </w:p>
        </w:tc>
        <w:tc>
          <w:tcPr>
            <w:tcW w:w="740" w:type="dxa"/>
            <w:vAlign w:val="bottom"/>
            <w:gridSpan w:val="2"/>
            <w:vMerge w:val="restart"/>
            <w:shd w:val="clear" w:color="auto" w:fill="DCE2E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11"/>
                <w:szCs w:val="11"/>
                <w:color w:val="auto"/>
              </w:rPr>
            </w:pPr>
          </w:p>
        </w:tc>
        <w:tc>
          <w:tcPr>
            <w:tcW w:w="70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176.2</w:t>
            </w:r>
          </w:p>
        </w:tc>
        <w:tc>
          <w:tcPr>
            <w:tcW w:w="10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176.2</w:t>
            </w:r>
          </w:p>
        </w:tc>
        <w:tc>
          <w:tcPr>
            <w:tcW w:w="100" w:type="dxa"/>
            <w:vAlign w:val="bottom"/>
            <w:shd w:val="clear" w:color="auto" w:fill="DCE2EF"/>
          </w:tcPr>
          <w:p>
            <w:pPr>
              <w:spacing w:after="0"/>
              <w:rPr>
                <w:sz w:val="11"/>
                <w:szCs w:val="11"/>
                <w:color w:val="auto"/>
              </w:rPr>
            </w:pPr>
          </w:p>
        </w:tc>
        <w:tc>
          <w:tcPr>
            <w:tcW w:w="160" w:type="dxa"/>
            <w:vAlign w:val="bottom"/>
            <w:shd w:val="clear" w:color="auto" w:fill="DCE2EF"/>
          </w:tcPr>
          <w:p>
            <w:pPr>
              <w:spacing w:after="0"/>
              <w:rPr>
                <w:sz w:val="11"/>
                <w:szCs w:val="11"/>
                <w:color w:val="auto"/>
              </w:rPr>
            </w:pPr>
          </w:p>
        </w:tc>
        <w:tc>
          <w:tcPr>
            <w:tcW w:w="680" w:type="dxa"/>
            <w:vAlign w:val="bottom"/>
            <w:gridSpan w:val="2"/>
            <w:vMerge w:val="restart"/>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DCE2EF"/>
          </w:tcPr>
          <w:p>
            <w:pPr>
              <w:spacing w:after="0"/>
              <w:rPr>
                <w:sz w:val="11"/>
                <w:szCs w:val="11"/>
                <w:color w:val="auto"/>
              </w:rPr>
            </w:pPr>
          </w:p>
        </w:tc>
        <w:tc>
          <w:tcPr>
            <w:tcW w:w="660" w:type="dxa"/>
            <w:vAlign w:val="bottom"/>
            <w:gridSpan w:val="2"/>
            <w:vMerge w:val="restart"/>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11"/>
                <w:szCs w:val="11"/>
                <w:color w:val="auto"/>
              </w:rPr>
            </w:pPr>
          </w:p>
        </w:tc>
        <w:tc>
          <w:tcPr>
            <w:tcW w:w="800" w:type="dxa"/>
            <w:vAlign w:val="bottom"/>
            <w:gridSpan w:val="2"/>
            <w:vMerge w:val="restart"/>
            <w:shd w:val="clear" w:color="auto" w:fill="DCE2E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11"/>
                <w:szCs w:val="11"/>
                <w:color w:val="auto"/>
              </w:rPr>
            </w:pPr>
          </w:p>
        </w:tc>
        <w:tc>
          <w:tcPr>
            <w:tcW w:w="740" w:type="dxa"/>
            <w:vAlign w:val="bottom"/>
            <w:gridSpan w:val="2"/>
            <w:vMerge w:val="restart"/>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11"/>
                <w:szCs w:val="11"/>
                <w:color w:val="auto"/>
              </w:rPr>
            </w:pPr>
          </w:p>
        </w:tc>
        <w:tc>
          <w:tcPr>
            <w:tcW w:w="70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342.1</w:t>
            </w:r>
          </w:p>
        </w:tc>
        <w:tc>
          <w:tcPr>
            <w:tcW w:w="10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58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342.1</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1140" w:type="dxa"/>
            <w:vAlign w:val="bottom"/>
            <w:gridSpan w:val="2"/>
            <w:shd w:val="clear" w:color="auto" w:fill="DCE2EF"/>
          </w:tcPr>
          <w:p>
            <w:pPr>
              <w:ind w:left="120"/>
              <w:spacing w:after="0" w:line="189" w:lineRule="exact"/>
              <w:rPr>
                <w:sz w:val="20"/>
                <w:szCs w:val="20"/>
                <w:color w:val="auto"/>
              </w:rPr>
            </w:pPr>
            <w:r>
              <w:rPr>
                <w:rFonts w:ascii="Arial" w:cs="Arial" w:eastAsia="Arial" w:hAnsi="Arial"/>
                <w:sz w:val="14"/>
                <w:szCs w:val="14"/>
                <w:color w:val="auto"/>
              </w:rPr>
              <w:t>Solutions</w:t>
            </w:r>
            <w:r>
              <w:rPr>
                <w:rFonts w:ascii="Arial" w:cs="Arial" w:eastAsia="Arial" w:hAnsi="Arial"/>
                <w:sz w:val="17"/>
                <w:szCs w:val="17"/>
                <w:color w:val="auto"/>
                <w:vertAlign w:val="superscript"/>
              </w:rPr>
              <w:t>(4)</w:t>
            </w:r>
          </w:p>
        </w:tc>
        <w:tc>
          <w:tcPr>
            <w:tcW w:w="160" w:type="dxa"/>
            <w:vAlign w:val="bottom"/>
            <w:shd w:val="clear" w:color="auto" w:fill="DCE2EF"/>
          </w:tcPr>
          <w:p>
            <w:pPr>
              <w:spacing w:after="0"/>
              <w:rPr>
                <w:sz w:val="16"/>
                <w:szCs w:val="16"/>
                <w:color w:val="auto"/>
              </w:rPr>
            </w:pPr>
          </w:p>
        </w:tc>
        <w:tc>
          <w:tcPr>
            <w:tcW w:w="620" w:type="dxa"/>
            <w:vAlign w:val="bottom"/>
            <w:gridSpan w:val="2"/>
            <w:vMerge w:val="continue"/>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640" w:type="dxa"/>
            <w:vAlign w:val="bottom"/>
            <w:gridSpan w:val="2"/>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800" w:type="dxa"/>
            <w:vAlign w:val="bottom"/>
            <w:gridSpan w:val="2"/>
            <w:vMerge w:val="continue"/>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40" w:type="dxa"/>
            <w:vAlign w:val="bottom"/>
            <w:gridSpan w:val="2"/>
            <w:vMerge w:val="continue"/>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0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6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680" w:type="dxa"/>
            <w:vAlign w:val="bottom"/>
            <w:gridSpan w:val="2"/>
            <w:vMerge w:val="continue"/>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660" w:type="dxa"/>
            <w:vAlign w:val="bottom"/>
            <w:gridSpan w:val="2"/>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800" w:type="dxa"/>
            <w:vAlign w:val="bottom"/>
            <w:gridSpan w:val="2"/>
            <w:vMerge w:val="continue"/>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40" w:type="dxa"/>
            <w:vAlign w:val="bottom"/>
            <w:gridSpan w:val="2"/>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0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80" w:type="dxa"/>
            <w:vAlign w:val="bottom"/>
            <w:vMerge w:val="continue"/>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Airline</w:t>
            </w:r>
          </w:p>
        </w:tc>
        <w:tc>
          <w:tcPr>
            <w:tcW w:w="16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105.1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222.5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222.5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Services</w:t>
            </w:r>
            <w:r>
              <w:rPr>
                <w:rFonts w:ascii="Arial" w:cs="Arial" w:eastAsia="Arial" w:hAnsi="Arial"/>
                <w:sz w:val="17"/>
                <w:szCs w:val="17"/>
                <w:color w:val="auto"/>
                <w:vertAlign w:val="superscript"/>
              </w:rPr>
              <w:t>(5)</w:t>
            </w: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DCE2EF"/>
              <w:bottom w:val="single" w:sz="8" w:color="DCE2EF"/>
            </w:tcBorders>
            <w:shd w:val="clear" w:color="auto" w:fill="DCE2EF"/>
          </w:tcPr>
          <w:p>
            <w:pPr>
              <w:spacing w:after="0"/>
              <w:rPr>
                <w:sz w:val="17"/>
                <w:szCs w:val="17"/>
                <w:color w:val="auto"/>
              </w:rPr>
            </w:pPr>
          </w:p>
        </w:tc>
        <w:tc>
          <w:tcPr>
            <w:tcW w:w="1140" w:type="dxa"/>
            <w:vAlign w:val="bottom"/>
            <w:tcBorders>
              <w:top w:val="single" w:sz="8" w:color="DCE2EF"/>
              <w:bottom w:val="single" w:sz="8" w:color="DCE2EF"/>
            </w:tcBorders>
            <w:gridSpan w:val="2"/>
            <w:shd w:val="clear" w:color="auto" w:fill="DCE2EF"/>
          </w:tcPr>
          <w:p>
            <w:pPr>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989.6</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DCE2EF"/>
          </w:tcPr>
          <w:p>
            <w:pPr>
              <w:jc w:val="right"/>
              <w:ind w:right="12"/>
              <w:spacing w:after="0"/>
              <w:rPr>
                <w:sz w:val="20"/>
                <w:szCs w:val="20"/>
                <w:color w:val="auto"/>
              </w:rPr>
            </w:pPr>
            <w:r>
              <w:rPr>
                <w:rFonts w:ascii="Arial" w:cs="Arial" w:eastAsia="Arial" w:hAnsi="Arial"/>
                <w:sz w:val="14"/>
                <w:szCs w:val="14"/>
                <w:color w:val="auto"/>
              </w:rPr>
              <w:t>388.6</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1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DCE2EF"/>
          </w:tcPr>
          <w:p>
            <w:pPr>
              <w:jc w:val="right"/>
              <w:ind w:right="12"/>
              <w:spacing w:after="0"/>
              <w:rPr>
                <w:sz w:val="20"/>
                <w:szCs w:val="20"/>
                <w:color w:val="auto"/>
              </w:rPr>
            </w:pPr>
            <w:r>
              <w:rPr>
                <w:rFonts w:ascii="Arial" w:cs="Arial" w:eastAsia="Arial" w:hAnsi="Arial"/>
                <w:sz w:val="14"/>
                <w:szCs w:val="14"/>
                <w:color w:val="auto"/>
              </w:rPr>
              <w:t>225.6</w:t>
            </w:r>
          </w:p>
        </w:tc>
        <w:tc>
          <w:tcPr>
            <w:tcW w:w="80" w:type="dxa"/>
            <w:vAlign w:val="bottom"/>
            <w:tcBorders>
              <w:top w:val="single" w:sz="8" w:color="DCE2EF"/>
              <w:bottom w:val="single" w:sz="8" w:color="DCE2EF"/>
            </w:tcBorders>
            <w:shd w:val="clear" w:color="auto" w:fill="DCE2EF"/>
          </w:tcPr>
          <w:p>
            <w:pPr>
              <w:spacing w:after="0"/>
              <w:rPr>
                <w:sz w:val="17"/>
                <w:szCs w:val="17"/>
                <w:color w:val="auto"/>
              </w:rPr>
            </w:pPr>
          </w:p>
        </w:tc>
        <w:tc>
          <w:tcPr>
            <w:tcW w:w="1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238.2</w:t>
            </w:r>
          </w:p>
        </w:tc>
        <w:tc>
          <w:tcPr>
            <w:tcW w:w="80" w:type="dxa"/>
            <w:vAlign w:val="bottom"/>
            <w:tcBorders>
              <w:top w:val="single" w:sz="8" w:color="DCE2EF"/>
              <w:bottom w:val="single" w:sz="8" w:color="DCE2EF"/>
            </w:tcBorders>
            <w:shd w:val="clear" w:color="auto" w:fill="DCE2EF"/>
          </w:tcPr>
          <w:p>
            <w:pPr>
              <w:spacing w:after="0"/>
              <w:rPr>
                <w:sz w:val="17"/>
                <w:szCs w:val="17"/>
                <w:color w:val="auto"/>
              </w:rPr>
            </w:pPr>
          </w:p>
        </w:tc>
        <w:tc>
          <w:tcPr>
            <w:tcW w:w="1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176.2</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2,018.2</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160" w:type="dxa"/>
            <w:vAlign w:val="bottom"/>
            <w:tcBorders>
              <w:top w:val="single" w:sz="8" w:color="auto"/>
              <w:bottom w:val="single" w:sz="8" w:color="auto"/>
            </w:tcBorders>
            <w:shd w:val="clear" w:color="auto" w:fill="DCE2EF"/>
          </w:tcPr>
          <w:p>
            <w:pPr>
              <w:jc w:val="right"/>
              <w:ind w:right="12"/>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2,022.8</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789.5</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1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445.7</w:t>
            </w:r>
          </w:p>
        </w:tc>
        <w:tc>
          <w:tcPr>
            <w:tcW w:w="80" w:type="dxa"/>
            <w:vAlign w:val="bottom"/>
            <w:tcBorders>
              <w:top w:val="single" w:sz="8" w:color="DCE2EF"/>
              <w:bottom w:val="single" w:sz="8" w:color="DCE2EF"/>
            </w:tcBorders>
            <w:shd w:val="clear" w:color="auto" w:fill="DCE2EF"/>
          </w:tcPr>
          <w:p>
            <w:pPr>
              <w:spacing w:after="0"/>
              <w:rPr>
                <w:sz w:val="17"/>
                <w:szCs w:val="17"/>
                <w:color w:val="auto"/>
              </w:rPr>
            </w:pPr>
          </w:p>
        </w:tc>
        <w:tc>
          <w:tcPr>
            <w:tcW w:w="1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487.8</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1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342.1</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4,087.8</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46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5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5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72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66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7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5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5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5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72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6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7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5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11"/>
          </w:tcPr>
          <w:p>
            <w:pPr>
              <w:ind w:left="400"/>
              <w:spacing w:after="0"/>
              <w:rPr>
                <w:sz w:val="20"/>
                <w:szCs w:val="20"/>
                <w:color w:val="auto"/>
              </w:rPr>
            </w:pPr>
            <w:r>
              <w:rPr>
                <w:rFonts w:ascii="Arial" w:cs="Arial" w:eastAsia="Arial" w:hAnsi="Arial"/>
                <w:sz w:val="14"/>
                <w:szCs w:val="14"/>
                <w:b w:val="1"/>
                <w:bCs w:val="1"/>
                <w:color w:val="auto"/>
              </w:rPr>
              <w:t>Three Months Ended April 30, 2023</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11"/>
          </w:tcPr>
          <w:p>
            <w:pPr>
              <w:ind w:left="20"/>
              <w:spacing w:after="0"/>
              <w:rPr>
                <w:sz w:val="20"/>
                <w:szCs w:val="20"/>
                <w:color w:val="auto"/>
              </w:rPr>
            </w:pPr>
            <w:r>
              <w:rPr>
                <w:rFonts w:ascii="Arial" w:cs="Arial" w:eastAsia="Arial" w:hAnsi="Arial"/>
                <w:sz w:val="14"/>
                <w:szCs w:val="14"/>
                <w:b w:val="1"/>
                <w:bCs w:val="1"/>
                <w:color w:val="auto"/>
              </w:rPr>
              <w:t>Six Months Ended April 30, 2023</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1"/>
                <w:szCs w:val="11"/>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B&amp;I</w:t>
            </w:r>
          </w:p>
        </w:tc>
        <w:tc>
          <w:tcPr>
            <w:tcW w:w="120" w:type="dxa"/>
            <w:vAlign w:val="bottom"/>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M&amp;D</w:t>
            </w:r>
          </w:p>
        </w:tc>
        <w:tc>
          <w:tcPr>
            <w:tcW w:w="10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Education</w:t>
            </w:r>
          </w:p>
        </w:tc>
        <w:tc>
          <w:tcPr>
            <w:tcW w:w="10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Aviation</w:t>
            </w:r>
          </w:p>
        </w:tc>
        <w:tc>
          <w:tcPr>
            <w:tcW w:w="12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3"/>
                <w:szCs w:val="13"/>
                <w:b w:val="1"/>
                <w:bCs w:val="1"/>
                <w:color w:val="auto"/>
              </w:rPr>
              <w:t>Technical</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B&amp;I</w:t>
            </w:r>
          </w:p>
        </w:tc>
        <w:tc>
          <w:tcPr>
            <w:tcW w:w="140" w:type="dxa"/>
            <w:vAlign w:val="bottom"/>
          </w:tcPr>
          <w:p>
            <w:pPr>
              <w:spacing w:after="0"/>
              <w:rPr>
                <w:sz w:val="11"/>
                <w:szCs w:val="11"/>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3"/>
                <w:szCs w:val="13"/>
                <w:b w:val="1"/>
                <w:bCs w:val="1"/>
                <w:color w:val="auto"/>
              </w:rPr>
              <w:t>M&amp;D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Education</w:t>
            </w:r>
          </w:p>
        </w:tc>
        <w:tc>
          <w:tcPr>
            <w:tcW w:w="10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Aviation</w:t>
            </w:r>
          </w:p>
        </w:tc>
        <w:tc>
          <w:tcPr>
            <w:tcW w:w="120" w:type="dxa"/>
            <w:vAlign w:val="bottom"/>
          </w:tcPr>
          <w:p>
            <w:pPr>
              <w:spacing w:after="0"/>
              <w:rPr>
                <w:sz w:val="11"/>
                <w:szCs w:val="11"/>
                <w:color w:val="auto"/>
              </w:rPr>
            </w:pPr>
          </w:p>
        </w:tc>
        <w:tc>
          <w:tcPr>
            <w:tcW w:w="840" w:type="dxa"/>
            <w:vAlign w:val="bottom"/>
            <w:gridSpan w:val="2"/>
          </w:tcPr>
          <w:p>
            <w:pPr>
              <w:ind w:left="20"/>
              <w:spacing w:after="0" w:line="131" w:lineRule="exact"/>
              <w:rPr>
                <w:sz w:val="20"/>
                <w:szCs w:val="20"/>
                <w:color w:val="auto"/>
              </w:rPr>
            </w:pPr>
            <w:r>
              <w:rPr>
                <w:rFonts w:ascii="Arial" w:cs="Arial" w:eastAsia="Arial" w:hAnsi="Arial"/>
                <w:sz w:val="13"/>
                <w:szCs w:val="13"/>
                <w:b w:val="1"/>
                <w:bCs w:val="1"/>
                <w:color w:val="auto"/>
              </w:rPr>
              <w:t>Technical</w:t>
            </w:r>
          </w:p>
        </w:tc>
        <w:tc>
          <w:tcPr>
            <w:tcW w:w="140" w:type="dxa"/>
            <w:vAlign w:val="bottom"/>
          </w:tcPr>
          <w:p>
            <w:pPr>
              <w:spacing w:after="0"/>
              <w:rPr>
                <w:sz w:val="11"/>
                <w:szCs w:val="11"/>
                <w:color w:val="auto"/>
              </w:rPr>
            </w:pPr>
          </w:p>
        </w:tc>
        <w:tc>
          <w:tcPr>
            <w:tcW w:w="580" w:type="dxa"/>
            <w:vAlign w:val="bottom"/>
            <w:vMerge w:val="restart"/>
          </w:tcPr>
          <w:p>
            <w:pPr>
              <w:jc w:val="right"/>
              <w:ind w:right="15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rPr>
              <w:t>Solutions</w:t>
            </w:r>
          </w:p>
        </w:tc>
        <w:tc>
          <w:tcPr>
            <w:tcW w:w="1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rPr>
              <w:t>Solutions</w:t>
            </w: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top w:val="single" w:sz="8" w:color="auto"/>
              <w:bottom w:val="single" w:sz="8" w:color="DCE2EF"/>
            </w:tcBorders>
          </w:tcPr>
          <w:p>
            <w:pPr>
              <w:spacing w:after="0" w:line="20" w:lineRule="exact"/>
              <w:rPr>
                <w:sz w:val="1"/>
                <w:szCs w:val="1"/>
                <w:color w:val="auto"/>
              </w:rPr>
            </w:pPr>
          </w:p>
        </w:tc>
        <w:tc>
          <w:tcPr>
            <w:tcW w:w="5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DCE2EF"/>
          </w:tcPr>
          <w:p>
            <w:pPr>
              <w:spacing w:after="0"/>
              <w:rPr>
                <w:sz w:val="10"/>
                <w:szCs w:val="10"/>
                <w:color w:val="auto"/>
              </w:rPr>
            </w:pPr>
          </w:p>
        </w:tc>
        <w:tc>
          <w:tcPr>
            <w:tcW w:w="1180" w:type="dxa"/>
            <w:vAlign w:val="bottom"/>
            <w:gridSpan w:val="2"/>
            <w:shd w:val="clear" w:color="auto" w:fill="DCE2EF"/>
          </w:tcPr>
          <w:p>
            <w:pPr>
              <w:spacing w:after="0" w:line="115" w:lineRule="exact"/>
              <w:rPr>
                <w:sz w:val="20"/>
                <w:szCs w:val="20"/>
                <w:color w:val="auto"/>
              </w:rPr>
            </w:pPr>
            <w:r>
              <w:rPr>
                <w:rFonts w:ascii="Arial" w:cs="Arial" w:eastAsia="Arial" w:hAnsi="Arial"/>
                <w:sz w:val="13"/>
                <w:szCs w:val="13"/>
                <w:b w:val="1"/>
                <w:bCs w:val="1"/>
                <w:color w:val="auto"/>
              </w:rPr>
              <w:t>Major Service</w:t>
            </w:r>
          </w:p>
        </w:tc>
        <w:tc>
          <w:tcPr>
            <w:tcW w:w="160" w:type="dxa"/>
            <w:vAlign w:val="bottom"/>
            <w:shd w:val="clear" w:color="auto" w:fill="DCE2EF"/>
          </w:tcPr>
          <w:p>
            <w:pPr>
              <w:spacing w:after="0"/>
              <w:rPr>
                <w:sz w:val="10"/>
                <w:szCs w:val="10"/>
                <w:color w:val="auto"/>
              </w:rPr>
            </w:pPr>
          </w:p>
        </w:tc>
        <w:tc>
          <w:tcPr>
            <w:tcW w:w="520" w:type="dxa"/>
            <w:vAlign w:val="bottom"/>
            <w:shd w:val="clear" w:color="auto" w:fill="DCE2EF"/>
          </w:tcPr>
          <w:p>
            <w:pPr>
              <w:spacing w:after="0"/>
              <w:rPr>
                <w:sz w:val="10"/>
                <w:szCs w:val="10"/>
                <w:color w:val="auto"/>
              </w:rPr>
            </w:pPr>
          </w:p>
        </w:tc>
        <w:tc>
          <w:tcPr>
            <w:tcW w:w="80" w:type="dxa"/>
            <w:vAlign w:val="bottom"/>
            <w:shd w:val="clear" w:color="auto" w:fill="DCE2EF"/>
          </w:tcPr>
          <w:p>
            <w:pPr>
              <w:spacing w:after="0"/>
              <w:rPr>
                <w:sz w:val="10"/>
                <w:szCs w:val="10"/>
                <w:color w:val="auto"/>
              </w:rPr>
            </w:pPr>
          </w:p>
        </w:tc>
        <w:tc>
          <w:tcPr>
            <w:tcW w:w="120" w:type="dxa"/>
            <w:vAlign w:val="bottom"/>
            <w:shd w:val="clear" w:color="auto" w:fill="DCE2EF"/>
          </w:tcPr>
          <w:p>
            <w:pPr>
              <w:spacing w:after="0"/>
              <w:rPr>
                <w:sz w:val="10"/>
                <w:szCs w:val="10"/>
                <w:color w:val="auto"/>
              </w:rPr>
            </w:pPr>
          </w:p>
        </w:tc>
        <w:tc>
          <w:tcPr>
            <w:tcW w:w="48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740" w:type="dxa"/>
            <w:vAlign w:val="bottom"/>
            <w:shd w:val="clear" w:color="auto" w:fill="DCE2EF"/>
          </w:tcPr>
          <w:p>
            <w:pPr>
              <w:spacing w:after="0"/>
              <w:rPr>
                <w:sz w:val="10"/>
                <w:szCs w:val="10"/>
                <w:color w:val="auto"/>
              </w:rPr>
            </w:pPr>
          </w:p>
        </w:tc>
        <w:tc>
          <w:tcPr>
            <w:tcW w:w="8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600" w:type="dxa"/>
            <w:vAlign w:val="bottom"/>
            <w:shd w:val="clear" w:color="auto" w:fill="DCE2EF"/>
          </w:tcPr>
          <w:p>
            <w:pPr>
              <w:spacing w:after="0"/>
              <w:rPr>
                <w:sz w:val="10"/>
                <w:szCs w:val="10"/>
                <w:color w:val="auto"/>
              </w:rPr>
            </w:pPr>
          </w:p>
        </w:tc>
        <w:tc>
          <w:tcPr>
            <w:tcW w:w="80" w:type="dxa"/>
            <w:vAlign w:val="bottom"/>
            <w:shd w:val="clear" w:color="auto" w:fill="DCE2EF"/>
          </w:tcPr>
          <w:p>
            <w:pPr>
              <w:spacing w:after="0"/>
              <w:rPr>
                <w:sz w:val="10"/>
                <w:szCs w:val="10"/>
                <w:color w:val="auto"/>
              </w:rPr>
            </w:pPr>
          </w:p>
        </w:tc>
        <w:tc>
          <w:tcPr>
            <w:tcW w:w="120" w:type="dxa"/>
            <w:vAlign w:val="bottom"/>
            <w:shd w:val="clear" w:color="auto" w:fill="DCE2EF"/>
          </w:tcPr>
          <w:p>
            <w:pPr>
              <w:spacing w:after="0"/>
              <w:rPr>
                <w:sz w:val="10"/>
                <w:szCs w:val="10"/>
                <w:color w:val="auto"/>
              </w:rPr>
            </w:pPr>
          </w:p>
        </w:tc>
        <w:tc>
          <w:tcPr>
            <w:tcW w:w="720" w:type="dxa"/>
            <w:vAlign w:val="bottom"/>
            <w:shd w:val="clear" w:color="auto" w:fill="DCE2EF"/>
          </w:tcPr>
          <w:p>
            <w:pPr>
              <w:spacing w:after="0"/>
              <w:rPr>
                <w:sz w:val="10"/>
                <w:szCs w:val="10"/>
                <w:color w:val="auto"/>
              </w:rPr>
            </w:pPr>
          </w:p>
        </w:tc>
        <w:tc>
          <w:tcPr>
            <w:tcW w:w="80" w:type="dxa"/>
            <w:vAlign w:val="bottom"/>
            <w:shd w:val="clear" w:color="auto" w:fill="DCE2EF"/>
          </w:tcPr>
          <w:p>
            <w:pPr>
              <w:spacing w:after="0"/>
              <w:rPr>
                <w:sz w:val="10"/>
                <w:szCs w:val="10"/>
                <w:color w:val="auto"/>
              </w:rPr>
            </w:pPr>
          </w:p>
        </w:tc>
        <w:tc>
          <w:tcPr>
            <w:tcW w:w="160" w:type="dxa"/>
            <w:vAlign w:val="bottom"/>
            <w:shd w:val="clear" w:color="auto" w:fill="DCE2EF"/>
          </w:tcPr>
          <w:p>
            <w:pPr>
              <w:spacing w:after="0"/>
              <w:rPr>
                <w:sz w:val="10"/>
                <w:szCs w:val="10"/>
                <w:color w:val="auto"/>
              </w:rPr>
            </w:pPr>
          </w:p>
        </w:tc>
        <w:tc>
          <w:tcPr>
            <w:tcW w:w="60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140" w:type="dxa"/>
            <w:vAlign w:val="bottom"/>
            <w:shd w:val="clear" w:color="auto" w:fill="DCE2EF"/>
          </w:tcPr>
          <w:p>
            <w:pPr>
              <w:spacing w:after="0"/>
              <w:rPr>
                <w:sz w:val="10"/>
                <w:szCs w:val="10"/>
                <w:color w:val="auto"/>
              </w:rPr>
            </w:pPr>
          </w:p>
        </w:tc>
        <w:tc>
          <w:tcPr>
            <w:tcW w:w="56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140" w:type="dxa"/>
            <w:vAlign w:val="bottom"/>
            <w:shd w:val="clear" w:color="auto" w:fill="DCE2EF"/>
          </w:tcPr>
          <w:p>
            <w:pPr>
              <w:spacing w:after="0"/>
              <w:rPr>
                <w:sz w:val="10"/>
                <w:szCs w:val="10"/>
                <w:color w:val="auto"/>
              </w:rPr>
            </w:pPr>
          </w:p>
        </w:tc>
        <w:tc>
          <w:tcPr>
            <w:tcW w:w="540" w:type="dxa"/>
            <w:vAlign w:val="bottom"/>
            <w:shd w:val="clear" w:color="auto" w:fill="DCE2EF"/>
          </w:tcPr>
          <w:p>
            <w:pPr>
              <w:spacing w:after="0"/>
              <w:rPr>
                <w:sz w:val="10"/>
                <w:szCs w:val="10"/>
                <w:color w:val="auto"/>
              </w:rPr>
            </w:pPr>
          </w:p>
        </w:tc>
        <w:tc>
          <w:tcPr>
            <w:tcW w:w="2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120" w:type="dxa"/>
            <w:vAlign w:val="bottom"/>
            <w:shd w:val="clear" w:color="auto" w:fill="DCE2EF"/>
          </w:tcPr>
          <w:p>
            <w:pPr>
              <w:spacing w:after="0"/>
              <w:rPr>
                <w:sz w:val="10"/>
                <w:szCs w:val="10"/>
                <w:color w:val="auto"/>
              </w:rPr>
            </w:pPr>
          </w:p>
        </w:tc>
        <w:tc>
          <w:tcPr>
            <w:tcW w:w="76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660" w:type="dxa"/>
            <w:vAlign w:val="bottom"/>
            <w:shd w:val="clear" w:color="auto" w:fill="DCE2EF"/>
          </w:tcPr>
          <w:p>
            <w:pPr>
              <w:spacing w:after="0"/>
              <w:rPr>
                <w:sz w:val="10"/>
                <w:szCs w:val="10"/>
                <w:color w:val="auto"/>
              </w:rPr>
            </w:pPr>
          </w:p>
        </w:tc>
        <w:tc>
          <w:tcPr>
            <w:tcW w:w="80" w:type="dxa"/>
            <w:vAlign w:val="bottom"/>
            <w:shd w:val="clear" w:color="auto" w:fill="DCE2EF"/>
          </w:tcPr>
          <w:p>
            <w:pPr>
              <w:spacing w:after="0"/>
              <w:rPr>
                <w:sz w:val="10"/>
                <w:szCs w:val="10"/>
                <w:color w:val="auto"/>
              </w:rPr>
            </w:pPr>
          </w:p>
        </w:tc>
        <w:tc>
          <w:tcPr>
            <w:tcW w:w="120" w:type="dxa"/>
            <w:vAlign w:val="bottom"/>
            <w:shd w:val="clear" w:color="auto" w:fill="DCE2EF"/>
          </w:tcPr>
          <w:p>
            <w:pPr>
              <w:spacing w:after="0"/>
              <w:rPr>
                <w:sz w:val="10"/>
                <w:szCs w:val="10"/>
                <w:color w:val="auto"/>
              </w:rPr>
            </w:pPr>
          </w:p>
        </w:tc>
        <w:tc>
          <w:tcPr>
            <w:tcW w:w="74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140" w:type="dxa"/>
            <w:vAlign w:val="bottom"/>
            <w:shd w:val="clear" w:color="auto" w:fill="DCE2EF"/>
          </w:tcPr>
          <w:p>
            <w:pPr>
              <w:spacing w:after="0"/>
              <w:rPr>
                <w:sz w:val="10"/>
                <w:szCs w:val="10"/>
                <w:color w:val="auto"/>
              </w:rPr>
            </w:pPr>
          </w:p>
        </w:tc>
        <w:tc>
          <w:tcPr>
            <w:tcW w:w="580" w:type="dxa"/>
            <w:vAlign w:val="bottom"/>
            <w:shd w:val="clear" w:color="auto" w:fill="DCE2E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118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Line</w:t>
            </w:r>
          </w:p>
        </w:tc>
        <w:tc>
          <w:tcPr>
            <w:tcW w:w="160" w:type="dxa"/>
            <w:vAlign w:val="bottom"/>
            <w:shd w:val="clear" w:color="auto" w:fill="DCE2EF"/>
          </w:tcPr>
          <w:p>
            <w:pPr>
              <w:spacing w:after="0"/>
              <w:rPr>
                <w:sz w:val="16"/>
                <w:szCs w:val="16"/>
                <w:color w:val="auto"/>
              </w:rPr>
            </w:pPr>
          </w:p>
        </w:tc>
        <w:tc>
          <w:tcPr>
            <w:tcW w:w="5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4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4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60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6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4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66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Janitorial</w:t>
            </w:r>
            <w:r>
              <w:rPr>
                <w:rFonts w:ascii="Arial" w:cs="Arial" w:eastAsia="Arial" w:hAnsi="Arial"/>
                <w:sz w:val="17"/>
                <w:szCs w:val="17"/>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673.5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325.3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188.2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36.2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1,223.2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1,360.6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653.8</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375.9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72.1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2,462.4</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1180" w:type="dxa"/>
            <w:vAlign w:val="bottom"/>
            <w:gridSpan w:val="2"/>
            <w:shd w:val="clear" w:color="auto" w:fill="DCE2EF"/>
          </w:tcPr>
          <w:p>
            <w:pPr>
              <w:ind w:left="120"/>
              <w:spacing w:after="0" w:line="189" w:lineRule="exact"/>
              <w:rPr>
                <w:sz w:val="20"/>
                <w:szCs w:val="20"/>
                <w:color w:val="auto"/>
              </w:rPr>
            </w:pPr>
            <w:r>
              <w:rPr>
                <w:rFonts w:ascii="Arial" w:cs="Arial" w:eastAsia="Arial" w:hAnsi="Arial"/>
                <w:sz w:val="14"/>
                <w:szCs w:val="14"/>
                <w:color w:val="auto"/>
              </w:rPr>
              <w:t>Parking</w:t>
            </w:r>
            <w:r>
              <w:rPr>
                <w:rFonts w:ascii="Arial" w:cs="Arial" w:eastAsia="Arial" w:hAnsi="Arial"/>
                <w:sz w:val="17"/>
                <w:szCs w:val="17"/>
                <w:color w:val="auto"/>
                <w:vertAlign w:val="superscript"/>
              </w:rPr>
              <w:t>(2)</w:t>
            </w:r>
          </w:p>
        </w:tc>
        <w:tc>
          <w:tcPr>
            <w:tcW w:w="160" w:type="dxa"/>
            <w:vAlign w:val="bottom"/>
            <w:shd w:val="clear" w:color="auto" w:fill="DCE2EF"/>
          </w:tcPr>
          <w:p>
            <w:pPr>
              <w:spacing w:after="0"/>
              <w:rPr>
                <w:sz w:val="16"/>
                <w:szCs w:val="16"/>
                <w:color w:val="auto"/>
              </w:rPr>
            </w:pPr>
          </w:p>
        </w:tc>
        <w:tc>
          <w:tcPr>
            <w:tcW w:w="520" w:type="dxa"/>
            <w:vAlign w:val="bottom"/>
            <w:shd w:val="clear" w:color="auto" w:fill="DCE2EF"/>
          </w:tcPr>
          <w:p>
            <w:pPr>
              <w:jc w:val="right"/>
              <w:ind w:right="12"/>
              <w:spacing w:after="0"/>
              <w:rPr>
                <w:sz w:val="20"/>
                <w:szCs w:val="20"/>
                <w:color w:val="auto"/>
              </w:rPr>
            </w:pPr>
            <w:r>
              <w:rPr>
                <w:rFonts w:ascii="Arial" w:cs="Arial" w:eastAsia="Arial" w:hAnsi="Arial"/>
                <w:sz w:val="14"/>
                <w:szCs w:val="14"/>
                <w:color w:val="auto"/>
              </w:rPr>
              <w:t>100.3</w:t>
            </w: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40" w:type="dxa"/>
            <w:vAlign w:val="bottom"/>
            <w:shd w:val="clear" w:color="auto" w:fill="DCE2EF"/>
          </w:tcPr>
          <w:p>
            <w:pPr>
              <w:jc w:val="right"/>
              <w:ind w:right="12"/>
              <w:spacing w:after="0"/>
              <w:rPr>
                <w:sz w:val="20"/>
                <w:szCs w:val="20"/>
                <w:color w:val="auto"/>
              </w:rPr>
            </w:pPr>
            <w:r>
              <w:rPr>
                <w:rFonts w:ascii="Arial" w:cs="Arial" w:eastAsia="Arial" w:hAnsi="Arial"/>
                <w:sz w:val="14"/>
                <w:szCs w:val="14"/>
                <w:color w:val="auto"/>
              </w:rPr>
              <w:t>0.3</w:t>
            </w:r>
          </w:p>
        </w:tc>
        <w:tc>
          <w:tcPr>
            <w:tcW w:w="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600" w:type="dxa"/>
            <w:vAlign w:val="bottom"/>
            <w:shd w:val="clear" w:color="auto" w:fill="DCE2EF"/>
          </w:tcPr>
          <w:p>
            <w:pPr>
              <w:jc w:val="right"/>
              <w:ind w:right="12"/>
              <w:spacing w:after="0"/>
              <w:rPr>
                <w:sz w:val="20"/>
                <w:szCs w:val="20"/>
                <w:color w:val="auto"/>
              </w:rPr>
            </w:pPr>
            <w:r>
              <w:rPr>
                <w:rFonts w:ascii="Arial" w:cs="Arial" w:eastAsia="Arial" w:hAnsi="Arial"/>
                <w:sz w:val="14"/>
                <w:szCs w:val="14"/>
                <w:color w:val="auto"/>
              </w:rPr>
              <w:t>91.7</w:t>
            </w: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80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DCE2EF"/>
          </w:tcPr>
          <w:p>
            <w:pPr>
              <w:spacing w:after="0"/>
              <w:rPr>
                <w:sz w:val="16"/>
                <w:szCs w:val="16"/>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197.1</w:t>
            </w:r>
          </w:p>
        </w:tc>
        <w:tc>
          <w:tcPr>
            <w:tcW w:w="10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21.3</w:t>
            </w:r>
          </w:p>
        </w:tc>
        <w:tc>
          <w:tcPr>
            <w:tcW w:w="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660" w:type="dxa"/>
            <w:vAlign w:val="bottom"/>
            <w:shd w:val="clear" w:color="auto" w:fill="DCE2EF"/>
          </w:tcPr>
          <w:p>
            <w:pPr>
              <w:jc w:val="right"/>
              <w:ind w:right="12"/>
              <w:spacing w:after="0"/>
              <w:rPr>
                <w:sz w:val="20"/>
                <w:szCs w:val="20"/>
                <w:color w:val="auto"/>
              </w:rPr>
            </w:pPr>
            <w:r>
              <w:rPr>
                <w:rFonts w:ascii="Arial" w:cs="Arial" w:eastAsia="Arial" w:hAnsi="Arial"/>
                <w:sz w:val="14"/>
                <w:szCs w:val="14"/>
                <w:color w:val="auto"/>
              </w:rPr>
              <w:t>166.5</w:t>
            </w: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84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DCE2EF"/>
          </w:tcPr>
          <w:p>
            <w:pPr>
              <w:spacing w:after="0"/>
              <w:rPr>
                <w:sz w:val="16"/>
                <w:szCs w:val="16"/>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385.5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Facility</w:t>
            </w:r>
          </w:p>
        </w:tc>
        <w:tc>
          <w:tcPr>
            <w:tcW w:w="160" w:type="dxa"/>
            <w:vAlign w:val="bottom"/>
          </w:tcPr>
          <w:p>
            <w:pPr>
              <w:spacing w:after="0"/>
              <w:rPr>
                <w:sz w:val="11"/>
                <w:szCs w:val="11"/>
                <w:color w:val="auto"/>
              </w:rPr>
            </w:pPr>
          </w:p>
        </w:tc>
        <w:tc>
          <w:tcPr>
            <w:tcW w:w="520" w:type="dxa"/>
            <w:vAlign w:val="bottom"/>
            <w:vMerge w:val="restart"/>
          </w:tcPr>
          <w:p>
            <w:pPr>
              <w:jc w:val="right"/>
              <w:ind w:right="12"/>
              <w:spacing w:after="0"/>
              <w:rPr>
                <w:sz w:val="20"/>
                <w:szCs w:val="20"/>
                <w:color w:val="auto"/>
              </w:rPr>
            </w:pPr>
            <w:r>
              <w:rPr>
                <w:rFonts w:ascii="Arial" w:cs="Arial" w:eastAsia="Arial" w:hAnsi="Arial"/>
                <w:sz w:val="14"/>
                <w:szCs w:val="14"/>
                <w:color w:val="auto"/>
              </w:rPr>
              <w:t>224.7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12"/>
              <w:spacing w:after="0"/>
              <w:rPr>
                <w:sz w:val="20"/>
                <w:szCs w:val="20"/>
                <w:color w:val="auto"/>
              </w:rPr>
            </w:pPr>
            <w:r>
              <w:rPr>
                <w:rFonts w:ascii="Arial" w:cs="Arial" w:eastAsia="Arial" w:hAnsi="Arial"/>
                <w:sz w:val="14"/>
                <w:szCs w:val="14"/>
                <w:color w:val="auto"/>
              </w:rPr>
              <w:t>28.2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ind w:right="12"/>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298.9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477.3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78.5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12"/>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627.8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Services</w:t>
            </w:r>
            <w:r>
              <w:rPr>
                <w:rFonts w:ascii="Arial" w:cs="Arial" w:eastAsia="Arial" w:hAnsi="Arial"/>
                <w:sz w:val="17"/>
                <w:szCs w:val="17"/>
                <w:color w:val="auto"/>
                <w:vertAlign w:val="superscript"/>
              </w:rPr>
              <w:t>(3)</w:t>
            </w: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DCE2EF"/>
          </w:tcPr>
          <w:p>
            <w:pPr>
              <w:spacing w:after="0"/>
              <w:rPr>
                <w:sz w:val="11"/>
                <w:szCs w:val="11"/>
                <w:color w:val="auto"/>
              </w:rPr>
            </w:pPr>
          </w:p>
        </w:tc>
        <w:tc>
          <w:tcPr>
            <w:tcW w:w="1180" w:type="dxa"/>
            <w:vAlign w:val="bottom"/>
            <w:gridSpan w:val="2"/>
            <w:shd w:val="clear" w:color="auto" w:fill="DCE2EF"/>
          </w:tcPr>
          <w:p>
            <w:pPr>
              <w:ind w:left="120"/>
              <w:spacing w:after="0" w:line="135" w:lineRule="exact"/>
              <w:rPr>
                <w:sz w:val="20"/>
                <w:szCs w:val="20"/>
                <w:color w:val="auto"/>
              </w:rPr>
            </w:pPr>
            <w:r>
              <w:rPr>
                <w:rFonts w:ascii="Arial" w:cs="Arial" w:eastAsia="Arial" w:hAnsi="Arial"/>
                <w:sz w:val="14"/>
                <w:szCs w:val="14"/>
                <w:color w:val="auto"/>
              </w:rPr>
              <w:t>Building &amp;</w:t>
            </w:r>
          </w:p>
        </w:tc>
        <w:tc>
          <w:tcPr>
            <w:tcW w:w="160" w:type="dxa"/>
            <w:vAlign w:val="bottom"/>
            <w:shd w:val="clear" w:color="auto" w:fill="DCE2EF"/>
          </w:tcPr>
          <w:p>
            <w:pPr>
              <w:spacing w:after="0"/>
              <w:rPr>
                <w:sz w:val="11"/>
                <w:szCs w:val="11"/>
                <w:color w:val="auto"/>
              </w:rPr>
            </w:pPr>
          </w:p>
        </w:tc>
        <w:tc>
          <w:tcPr>
            <w:tcW w:w="5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48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74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60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7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60" w:type="dxa"/>
            <w:vAlign w:val="bottom"/>
            <w:shd w:val="clear" w:color="auto" w:fill="DCE2EF"/>
          </w:tcPr>
          <w:p>
            <w:pPr>
              <w:spacing w:after="0"/>
              <w:rPr>
                <w:sz w:val="11"/>
                <w:szCs w:val="11"/>
                <w:color w:val="auto"/>
              </w:rPr>
            </w:pPr>
          </w:p>
        </w:tc>
        <w:tc>
          <w:tcPr>
            <w:tcW w:w="60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56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54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76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66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74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580" w:type="dxa"/>
            <w:vAlign w:val="bottom"/>
            <w:shd w:val="clear" w:color="auto" w:fill="DCE2E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shd w:val="clear" w:color="auto" w:fill="DCE2EF"/>
          </w:tcPr>
          <w:p>
            <w:pPr>
              <w:spacing w:after="0"/>
              <w:rPr>
                <w:sz w:val="12"/>
                <w:szCs w:val="12"/>
                <w:color w:val="auto"/>
              </w:rPr>
            </w:pPr>
          </w:p>
        </w:tc>
        <w:tc>
          <w:tcPr>
            <w:tcW w:w="1180" w:type="dxa"/>
            <w:vAlign w:val="bottom"/>
            <w:gridSpan w:val="2"/>
            <w:shd w:val="clear" w:color="auto" w:fill="DCE2EF"/>
          </w:tcPr>
          <w:p>
            <w:pPr>
              <w:ind w:left="120"/>
              <w:spacing w:after="0" w:line="141" w:lineRule="exact"/>
              <w:rPr>
                <w:sz w:val="20"/>
                <w:szCs w:val="20"/>
                <w:color w:val="auto"/>
              </w:rPr>
            </w:pPr>
            <w:r>
              <w:rPr>
                <w:rFonts w:ascii="Arial" w:cs="Arial" w:eastAsia="Arial" w:hAnsi="Arial"/>
                <w:sz w:val="14"/>
                <w:szCs w:val="14"/>
                <w:color w:val="auto"/>
              </w:rPr>
              <w:t>Energy</w:t>
            </w:r>
          </w:p>
        </w:tc>
        <w:tc>
          <w:tcPr>
            <w:tcW w:w="160" w:type="dxa"/>
            <w:vAlign w:val="bottom"/>
            <w:shd w:val="clear" w:color="auto" w:fill="DCE2EF"/>
          </w:tcPr>
          <w:p>
            <w:pPr>
              <w:spacing w:after="0"/>
              <w:rPr>
                <w:sz w:val="12"/>
                <w:szCs w:val="12"/>
                <w:color w:val="auto"/>
              </w:rPr>
            </w:pPr>
          </w:p>
        </w:tc>
        <w:tc>
          <w:tcPr>
            <w:tcW w:w="600" w:type="dxa"/>
            <w:vAlign w:val="bottom"/>
            <w:gridSpan w:val="2"/>
            <w:vMerge w:val="restart"/>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12"/>
                <w:szCs w:val="12"/>
                <w:color w:val="auto"/>
              </w:rPr>
            </w:pPr>
          </w:p>
        </w:tc>
        <w:tc>
          <w:tcPr>
            <w:tcW w:w="580" w:type="dxa"/>
            <w:vAlign w:val="bottom"/>
            <w:gridSpan w:val="2"/>
            <w:vMerge w:val="restart"/>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12"/>
                <w:szCs w:val="12"/>
                <w:color w:val="auto"/>
              </w:rPr>
            </w:pPr>
          </w:p>
        </w:tc>
        <w:tc>
          <w:tcPr>
            <w:tcW w:w="820" w:type="dxa"/>
            <w:vAlign w:val="bottom"/>
            <w:gridSpan w:val="2"/>
            <w:vMerge w:val="restart"/>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12"/>
                <w:szCs w:val="12"/>
                <w:color w:val="auto"/>
              </w:rPr>
            </w:pPr>
          </w:p>
        </w:tc>
        <w:tc>
          <w:tcPr>
            <w:tcW w:w="680" w:type="dxa"/>
            <w:vAlign w:val="bottom"/>
            <w:gridSpan w:val="2"/>
            <w:vMerge w:val="restart"/>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12"/>
                <w:szCs w:val="12"/>
                <w:color w:val="auto"/>
              </w:rPr>
            </w:pPr>
          </w:p>
        </w:tc>
        <w:tc>
          <w:tcPr>
            <w:tcW w:w="720" w:type="dxa"/>
            <w:vAlign w:val="bottom"/>
            <w:vMerge w:val="restart"/>
            <w:shd w:val="clear" w:color="auto" w:fill="DCE2EF"/>
          </w:tcPr>
          <w:p>
            <w:pPr>
              <w:jc w:val="right"/>
              <w:ind w:right="13"/>
              <w:spacing w:after="0"/>
              <w:rPr>
                <w:sz w:val="20"/>
                <w:szCs w:val="20"/>
                <w:color w:val="auto"/>
              </w:rPr>
            </w:pPr>
            <w:r>
              <w:rPr>
                <w:rFonts w:ascii="Arial" w:cs="Arial" w:eastAsia="Arial" w:hAnsi="Arial"/>
                <w:sz w:val="14"/>
                <w:szCs w:val="14"/>
                <w:color w:val="auto"/>
              </w:rPr>
              <w:t>168.4</w:t>
            </w:r>
          </w:p>
        </w:tc>
        <w:tc>
          <w:tcPr>
            <w:tcW w:w="80" w:type="dxa"/>
            <w:vAlign w:val="bottom"/>
            <w:shd w:val="clear" w:color="auto" w:fill="DCE2EF"/>
          </w:tcPr>
          <w:p>
            <w:pPr>
              <w:spacing w:after="0"/>
              <w:rPr>
                <w:sz w:val="12"/>
                <w:szCs w:val="12"/>
                <w:color w:val="auto"/>
              </w:rPr>
            </w:pPr>
          </w:p>
        </w:tc>
        <w:tc>
          <w:tcPr>
            <w:tcW w:w="160" w:type="dxa"/>
            <w:vAlign w:val="bottom"/>
            <w:shd w:val="clear" w:color="auto" w:fill="DCE2EF"/>
          </w:tcPr>
          <w:p>
            <w:pPr>
              <w:spacing w:after="0"/>
              <w:rPr>
                <w:sz w:val="12"/>
                <w:szCs w:val="12"/>
                <w:color w:val="auto"/>
              </w:rPr>
            </w:pPr>
          </w:p>
        </w:tc>
        <w:tc>
          <w:tcPr>
            <w:tcW w:w="60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168.4</w:t>
            </w:r>
          </w:p>
        </w:tc>
        <w:tc>
          <w:tcPr>
            <w:tcW w:w="100" w:type="dxa"/>
            <w:vAlign w:val="bottom"/>
            <w:shd w:val="clear" w:color="auto" w:fill="DCE2EF"/>
          </w:tcPr>
          <w:p>
            <w:pPr>
              <w:spacing w:after="0"/>
              <w:rPr>
                <w:sz w:val="12"/>
                <w:szCs w:val="12"/>
                <w:color w:val="auto"/>
              </w:rPr>
            </w:pPr>
          </w:p>
        </w:tc>
        <w:tc>
          <w:tcPr>
            <w:tcW w:w="140" w:type="dxa"/>
            <w:vAlign w:val="bottom"/>
            <w:shd w:val="clear" w:color="auto" w:fill="DCE2EF"/>
          </w:tcPr>
          <w:p>
            <w:pPr>
              <w:spacing w:after="0"/>
              <w:rPr>
                <w:sz w:val="12"/>
                <w:szCs w:val="12"/>
                <w:color w:val="auto"/>
              </w:rPr>
            </w:pPr>
          </w:p>
        </w:tc>
        <w:tc>
          <w:tcPr>
            <w:tcW w:w="660" w:type="dxa"/>
            <w:vAlign w:val="bottom"/>
            <w:gridSpan w:val="2"/>
            <w:vMerge w:val="restart"/>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DCE2EF"/>
          </w:tcPr>
          <w:p>
            <w:pPr>
              <w:spacing w:after="0"/>
              <w:rPr>
                <w:sz w:val="12"/>
                <w:szCs w:val="12"/>
                <w:color w:val="auto"/>
              </w:rPr>
            </w:pP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120" w:type="dxa"/>
            <w:vAlign w:val="bottom"/>
            <w:shd w:val="clear" w:color="auto" w:fill="DCE2EF"/>
          </w:tcPr>
          <w:p>
            <w:pPr>
              <w:spacing w:after="0"/>
              <w:rPr>
                <w:sz w:val="12"/>
                <w:szCs w:val="12"/>
                <w:color w:val="auto"/>
              </w:rPr>
            </w:pPr>
          </w:p>
        </w:tc>
        <w:tc>
          <w:tcPr>
            <w:tcW w:w="860" w:type="dxa"/>
            <w:vAlign w:val="bottom"/>
            <w:gridSpan w:val="2"/>
            <w:vMerge w:val="restart"/>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12"/>
                <w:szCs w:val="12"/>
                <w:color w:val="auto"/>
              </w:rPr>
            </w:pPr>
          </w:p>
        </w:tc>
        <w:tc>
          <w:tcPr>
            <w:tcW w:w="740" w:type="dxa"/>
            <w:vAlign w:val="bottom"/>
            <w:gridSpan w:val="2"/>
            <w:vMerge w:val="restart"/>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12"/>
                <w:szCs w:val="12"/>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315.5</w:t>
            </w:r>
          </w:p>
        </w:tc>
        <w:tc>
          <w:tcPr>
            <w:tcW w:w="100" w:type="dxa"/>
            <w:vAlign w:val="bottom"/>
            <w:shd w:val="clear" w:color="auto" w:fill="DCE2EF"/>
          </w:tcPr>
          <w:p>
            <w:pPr>
              <w:spacing w:after="0"/>
              <w:rPr>
                <w:sz w:val="12"/>
                <w:szCs w:val="12"/>
                <w:color w:val="auto"/>
              </w:rPr>
            </w:pPr>
          </w:p>
        </w:tc>
        <w:tc>
          <w:tcPr>
            <w:tcW w:w="140" w:type="dxa"/>
            <w:vAlign w:val="bottom"/>
            <w:shd w:val="clear" w:color="auto" w:fill="DCE2EF"/>
          </w:tcPr>
          <w:p>
            <w:pPr>
              <w:spacing w:after="0"/>
              <w:rPr>
                <w:sz w:val="12"/>
                <w:szCs w:val="12"/>
                <w:color w:val="auto"/>
              </w:rPr>
            </w:pPr>
          </w:p>
        </w:tc>
        <w:tc>
          <w:tcPr>
            <w:tcW w:w="58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315.5</w:t>
            </w:r>
          </w:p>
        </w:tc>
        <w:tc>
          <w:tcPr>
            <w:tcW w:w="0" w:type="dxa"/>
            <w:vAlign w:val="bottom"/>
          </w:tcPr>
          <w:p>
            <w:pPr>
              <w:spacing w:after="0"/>
              <w:rPr>
                <w:sz w:val="1"/>
                <w:szCs w:val="1"/>
                <w:color w:val="auto"/>
              </w:rPr>
            </w:pPr>
          </w:p>
        </w:tc>
      </w:tr>
      <w:tr>
        <w:trPr>
          <w:trHeight w:val="183"/>
        </w:trPr>
        <w:tc>
          <w:tcPr>
            <w:tcW w:w="20" w:type="dxa"/>
            <w:vAlign w:val="bottom"/>
            <w:shd w:val="clear" w:color="auto" w:fill="DCE2EF"/>
          </w:tcPr>
          <w:p>
            <w:pPr>
              <w:spacing w:after="0"/>
              <w:rPr>
                <w:sz w:val="15"/>
                <w:szCs w:val="15"/>
                <w:color w:val="auto"/>
              </w:rPr>
            </w:pPr>
          </w:p>
        </w:tc>
        <w:tc>
          <w:tcPr>
            <w:tcW w:w="1180" w:type="dxa"/>
            <w:vAlign w:val="bottom"/>
            <w:gridSpan w:val="2"/>
            <w:shd w:val="clear" w:color="auto" w:fill="DCE2EF"/>
          </w:tcPr>
          <w:p>
            <w:pPr>
              <w:ind w:left="120"/>
              <w:spacing w:after="0" w:line="183" w:lineRule="exact"/>
              <w:rPr>
                <w:sz w:val="20"/>
                <w:szCs w:val="20"/>
                <w:color w:val="auto"/>
              </w:rPr>
            </w:pPr>
            <w:r>
              <w:rPr>
                <w:rFonts w:ascii="Arial" w:cs="Arial" w:eastAsia="Arial" w:hAnsi="Arial"/>
                <w:sz w:val="14"/>
                <w:szCs w:val="14"/>
                <w:color w:val="auto"/>
              </w:rPr>
              <w:t>Solutions</w:t>
            </w:r>
            <w:r>
              <w:rPr>
                <w:rFonts w:ascii="Arial" w:cs="Arial" w:eastAsia="Arial" w:hAnsi="Arial"/>
                <w:sz w:val="17"/>
                <w:szCs w:val="17"/>
                <w:color w:val="auto"/>
                <w:vertAlign w:val="superscript"/>
              </w:rPr>
              <w:t>(4)</w:t>
            </w:r>
          </w:p>
        </w:tc>
        <w:tc>
          <w:tcPr>
            <w:tcW w:w="160" w:type="dxa"/>
            <w:vAlign w:val="bottom"/>
            <w:shd w:val="clear" w:color="auto" w:fill="DCE2EF"/>
          </w:tcPr>
          <w:p>
            <w:pPr>
              <w:spacing w:after="0"/>
              <w:rPr>
                <w:sz w:val="15"/>
                <w:szCs w:val="15"/>
                <w:color w:val="auto"/>
              </w:rPr>
            </w:pPr>
          </w:p>
        </w:tc>
        <w:tc>
          <w:tcPr>
            <w:tcW w:w="600" w:type="dxa"/>
            <w:vAlign w:val="bottom"/>
            <w:gridSpan w:val="2"/>
            <w:vMerge w:val="continue"/>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580" w:type="dxa"/>
            <w:vAlign w:val="bottom"/>
            <w:gridSpan w:val="2"/>
            <w:vMerge w:val="continue"/>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820" w:type="dxa"/>
            <w:vAlign w:val="bottom"/>
            <w:gridSpan w:val="2"/>
            <w:vMerge w:val="continue"/>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680" w:type="dxa"/>
            <w:vAlign w:val="bottom"/>
            <w:gridSpan w:val="2"/>
            <w:vMerge w:val="continue"/>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72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600" w:type="dxa"/>
            <w:vAlign w:val="bottom"/>
            <w:vMerge w:val="continue"/>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660" w:type="dxa"/>
            <w:vAlign w:val="bottom"/>
            <w:gridSpan w:val="2"/>
            <w:vMerge w:val="continue"/>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540" w:type="dxa"/>
            <w:vAlign w:val="bottom"/>
            <w:vMerge w:val="continue"/>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860" w:type="dxa"/>
            <w:vAlign w:val="bottom"/>
            <w:gridSpan w:val="2"/>
            <w:vMerge w:val="continue"/>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740" w:type="dxa"/>
            <w:vAlign w:val="bottom"/>
            <w:gridSpan w:val="2"/>
            <w:vMerge w:val="continue"/>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740" w:type="dxa"/>
            <w:vAlign w:val="bottom"/>
            <w:vMerge w:val="continue"/>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580" w:type="dxa"/>
            <w:vAlign w:val="bottom"/>
            <w:vMerge w:val="continue"/>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Airline</w:t>
            </w:r>
          </w:p>
        </w:tc>
        <w:tc>
          <w:tcPr>
            <w:tcW w:w="16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ind w:right="12"/>
              <w:spacing w:after="0"/>
              <w:rPr>
                <w:sz w:val="20"/>
                <w:szCs w:val="20"/>
                <w:color w:val="auto"/>
              </w:rPr>
            </w:pPr>
            <w:r>
              <w:rPr>
                <w:rFonts w:ascii="Arial" w:cs="Arial" w:eastAsia="Arial" w:hAnsi="Arial"/>
                <w:sz w:val="14"/>
                <w:szCs w:val="14"/>
                <w:color w:val="auto"/>
              </w:rPr>
              <w:t>91.3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91.3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vMerge w:val="restart"/>
          </w:tcPr>
          <w:p>
            <w:pPr>
              <w:jc w:val="right"/>
              <w:ind w:right="12"/>
              <w:spacing w:after="0"/>
              <w:rPr>
                <w:sz w:val="20"/>
                <w:szCs w:val="20"/>
                <w:color w:val="auto"/>
              </w:rPr>
            </w:pPr>
            <w:r>
              <w:rPr>
                <w:rFonts w:ascii="Arial" w:cs="Arial" w:eastAsia="Arial" w:hAnsi="Arial"/>
                <w:sz w:val="14"/>
                <w:szCs w:val="14"/>
                <w:color w:val="auto"/>
              </w:rPr>
              <w:t>184.1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Services</w:t>
            </w:r>
            <w:r>
              <w:rPr>
                <w:rFonts w:ascii="Arial" w:cs="Arial" w:eastAsia="Arial" w:hAnsi="Arial"/>
                <w:sz w:val="17"/>
                <w:szCs w:val="17"/>
                <w:color w:val="auto"/>
                <w:vertAlign w:val="superscript"/>
              </w:rPr>
              <w:t>(5)</w:t>
            </w:r>
          </w:p>
        </w:tc>
        <w:tc>
          <w:tcPr>
            <w:tcW w:w="16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DCE2EF"/>
              <w:bottom w:val="single" w:sz="8" w:color="DCE2EF"/>
            </w:tcBorders>
            <w:shd w:val="clear" w:color="auto" w:fill="DCE2EF"/>
          </w:tcPr>
          <w:p>
            <w:pPr>
              <w:spacing w:after="0"/>
              <w:rPr>
                <w:sz w:val="17"/>
                <w:szCs w:val="17"/>
                <w:color w:val="auto"/>
              </w:rPr>
            </w:pPr>
          </w:p>
        </w:tc>
        <w:tc>
          <w:tcPr>
            <w:tcW w:w="1180" w:type="dxa"/>
            <w:vAlign w:val="bottom"/>
            <w:tcBorders>
              <w:top w:val="single" w:sz="8" w:color="DCE2EF"/>
              <w:bottom w:val="single" w:sz="8" w:color="DCE2EF"/>
            </w:tcBorders>
            <w:gridSpan w:val="2"/>
            <w:shd w:val="clear" w:color="auto" w:fill="DCE2EF"/>
          </w:tcPr>
          <w:p>
            <w:pPr>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DCE2EF"/>
          </w:tcPr>
          <w:p>
            <w:pPr>
              <w:jc w:val="right"/>
              <w:ind w:right="12"/>
              <w:spacing w:after="0"/>
              <w:rPr>
                <w:sz w:val="20"/>
                <w:szCs w:val="20"/>
                <w:color w:val="auto"/>
              </w:rPr>
            </w:pPr>
            <w:r>
              <w:rPr>
                <w:rFonts w:ascii="Arial" w:cs="Arial" w:eastAsia="Arial" w:hAnsi="Arial"/>
                <w:sz w:val="14"/>
                <w:szCs w:val="14"/>
                <w:color w:val="auto"/>
              </w:rPr>
              <w:t>998.5</w:t>
            </w:r>
          </w:p>
        </w:tc>
        <w:tc>
          <w:tcPr>
            <w:tcW w:w="80" w:type="dxa"/>
            <w:vAlign w:val="bottom"/>
            <w:tcBorders>
              <w:top w:val="single" w:sz="8" w:color="DCE2EF"/>
              <w:bottom w:val="single" w:sz="8" w:color="DCE2EF"/>
            </w:tcBorders>
            <w:shd w:val="clear" w:color="auto" w:fill="DCE2EF"/>
          </w:tcPr>
          <w:p>
            <w:pPr>
              <w:spacing w:after="0"/>
              <w:rPr>
                <w:sz w:val="17"/>
                <w:szCs w:val="17"/>
                <w:color w:val="auto"/>
              </w:rPr>
            </w:pPr>
          </w:p>
        </w:tc>
        <w:tc>
          <w:tcPr>
            <w:tcW w:w="1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373.2</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1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DCE2EF"/>
          </w:tcPr>
          <w:p>
            <w:pPr>
              <w:jc w:val="right"/>
              <w:ind w:right="12"/>
              <w:spacing w:after="0"/>
              <w:rPr>
                <w:sz w:val="20"/>
                <w:szCs w:val="20"/>
                <w:color w:val="auto"/>
              </w:rPr>
            </w:pPr>
            <w:r>
              <w:rPr>
                <w:rFonts w:ascii="Arial" w:cs="Arial" w:eastAsia="Arial" w:hAnsi="Arial"/>
                <w:sz w:val="14"/>
                <w:szCs w:val="14"/>
                <w:color w:val="auto"/>
              </w:rPr>
              <w:t>216.7</w:t>
            </w:r>
          </w:p>
        </w:tc>
        <w:tc>
          <w:tcPr>
            <w:tcW w:w="80" w:type="dxa"/>
            <w:vAlign w:val="bottom"/>
            <w:tcBorders>
              <w:top w:val="single" w:sz="8" w:color="DCE2EF"/>
              <w:bottom w:val="single" w:sz="8" w:color="DCE2EF"/>
            </w:tcBorders>
            <w:shd w:val="clear" w:color="auto" w:fill="DCE2EF"/>
          </w:tcPr>
          <w:p>
            <w:pPr>
              <w:spacing w:after="0"/>
              <w:rPr>
                <w:sz w:val="17"/>
                <w:szCs w:val="17"/>
                <w:color w:val="auto"/>
              </w:rPr>
            </w:pPr>
          </w:p>
        </w:tc>
        <w:tc>
          <w:tcPr>
            <w:tcW w:w="1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DCE2EF"/>
          </w:tcPr>
          <w:p>
            <w:pPr>
              <w:jc w:val="right"/>
              <w:ind w:right="12"/>
              <w:spacing w:after="0"/>
              <w:rPr>
                <w:sz w:val="20"/>
                <w:szCs w:val="20"/>
                <w:color w:val="auto"/>
              </w:rPr>
            </w:pPr>
            <w:r>
              <w:rPr>
                <w:rFonts w:ascii="Arial" w:cs="Arial" w:eastAsia="Arial" w:hAnsi="Arial"/>
                <w:sz w:val="14"/>
                <w:szCs w:val="14"/>
                <w:color w:val="auto"/>
              </w:rPr>
              <w:t>227.2</w:t>
            </w:r>
          </w:p>
        </w:tc>
        <w:tc>
          <w:tcPr>
            <w:tcW w:w="80" w:type="dxa"/>
            <w:vAlign w:val="bottom"/>
            <w:tcBorders>
              <w:top w:val="single" w:sz="8" w:color="DCE2EF"/>
              <w:bottom w:val="single" w:sz="8" w:color="DCE2EF"/>
            </w:tcBorders>
            <w:shd w:val="clear" w:color="auto" w:fill="DCE2EF"/>
          </w:tcPr>
          <w:p>
            <w:pPr>
              <w:spacing w:after="0"/>
              <w:rPr>
                <w:sz w:val="17"/>
                <w:szCs w:val="17"/>
                <w:color w:val="auto"/>
              </w:rPr>
            </w:pPr>
          </w:p>
        </w:tc>
        <w:tc>
          <w:tcPr>
            <w:tcW w:w="1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DCE2EF"/>
          </w:tcPr>
          <w:p>
            <w:pPr>
              <w:jc w:val="right"/>
              <w:ind w:right="13"/>
              <w:spacing w:after="0"/>
              <w:rPr>
                <w:sz w:val="20"/>
                <w:szCs w:val="20"/>
                <w:color w:val="auto"/>
              </w:rPr>
            </w:pPr>
            <w:r>
              <w:rPr>
                <w:rFonts w:ascii="Arial" w:cs="Arial" w:eastAsia="Arial" w:hAnsi="Arial"/>
                <w:sz w:val="14"/>
                <w:szCs w:val="14"/>
                <w:color w:val="auto"/>
              </w:rPr>
              <w:t>168.4</w:t>
            </w:r>
          </w:p>
        </w:tc>
        <w:tc>
          <w:tcPr>
            <w:tcW w:w="80" w:type="dxa"/>
            <w:vAlign w:val="bottom"/>
            <w:tcBorders>
              <w:top w:val="single" w:sz="8" w:color="DCE2EF"/>
              <w:bottom w:val="single" w:sz="8" w:color="DCE2EF"/>
            </w:tcBorders>
            <w:shd w:val="clear" w:color="auto" w:fill="DCE2EF"/>
          </w:tcPr>
          <w:p>
            <w:pPr>
              <w:spacing w:after="0"/>
              <w:rPr>
                <w:sz w:val="17"/>
                <w:szCs w:val="17"/>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1,984.0</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2,035.0</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753.7</w:t>
            </w:r>
          </w:p>
        </w:tc>
        <w:tc>
          <w:tcPr>
            <w:tcW w:w="20" w:type="dxa"/>
            <w:vAlign w:val="bottom"/>
            <w:tcBorders>
              <w:top w:val="single" w:sz="8" w:color="auto"/>
              <w:bottom w:val="single" w:sz="8" w:color="auto"/>
            </w:tcBorders>
            <w:shd w:val="clear" w:color="auto" w:fill="DCE2EF"/>
          </w:tcPr>
          <w:p>
            <w:pPr>
              <w:spacing w:after="0"/>
              <w:rPr>
                <w:sz w:val="17"/>
                <w:szCs w:val="17"/>
                <w:color w:val="auto"/>
              </w:rPr>
            </w:pP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1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431.6</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1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DCE2EF"/>
          </w:tcPr>
          <w:p>
            <w:pPr>
              <w:jc w:val="right"/>
              <w:ind w:right="12"/>
              <w:spacing w:after="0"/>
              <w:rPr>
                <w:sz w:val="20"/>
                <w:szCs w:val="20"/>
                <w:color w:val="auto"/>
              </w:rPr>
            </w:pPr>
            <w:r>
              <w:rPr>
                <w:rFonts w:ascii="Arial" w:cs="Arial" w:eastAsia="Arial" w:hAnsi="Arial"/>
                <w:sz w:val="14"/>
                <w:szCs w:val="14"/>
                <w:color w:val="auto"/>
              </w:rPr>
              <w:t>439.5</w:t>
            </w:r>
          </w:p>
        </w:tc>
        <w:tc>
          <w:tcPr>
            <w:tcW w:w="80" w:type="dxa"/>
            <w:vAlign w:val="bottom"/>
            <w:tcBorders>
              <w:top w:val="single" w:sz="8" w:color="DCE2EF"/>
              <w:bottom w:val="single" w:sz="8" w:color="DCE2EF"/>
            </w:tcBorders>
            <w:shd w:val="clear" w:color="auto" w:fill="DCE2EF"/>
          </w:tcPr>
          <w:p>
            <w:pPr>
              <w:spacing w:after="0"/>
              <w:rPr>
                <w:sz w:val="17"/>
                <w:szCs w:val="17"/>
                <w:color w:val="auto"/>
              </w:rPr>
            </w:pPr>
          </w:p>
        </w:tc>
        <w:tc>
          <w:tcPr>
            <w:tcW w:w="1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315.5</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3,975.3</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5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52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4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74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60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72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6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5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54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7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66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7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5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left="180" w:hanging="172"/>
        <w:spacing w:after="0" w:line="238" w:lineRule="auto"/>
        <w:tabs>
          <w:tab w:leader="none" w:pos="213"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Janitorial arrangements provide a wide range of essential cleaning services for commercial office buildings, airports and other transportation centers, educational institutions, government buildings, health facilities, industrial buildings, retail stores, and stadiums and arenas. These arrangements are often structured as monthly fixed-price, square-foot, cost-plus, and work order contracts.</w:t>
      </w:r>
    </w:p>
    <w:p>
      <w:pPr>
        <w:spacing w:after="0" w:line="84" w:lineRule="exact"/>
        <w:rPr>
          <w:rFonts w:ascii="Arial" w:cs="Arial" w:eastAsia="Arial" w:hAnsi="Arial"/>
          <w:sz w:val="21"/>
          <w:szCs w:val="21"/>
          <w:color w:val="auto"/>
          <w:vertAlign w:val="superscript"/>
        </w:rPr>
      </w:pPr>
    </w:p>
    <w:p>
      <w:pPr>
        <w:jc w:val="both"/>
        <w:ind w:left="180" w:hanging="172"/>
        <w:spacing w:after="0" w:line="246" w:lineRule="auto"/>
        <w:tabs>
          <w:tab w:leader="none" w:pos="189"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Parking arrangements provide parking and transportation services for clients at various locations, including airports and other transportation centers, commercial office buildings, educational institutions, health facilities, hotels, and stadiums and arenas. These arrangements are structured as management reimbursement, leased location, and allowance contracts. Certain of these arrangements are considered service concession agreements and are accounted for under the guidance of Topic 853; accordingly, service concession expense related to these arrangements is recorded as a reduction of the related parking service revenues.</w:t>
      </w:r>
    </w:p>
    <w:p>
      <w:pPr>
        <w:spacing w:after="0" w:line="78" w:lineRule="exact"/>
        <w:rPr>
          <w:rFonts w:ascii="Arial" w:cs="Arial" w:eastAsia="Arial" w:hAnsi="Arial"/>
          <w:sz w:val="21"/>
          <w:szCs w:val="21"/>
          <w:color w:val="auto"/>
          <w:vertAlign w:val="superscript"/>
        </w:rPr>
      </w:pPr>
    </w:p>
    <w:p>
      <w:pPr>
        <w:jc w:val="both"/>
        <w:ind w:left="180" w:hanging="172"/>
        <w:spacing w:after="0"/>
        <w:tabs>
          <w:tab w:leader="none" w:pos="214"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Facility Services arrangements provide onsite mechanical engineering and technical services and solutions relating to a broad range of facilities and infrastructure systems that are designed to extend the useful life of facility fixed assets, improve equipment operating efficiencies, reduce energy consumption, lower overall operational costs for clients, and enhance the sustainability of client locations. These arrangements are generally structured as monthly fixed-price, cost-plus, and work order contracts.</w:t>
      </w:r>
    </w:p>
    <w:p>
      <w:pPr>
        <w:spacing w:after="0" w:line="97" w:lineRule="exact"/>
        <w:rPr>
          <w:rFonts w:ascii="Arial" w:cs="Arial" w:eastAsia="Arial" w:hAnsi="Arial"/>
          <w:sz w:val="21"/>
          <w:szCs w:val="21"/>
          <w:color w:val="auto"/>
          <w:vertAlign w:val="superscript"/>
        </w:rPr>
      </w:pPr>
    </w:p>
    <w:p>
      <w:pPr>
        <w:ind w:left="180" w:right="20" w:hanging="172"/>
        <w:spacing w:after="0" w:line="227" w:lineRule="auto"/>
        <w:tabs>
          <w:tab w:leader="none" w:pos="189"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Building &amp; Energy Solutions arrangements provide custom energy solutions, including microgrid systems installation, electrical, HVAC, lighting, electric vehicle charging station installation, and other general maintenance and repair services for clients in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3" w:name="page14"/>
    <w:bookmarkEnd w:id="13"/>
    <w:p>
      <w:pPr>
        <w:ind w:left="180"/>
        <w:spacing w:after="0" w:line="286" w:lineRule="auto"/>
        <w:rPr>
          <w:sz w:val="20"/>
          <w:szCs w:val="20"/>
          <w:color w:val="auto"/>
        </w:rPr>
      </w:pPr>
      <w:r>
        <w:rPr>
          <w:rFonts w:ascii="Arial" w:cs="Arial" w:eastAsia="Arial" w:hAnsi="Arial"/>
          <w:sz w:val="16"/>
          <w:szCs w:val="16"/>
          <w:color w:val="auto"/>
        </w:rPr>
        <w:t>the public and private sectors and are generally structured as Energy Savings, Fixed-Price Repair, and Refurbishment contracts. We also franchise certain operations under franchise agreements relating to our Linc Network and TEGG brands pursuant to franchise contracts.</w:t>
      </w:r>
    </w:p>
    <w:p>
      <w:pPr>
        <w:spacing w:after="0" w:line="61" w:lineRule="exact"/>
        <w:rPr>
          <w:sz w:val="20"/>
          <w:szCs w:val="20"/>
          <w:color w:val="auto"/>
        </w:rPr>
      </w:pPr>
    </w:p>
    <w:p>
      <w:pPr>
        <w:ind w:left="180" w:hanging="172"/>
        <w:spacing w:after="0" w:line="227" w:lineRule="auto"/>
        <w:tabs>
          <w:tab w:leader="none" w:pos="245"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Airline Services arrangements support airlines and airports with services such as passenger assistance, catering logistics, and airplane cabin maintenance. These arrangements are often structured as monthly fixed-price, cost-plus, transaction price, and hourly contracts.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Contract Types</w:t>
      </w:r>
    </w:p>
    <w:p>
      <w:pPr>
        <w:spacing w:after="0" w:line="17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We have arrangements under various contract types, as described in Note 2, “Basis of Presentation and Significant Accounting Policies,” in our Annual Report on Form 10-K for the year ended October 31, 2023.</w:t>
      </w:r>
    </w:p>
    <w:p>
      <w:pPr>
        <w:spacing w:after="0" w:line="9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arrangements involve variable consideration (primarily per transaction fees, reimbursable expenses, and sales-based royalties). We do not estimate the variable consideration for these arrangements; rather, we recognize these variable fees as they are earned. Some of our contracts, often related to Airline Services, may also include performance incentives based on variable performance measures that are ascertained exclusively by future performance and therefore cannot be estimated at contract inception and are recognized as revenue once known and mutually agreed upon.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our contracts include performance obligations that are primarily satisfied over time as we provide the related services. These contract types include: monthly fixed-price; square-foot; cost-plus; work orders; transaction-price; hourly; management reimbursement; leased location; allowance; energy savings contracts; and fixed-price repair and refurbishment contracts, as well as our franchise and royalty fee arrangements. We recognize revenue as the services are performed using a measure of progress that is determined by the contract type. Generally, most of our contracts are cancelable by either party without a substantive penalty, and the majority have a notification period of 30 to 90 days.</w:t>
      </w:r>
    </w:p>
    <w:p>
      <w:pPr>
        <w:spacing w:after="0" w:line="1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primarily account for our performance obligations under the series guidance, using the as-invoiced practical expedient when applicable. We apply the as-invoiced practical expedient to record revenue as the services are provided, given the nature of the services provided and the frequency of billing under the customer contracts. Under this practical expedient, we recognize revenue in an amount that corresponds directly with the value to the customer of our performance completed to date and for which we have the right to invoice the customer.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Remaining Performance Obligations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At April 30, 2024, performance obligations that were unsatisfied for which we expect to recognize revenue totaled $283.0 million. We expect to recognize revenue on approximately 71% of the remaining performance obligations over the next 12 months, with the remainder recognized thereafter, based on our estimates of project timing.</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amounts exclude variable consideration primarily related to: (i) contracts where we have determined that the contract consists of a series of distinct service periods, and revenues are based on future performance that cannot be estimated at contract inception; (ii) parking contracts where we and the customer share the gross revenues or operating profit for the location; and (iii) contracts where transaction prices include performance incentives that are based on future performance and therefore cannot be estimated at contract inception. For these contract types, we apply the practical expedient that permits exclusion of information about the remaining performance obligations with original expected durations of one year or less.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164FA2"/>
        </w:rPr>
        <w:t>Contract Balances</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timing of revenue recognition, billings, and cash collections results in contract assets and contract liabilities, as further explained below. The timing of revenue recognition may differ from the timing of invoicing to customers.</w:t>
      </w:r>
    </w:p>
    <w:p>
      <w:pPr>
        <w:spacing w:after="0" w:line="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Contract assets primarily consist of billed trade receivables, unbilled trade receivables, and costs incurred in excess of amounts billed. Billed and unbilled trade receivables represent amounts from work completed in which we have an unconditional right to bill our customer. Costs incurred in excess of amounts billed typically arise when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4" w:name="page15"/>
    <w:bookmarkEnd w:id="14"/>
    <w:p>
      <w:pPr>
        <w:jc w:val="both"/>
        <w:spacing w:after="0" w:line="262" w:lineRule="auto"/>
        <w:rPr>
          <w:sz w:val="20"/>
          <w:szCs w:val="20"/>
          <w:color w:val="auto"/>
        </w:rPr>
      </w:pPr>
      <w:r>
        <w:rPr>
          <w:rFonts w:ascii="Arial" w:cs="Arial" w:eastAsia="Arial" w:hAnsi="Arial"/>
          <w:sz w:val="18"/>
          <w:szCs w:val="18"/>
          <w:color w:val="auto"/>
        </w:rPr>
        <w:t>revenue recognized on projects exceeds the amount billed to the customer. These amounts are transferred to billed trade receivables when the rights become unconditional. Contract assets also include the capitalization of incremental costs of obtaining a contract with a customer, primarily commissions. Commissions expense is recognized on a straight-line basis over a weighted average expected customer relationship period.</w:t>
      </w:r>
    </w:p>
    <w:p>
      <w:pPr>
        <w:spacing w:after="0" w:line="1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Contract liabilities consist of deferred revenue and advance payments and billings in excess of revenue recognized. We generally classify contract liabilities as current since the related contracts are generally for a period of one year or less. Contract liabilities decrease as we recognize revenue from the satisfaction of the related performance obligation.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balances in our contract assets and contract liabilities: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9"/>
                <w:szCs w:val="19"/>
                <w:color w:val="auto"/>
              </w:rPr>
            </w:pPr>
          </w:p>
        </w:tc>
        <w:tc>
          <w:tcPr>
            <w:tcW w:w="2020" w:type="dxa"/>
            <w:vAlign w:val="bottom"/>
            <w:gridSpan w:val="2"/>
          </w:tcPr>
          <w:p>
            <w:pPr>
              <w:ind w:left="220"/>
              <w:spacing w:after="0"/>
              <w:rPr>
                <w:sz w:val="20"/>
                <w:szCs w:val="20"/>
                <w:color w:val="auto"/>
              </w:rPr>
            </w:pPr>
            <w:r>
              <w:rPr>
                <w:rFonts w:ascii="Arial" w:cs="Arial" w:eastAsia="Arial" w:hAnsi="Arial"/>
                <w:sz w:val="18"/>
                <w:szCs w:val="18"/>
                <w:b w:val="1"/>
                <w:bCs w:val="1"/>
                <w:color w:val="auto"/>
              </w:rPr>
              <w:t>April 30, 2024</w:t>
            </w:r>
          </w:p>
        </w:tc>
        <w:tc>
          <w:tcPr>
            <w:tcW w:w="240" w:type="dxa"/>
            <w:vAlign w:val="bottom"/>
          </w:tcPr>
          <w:p>
            <w:pPr>
              <w:spacing w:after="0"/>
              <w:rPr>
                <w:sz w:val="19"/>
                <w:szCs w:val="19"/>
                <w:color w:val="auto"/>
              </w:rPr>
            </w:pPr>
          </w:p>
        </w:tc>
        <w:tc>
          <w:tcPr>
            <w:tcW w:w="1980" w:type="dxa"/>
            <w:vAlign w:val="bottom"/>
          </w:tcPr>
          <w:p>
            <w:pPr>
              <w:jc w:val="right"/>
              <w:ind w:right="317"/>
              <w:spacing w:after="0"/>
              <w:rPr>
                <w:sz w:val="20"/>
                <w:szCs w:val="20"/>
                <w:color w:val="auto"/>
              </w:rPr>
            </w:pPr>
            <w:r>
              <w:rPr>
                <w:rFonts w:ascii="Arial" w:cs="Arial" w:eastAsia="Arial" w:hAnsi="Arial"/>
                <w:sz w:val="18"/>
                <w:szCs w:val="18"/>
                <w:b w:val="1"/>
                <w:bCs w:val="1"/>
                <w:color w:val="auto"/>
              </w:rPr>
              <w:t>October 31, 2023</w:t>
            </w:r>
          </w:p>
        </w:tc>
      </w:tr>
      <w:tr>
        <w:trPr>
          <w:trHeight w:val="34"/>
        </w:trPr>
        <w:tc>
          <w:tcPr>
            <w:tcW w:w="20" w:type="dxa"/>
            <w:vAlign w:val="bottom"/>
            <w:tcBorders>
              <w:bottom w:val="single" w:sz="8" w:color="DCE2EF"/>
            </w:tcBorders>
          </w:tcPr>
          <w:p>
            <w:pPr>
              <w:spacing w:after="0"/>
              <w:rPr>
                <w:sz w:val="2"/>
                <w:szCs w:val="2"/>
                <w:color w:val="auto"/>
              </w:rPr>
            </w:pPr>
          </w:p>
        </w:tc>
        <w:tc>
          <w:tcPr>
            <w:tcW w:w="720" w:type="dxa"/>
            <w:vAlign w:val="bottom"/>
            <w:tcBorders>
              <w:top w:val="single" w:sz="8" w:color="auto"/>
              <w:bottom w:val="single" w:sz="8" w:color="DCE2EF"/>
            </w:tcBorders>
          </w:tcPr>
          <w:p>
            <w:pPr>
              <w:spacing w:after="0"/>
              <w:rPr>
                <w:sz w:val="2"/>
                <w:szCs w:val="2"/>
                <w:color w:val="auto"/>
              </w:rPr>
            </w:pPr>
          </w:p>
        </w:tc>
        <w:tc>
          <w:tcPr>
            <w:tcW w:w="594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DCE2EF"/>
          </w:tcPr>
          <w:p>
            <w:pPr>
              <w:spacing w:after="0"/>
              <w:rPr>
                <w:sz w:val="17"/>
                <w:szCs w:val="17"/>
                <w:color w:val="auto"/>
              </w:rPr>
            </w:pPr>
          </w:p>
        </w:tc>
        <w:tc>
          <w:tcPr>
            <w:tcW w:w="666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Contract assets</w:t>
            </w:r>
          </w:p>
        </w:tc>
        <w:tc>
          <w:tcPr>
            <w:tcW w:w="320" w:type="dxa"/>
            <w:vAlign w:val="bottom"/>
            <w:shd w:val="clear" w:color="auto" w:fill="DCE2EF"/>
          </w:tcPr>
          <w:p>
            <w:pPr>
              <w:spacing w:after="0"/>
              <w:rPr>
                <w:sz w:val="17"/>
                <w:szCs w:val="17"/>
                <w:color w:val="auto"/>
              </w:rPr>
            </w:pPr>
          </w:p>
        </w:tc>
        <w:tc>
          <w:tcPr>
            <w:tcW w:w="19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1980" w:type="dxa"/>
            <w:vAlign w:val="bottom"/>
            <w:shd w:val="clear" w:color="auto" w:fill="DCE2E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Billed trade receivables</w:t>
            </w:r>
            <w:r>
              <w:rPr>
                <w:rFonts w:ascii="Arial" w:cs="Arial" w:eastAsia="Arial" w:hAnsi="Arial"/>
                <w:sz w:val="21"/>
                <w:szCs w:val="21"/>
                <w:color w:val="auto"/>
                <w:vertAlign w:val="superscript"/>
              </w:rPr>
              <w:t>(1)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1,167.6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1,219.6</w:t>
            </w:r>
          </w:p>
        </w:tc>
      </w:tr>
      <w:tr>
        <w:trPr>
          <w:trHeight w:val="216"/>
        </w:trPr>
        <w:tc>
          <w:tcPr>
            <w:tcW w:w="20" w:type="dxa"/>
            <w:vAlign w:val="bottom"/>
            <w:shd w:val="clear" w:color="auto" w:fill="DCE2EF"/>
          </w:tcPr>
          <w:p>
            <w:pPr>
              <w:spacing w:after="0"/>
              <w:rPr>
                <w:sz w:val="18"/>
                <w:szCs w:val="18"/>
                <w:color w:val="auto"/>
              </w:rPr>
            </w:pPr>
          </w:p>
        </w:tc>
        <w:tc>
          <w:tcPr>
            <w:tcW w:w="6660" w:type="dxa"/>
            <w:vAlign w:val="bottom"/>
            <w:gridSpan w:val="2"/>
            <w:shd w:val="clear" w:color="auto" w:fill="DCE2EF"/>
          </w:tcPr>
          <w:p>
            <w:pPr>
              <w:ind w:left="200"/>
              <w:spacing w:after="0" w:line="216" w:lineRule="exact"/>
              <w:rPr>
                <w:sz w:val="20"/>
                <w:szCs w:val="20"/>
                <w:color w:val="auto"/>
              </w:rPr>
            </w:pPr>
            <w:r>
              <w:rPr>
                <w:rFonts w:ascii="Arial" w:cs="Arial" w:eastAsia="Arial" w:hAnsi="Arial"/>
                <w:sz w:val="16"/>
                <w:szCs w:val="16"/>
                <w:color w:val="auto"/>
              </w:rPr>
              <w:t>Unbilled trade receivables</w:t>
            </w:r>
            <w:r>
              <w:rPr>
                <w:rFonts w:ascii="Arial" w:cs="Arial" w:eastAsia="Arial" w:hAnsi="Arial"/>
                <w:sz w:val="21"/>
                <w:szCs w:val="21"/>
                <w:color w:val="auto"/>
                <w:vertAlign w:val="superscript"/>
              </w:rPr>
              <w:t>(1)</w:t>
            </w:r>
          </w:p>
        </w:tc>
        <w:tc>
          <w:tcPr>
            <w:tcW w:w="320" w:type="dxa"/>
            <w:vAlign w:val="bottom"/>
            <w:shd w:val="clear" w:color="auto" w:fill="DCE2EF"/>
          </w:tcPr>
          <w:p>
            <w:pPr>
              <w:spacing w:after="0"/>
              <w:rPr>
                <w:sz w:val="18"/>
                <w:szCs w:val="18"/>
                <w:color w:val="auto"/>
              </w:rPr>
            </w:pPr>
          </w:p>
        </w:tc>
        <w:tc>
          <w:tcPr>
            <w:tcW w:w="19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171.2</w:t>
            </w:r>
          </w:p>
        </w:tc>
        <w:tc>
          <w:tcPr>
            <w:tcW w:w="12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1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170.4</w:t>
            </w:r>
          </w:p>
        </w:tc>
      </w:tr>
      <w:tr>
        <w:trPr>
          <w:trHeight w:val="216"/>
        </w:trPr>
        <w:tc>
          <w:tcPr>
            <w:tcW w:w="20" w:type="dxa"/>
            <w:vAlign w:val="bottom"/>
          </w:tcPr>
          <w:p>
            <w:pPr>
              <w:spacing w:after="0"/>
              <w:rPr>
                <w:sz w:val="18"/>
                <w:szCs w:val="18"/>
                <w:color w:val="auto"/>
              </w:rPr>
            </w:pPr>
          </w:p>
        </w:tc>
        <w:tc>
          <w:tcPr>
            <w:tcW w:w="666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Costs incurred in excess of amounts billed</w:t>
            </w:r>
            <w:r>
              <w:rPr>
                <w:rFonts w:ascii="Arial" w:cs="Arial" w:eastAsia="Arial" w:hAnsi="Arial"/>
                <w:sz w:val="21"/>
                <w:szCs w:val="21"/>
                <w:color w:val="auto"/>
                <w:vertAlign w:val="superscript"/>
              </w:rPr>
              <w:t>(2)</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152.2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139.2</w:t>
            </w:r>
          </w:p>
        </w:tc>
      </w:tr>
      <w:tr>
        <w:trPr>
          <w:trHeight w:val="216"/>
        </w:trPr>
        <w:tc>
          <w:tcPr>
            <w:tcW w:w="20" w:type="dxa"/>
            <w:vAlign w:val="bottom"/>
            <w:shd w:val="clear" w:color="auto" w:fill="DCE2EF"/>
          </w:tcPr>
          <w:p>
            <w:pPr>
              <w:spacing w:after="0"/>
              <w:rPr>
                <w:sz w:val="18"/>
                <w:szCs w:val="18"/>
                <w:color w:val="auto"/>
              </w:rPr>
            </w:pPr>
          </w:p>
        </w:tc>
        <w:tc>
          <w:tcPr>
            <w:tcW w:w="6660" w:type="dxa"/>
            <w:vAlign w:val="bottom"/>
            <w:gridSpan w:val="2"/>
            <w:shd w:val="clear" w:color="auto" w:fill="DCE2EF"/>
          </w:tcPr>
          <w:p>
            <w:pPr>
              <w:ind w:left="200"/>
              <w:spacing w:after="0" w:line="216" w:lineRule="exact"/>
              <w:rPr>
                <w:sz w:val="20"/>
                <w:szCs w:val="20"/>
                <w:color w:val="auto"/>
              </w:rPr>
            </w:pPr>
            <w:r>
              <w:rPr>
                <w:rFonts w:ascii="Arial" w:cs="Arial" w:eastAsia="Arial" w:hAnsi="Arial"/>
                <w:sz w:val="16"/>
                <w:szCs w:val="16"/>
                <w:color w:val="auto"/>
              </w:rPr>
              <w:t>Capitalized commissions</w:t>
            </w:r>
            <w:r>
              <w:rPr>
                <w:rFonts w:ascii="Arial" w:cs="Arial" w:eastAsia="Arial" w:hAnsi="Arial"/>
                <w:sz w:val="21"/>
                <w:szCs w:val="21"/>
                <w:color w:val="auto"/>
                <w:vertAlign w:val="superscript"/>
              </w:rPr>
              <w:t>(3)</w:t>
            </w:r>
          </w:p>
        </w:tc>
        <w:tc>
          <w:tcPr>
            <w:tcW w:w="320" w:type="dxa"/>
            <w:vAlign w:val="bottom"/>
            <w:shd w:val="clear" w:color="auto" w:fill="DCE2EF"/>
          </w:tcPr>
          <w:p>
            <w:pPr>
              <w:spacing w:after="0"/>
              <w:rPr>
                <w:sz w:val="18"/>
                <w:szCs w:val="18"/>
                <w:color w:val="auto"/>
              </w:rPr>
            </w:pPr>
          </w:p>
        </w:tc>
        <w:tc>
          <w:tcPr>
            <w:tcW w:w="19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1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30.2</w:t>
            </w:r>
          </w:p>
        </w:tc>
      </w:tr>
    </w:tbl>
    <w:p>
      <w:pPr>
        <w:spacing w:after="0" w:line="296" w:lineRule="exact"/>
        <w:rPr>
          <w:sz w:val="20"/>
          <w:szCs w:val="20"/>
          <w:color w:val="auto"/>
        </w:rPr>
      </w:pPr>
    </w:p>
    <w:p>
      <w:pPr>
        <w:ind w:left="180" w:right="20" w:hanging="172"/>
        <w:spacing w:after="0" w:line="227" w:lineRule="auto"/>
        <w:tabs>
          <w:tab w:leader="none" w:pos="204"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Included in “Trade accounts receivable, net,” on the unaudited Consolidated Balance Sheets. The fluctuations correlate directly to the execution of new customer contracts and to invoicing and collections from customers in the normal course of business.</w:t>
      </w:r>
    </w:p>
    <w:p>
      <w:pPr>
        <w:spacing w:after="0" w:line="56"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Fluctuation is primarily due to the timing of payments on our contracts measured using the cost-to-cost method of revenue recognition.</w:t>
      </w:r>
    </w:p>
    <w:p>
      <w:pPr>
        <w:spacing w:after="0" w:line="95" w:lineRule="exact"/>
        <w:rPr>
          <w:rFonts w:ascii="Arial" w:cs="Arial" w:eastAsia="Arial" w:hAnsi="Arial"/>
          <w:sz w:val="21"/>
          <w:szCs w:val="21"/>
          <w:color w:val="auto"/>
          <w:vertAlign w:val="superscript"/>
        </w:rPr>
      </w:pPr>
    </w:p>
    <w:p>
      <w:pPr>
        <w:jc w:val="both"/>
        <w:ind w:left="180" w:hanging="172"/>
        <w:spacing w:after="0" w:line="242" w:lineRule="auto"/>
        <w:tabs>
          <w:tab w:leader="none" w:pos="176"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Included in “Other current assets” and “Other noncurrent assets” on the unaudited Consolidated Balance Sheets. During the six months ended April 30, 2024, we capitalized $7.4 million of new costs and amortized $7.4 million of previously capitalized costs. There was no impairment loss recorded on the costs capitalized.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tcPr>
          <w:p>
            <w:pPr>
              <w:jc w:val="center"/>
              <w:ind w:right="239"/>
              <w:spacing w:after="0"/>
              <w:rPr>
                <w:sz w:val="20"/>
                <w:szCs w:val="20"/>
                <w:color w:val="auto"/>
              </w:rPr>
            </w:pPr>
            <w:r>
              <w:rPr>
                <w:rFonts w:ascii="Arial" w:cs="Arial" w:eastAsia="Arial" w:hAnsi="Arial"/>
                <w:sz w:val="16"/>
                <w:szCs w:val="16"/>
                <w:b w:val="1"/>
                <w:bCs w:val="1"/>
                <w:color w:val="auto"/>
              </w:rPr>
              <w:t>Six Months Ended</w:t>
            </w:r>
          </w:p>
        </w:tc>
      </w:tr>
      <w:tr>
        <w:trPr>
          <w:trHeight w:val="162"/>
        </w:trPr>
        <w:tc>
          <w:tcPr>
            <w:tcW w:w="20" w:type="dxa"/>
            <w:vAlign w:val="bottom"/>
          </w:tcPr>
          <w:p>
            <w:pPr>
              <w:spacing w:after="0"/>
              <w:rPr>
                <w:sz w:val="14"/>
                <w:szCs w:val="14"/>
                <w:color w:val="auto"/>
              </w:rPr>
            </w:pPr>
          </w:p>
        </w:tc>
        <w:tc>
          <w:tcPr>
            <w:tcW w:w="8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4"/>
                <w:szCs w:val="14"/>
                <w:color w:val="auto"/>
              </w:rPr>
            </w:pPr>
          </w:p>
        </w:tc>
        <w:tc>
          <w:tcPr>
            <w:tcW w:w="2120" w:type="dxa"/>
            <w:vAlign w:val="bottom"/>
          </w:tcPr>
          <w:p>
            <w:pPr>
              <w:jc w:val="center"/>
              <w:ind w:right="239"/>
              <w:spacing w:after="0" w:line="142" w:lineRule="exact"/>
              <w:rPr>
                <w:sz w:val="20"/>
                <w:szCs w:val="20"/>
                <w:color w:val="auto"/>
              </w:rPr>
            </w:pPr>
            <w:r>
              <w:rPr>
                <w:rFonts w:ascii="Arial" w:cs="Arial" w:eastAsia="Arial" w:hAnsi="Arial"/>
                <w:sz w:val="16"/>
                <w:szCs w:val="16"/>
                <w:b w:val="1"/>
                <w:bCs w:val="1"/>
                <w:color w:val="auto"/>
              </w:rPr>
              <w:t>April 30, 2024</w:t>
            </w:r>
          </w:p>
        </w:tc>
      </w:tr>
      <w:tr>
        <w:trPr>
          <w:trHeight w:val="34"/>
        </w:trPr>
        <w:tc>
          <w:tcPr>
            <w:tcW w:w="20" w:type="dxa"/>
            <w:vAlign w:val="bottom"/>
            <w:tcBorders>
              <w:bottom w:val="single" w:sz="8" w:color="DCE2EF"/>
            </w:tcBorders>
          </w:tcPr>
          <w:p>
            <w:pPr>
              <w:spacing w:after="0"/>
              <w:rPr>
                <w:sz w:val="2"/>
                <w:szCs w:val="2"/>
                <w:color w:val="auto"/>
              </w:rPr>
            </w:pPr>
          </w:p>
        </w:tc>
        <w:tc>
          <w:tcPr>
            <w:tcW w:w="720" w:type="dxa"/>
            <w:vAlign w:val="bottom"/>
            <w:tcBorders>
              <w:top w:val="single" w:sz="8" w:color="auto"/>
              <w:bottom w:val="single" w:sz="8" w:color="DCE2EF"/>
            </w:tcBorders>
          </w:tcPr>
          <w:p>
            <w:pPr>
              <w:spacing w:after="0"/>
              <w:rPr>
                <w:sz w:val="2"/>
                <w:szCs w:val="2"/>
                <w:color w:val="auto"/>
              </w:rPr>
            </w:pPr>
          </w:p>
        </w:tc>
        <w:tc>
          <w:tcPr>
            <w:tcW w:w="806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DCE2EF"/>
          </w:tcPr>
          <w:p>
            <w:pPr>
              <w:spacing w:after="0"/>
              <w:rPr>
                <w:sz w:val="17"/>
                <w:szCs w:val="17"/>
                <w:color w:val="auto"/>
              </w:rPr>
            </w:pPr>
          </w:p>
        </w:tc>
        <w:tc>
          <w:tcPr>
            <w:tcW w:w="8780" w:type="dxa"/>
            <w:vAlign w:val="bottom"/>
            <w:gridSpan w:val="2"/>
            <w:shd w:val="clear" w:color="auto" w:fill="DCE2EF"/>
          </w:tcPr>
          <w:p>
            <w:pPr>
              <w:spacing w:after="0" w:line="196" w:lineRule="exact"/>
              <w:rPr>
                <w:sz w:val="20"/>
                <w:szCs w:val="20"/>
                <w:color w:val="auto"/>
              </w:rPr>
            </w:pPr>
            <w:r>
              <w:rPr>
                <w:rFonts w:ascii="Arial" w:cs="Arial" w:eastAsia="Arial" w:hAnsi="Arial"/>
                <w:sz w:val="16"/>
                <w:szCs w:val="16"/>
                <w:b w:val="1"/>
                <w:bCs w:val="1"/>
                <w:color w:val="auto"/>
              </w:rPr>
              <w:t>Contract liabilities</w:t>
            </w:r>
            <w:r>
              <w:rPr>
                <w:rFonts w:ascii="Arial" w:cs="Arial" w:eastAsia="Arial" w:hAnsi="Arial"/>
                <w:sz w:val="21"/>
                <w:szCs w:val="21"/>
                <w:color w:val="auto"/>
                <w:vertAlign w:val="superscript"/>
              </w:rPr>
              <w:t>(1)</w:t>
            </w:r>
          </w:p>
        </w:tc>
        <w:tc>
          <w:tcPr>
            <w:tcW w:w="320" w:type="dxa"/>
            <w:vAlign w:val="bottom"/>
            <w:shd w:val="clear" w:color="auto" w:fill="DCE2EF"/>
          </w:tcPr>
          <w:p>
            <w:pPr>
              <w:spacing w:after="0"/>
              <w:rPr>
                <w:sz w:val="17"/>
                <w:szCs w:val="17"/>
                <w:color w:val="auto"/>
              </w:rPr>
            </w:pPr>
          </w:p>
        </w:tc>
        <w:tc>
          <w:tcPr>
            <w:tcW w:w="2120" w:type="dxa"/>
            <w:vAlign w:val="bottom"/>
            <w:shd w:val="clear" w:color="auto" w:fill="DCE2E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8780" w:type="dxa"/>
            <w:vAlign w:val="bottom"/>
            <w:gridSpan w:val="2"/>
          </w:tcPr>
          <w:p>
            <w:pPr>
              <w:ind w:left="200"/>
              <w:spacing w:after="0"/>
              <w:rPr>
                <w:sz w:val="20"/>
                <w:szCs w:val="20"/>
                <w:color w:val="auto"/>
              </w:rPr>
            </w:pPr>
            <w:r>
              <w:rPr>
                <w:rFonts w:ascii="Arial" w:cs="Arial" w:eastAsia="Arial" w:hAnsi="Arial"/>
                <w:sz w:val="16"/>
                <w:szCs w:val="16"/>
                <w:color w:val="auto"/>
              </w:rPr>
              <w:t>Balance at beginning of period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120" w:type="dxa"/>
            <w:vAlign w:val="bottom"/>
          </w:tcPr>
          <w:p>
            <w:pPr>
              <w:jc w:val="center"/>
              <w:ind w:left="1479"/>
              <w:spacing w:after="0"/>
              <w:rPr>
                <w:sz w:val="20"/>
                <w:szCs w:val="20"/>
                <w:color w:val="auto"/>
              </w:rPr>
            </w:pPr>
            <w:r>
              <w:rPr>
                <w:rFonts w:ascii="Arial" w:cs="Arial" w:eastAsia="Arial" w:hAnsi="Arial"/>
                <w:sz w:val="16"/>
                <w:szCs w:val="16"/>
                <w:color w:val="auto"/>
                <w:w w:val="99"/>
              </w:rPr>
              <w:t>141.2</w:t>
            </w:r>
          </w:p>
        </w:tc>
      </w:tr>
      <w:tr>
        <w:trPr>
          <w:trHeight w:val="217"/>
        </w:trPr>
        <w:tc>
          <w:tcPr>
            <w:tcW w:w="20" w:type="dxa"/>
            <w:vAlign w:val="bottom"/>
            <w:shd w:val="clear" w:color="auto" w:fill="DCE2EF"/>
          </w:tcPr>
          <w:p>
            <w:pPr>
              <w:spacing w:after="0"/>
              <w:rPr>
                <w:sz w:val="18"/>
                <w:szCs w:val="18"/>
                <w:color w:val="auto"/>
              </w:rPr>
            </w:pPr>
          </w:p>
        </w:tc>
        <w:tc>
          <w:tcPr>
            <w:tcW w:w="878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Additional contract liabilities</w:t>
            </w:r>
          </w:p>
        </w:tc>
        <w:tc>
          <w:tcPr>
            <w:tcW w:w="320" w:type="dxa"/>
            <w:vAlign w:val="bottom"/>
            <w:shd w:val="clear" w:color="auto" w:fill="DCE2EF"/>
          </w:tcPr>
          <w:p>
            <w:pPr>
              <w:spacing w:after="0"/>
              <w:rPr>
                <w:sz w:val="18"/>
                <w:szCs w:val="18"/>
                <w:color w:val="auto"/>
              </w:rPr>
            </w:pPr>
          </w:p>
        </w:tc>
        <w:tc>
          <w:tcPr>
            <w:tcW w:w="2120" w:type="dxa"/>
            <w:vAlign w:val="bottom"/>
            <w:shd w:val="clear" w:color="auto" w:fill="DCE2EF"/>
          </w:tcPr>
          <w:p>
            <w:pPr>
              <w:jc w:val="center"/>
              <w:ind w:left="1479"/>
              <w:spacing w:after="0"/>
              <w:rPr>
                <w:sz w:val="20"/>
                <w:szCs w:val="20"/>
                <w:color w:val="auto"/>
              </w:rPr>
            </w:pPr>
            <w:r>
              <w:rPr>
                <w:rFonts w:ascii="Arial" w:cs="Arial" w:eastAsia="Arial" w:hAnsi="Arial"/>
                <w:sz w:val="16"/>
                <w:szCs w:val="16"/>
                <w:color w:val="auto"/>
                <w:w w:val="99"/>
              </w:rPr>
              <w:t>121.6</w:t>
            </w:r>
          </w:p>
        </w:tc>
      </w:tr>
      <w:tr>
        <w:trPr>
          <w:trHeight w:val="269"/>
        </w:trPr>
        <w:tc>
          <w:tcPr>
            <w:tcW w:w="20" w:type="dxa"/>
            <w:vAlign w:val="bottom"/>
            <w:tcBorders>
              <w:bottom w:val="single" w:sz="8" w:color="DCE2EF"/>
            </w:tcBorders>
          </w:tcPr>
          <w:p>
            <w:pPr>
              <w:spacing w:after="0"/>
              <w:rPr>
                <w:sz w:val="23"/>
                <w:szCs w:val="23"/>
                <w:color w:val="auto"/>
              </w:rPr>
            </w:pPr>
          </w:p>
        </w:tc>
        <w:tc>
          <w:tcPr>
            <w:tcW w:w="8780" w:type="dxa"/>
            <w:vAlign w:val="bottom"/>
            <w:tcBorders>
              <w:bottom w:val="single" w:sz="8" w:color="DCE2EF"/>
            </w:tcBorders>
            <w:gridSpan w:val="2"/>
          </w:tcPr>
          <w:p>
            <w:pPr>
              <w:ind w:left="200"/>
              <w:spacing w:after="0"/>
              <w:rPr>
                <w:sz w:val="20"/>
                <w:szCs w:val="20"/>
                <w:color w:val="auto"/>
              </w:rPr>
            </w:pPr>
            <w:r>
              <w:rPr>
                <w:rFonts w:ascii="Arial" w:cs="Arial" w:eastAsia="Arial" w:hAnsi="Arial"/>
                <w:sz w:val="16"/>
                <w:szCs w:val="16"/>
                <w:color w:val="auto"/>
              </w:rPr>
              <w:t>Recognition of deferred revenue</w:t>
            </w:r>
          </w:p>
        </w:tc>
        <w:tc>
          <w:tcPr>
            <w:tcW w:w="32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center"/>
              <w:ind w:left="1479"/>
              <w:spacing w:after="0"/>
              <w:rPr>
                <w:sz w:val="20"/>
                <w:szCs w:val="20"/>
                <w:color w:val="auto"/>
              </w:rPr>
            </w:pPr>
            <w:r>
              <w:rPr>
                <w:rFonts w:ascii="Arial" w:cs="Arial" w:eastAsia="Arial" w:hAnsi="Arial"/>
                <w:sz w:val="16"/>
                <w:szCs w:val="16"/>
                <w:color w:val="auto"/>
              </w:rPr>
              <w:t>(107.9)</w:t>
            </w:r>
          </w:p>
        </w:tc>
      </w:tr>
      <w:tr>
        <w:trPr>
          <w:trHeight w:val="249"/>
        </w:trPr>
        <w:tc>
          <w:tcPr>
            <w:tcW w:w="20" w:type="dxa"/>
            <w:vAlign w:val="bottom"/>
            <w:tcBorders>
              <w:bottom w:val="single" w:sz="8" w:color="DCE2EF"/>
            </w:tcBorders>
            <w:shd w:val="clear" w:color="auto" w:fill="DCE2EF"/>
          </w:tcPr>
          <w:p>
            <w:pPr>
              <w:spacing w:after="0"/>
              <w:rPr>
                <w:sz w:val="21"/>
                <w:szCs w:val="21"/>
                <w:color w:val="auto"/>
              </w:rPr>
            </w:pPr>
          </w:p>
        </w:tc>
        <w:tc>
          <w:tcPr>
            <w:tcW w:w="878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shd w:val="clear" w:color="auto" w:fill="DCE2EF"/>
          </w:tcPr>
          <w:p>
            <w:pPr>
              <w:jc w:val="center"/>
              <w:ind w:left="1479"/>
              <w:spacing w:after="0"/>
              <w:rPr>
                <w:sz w:val="20"/>
                <w:szCs w:val="20"/>
                <w:color w:val="auto"/>
              </w:rPr>
            </w:pPr>
            <w:r>
              <w:rPr>
                <w:rFonts w:ascii="Arial" w:cs="Arial" w:eastAsia="Arial" w:hAnsi="Arial"/>
                <w:sz w:val="16"/>
                <w:szCs w:val="16"/>
                <w:color w:val="auto"/>
                <w:w w:val="99"/>
              </w:rPr>
              <w:t>154.9</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806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2120" w:type="dxa"/>
            <w:vAlign w:val="bottom"/>
            <w:tcBorders>
              <w:top w:val="single" w:sz="8" w:color="DCE2E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Included in “Other accrued liabilities” on the unaudited Consolidated Balance Sheets.</w:t>
      </w:r>
    </w:p>
    <w:p>
      <w:pPr>
        <w:spacing w:after="0" w:line="200" w:lineRule="exact"/>
        <w:rPr>
          <w:rFonts w:ascii="Arial" w:cs="Arial" w:eastAsia="Arial" w:hAnsi="Arial"/>
          <w:sz w:val="21"/>
          <w:szCs w:val="21"/>
          <w:color w:val="auto"/>
          <w:vertAlign w:val="superscript"/>
        </w:rPr>
      </w:pPr>
    </w:p>
    <w:p>
      <w:pPr>
        <w:spacing w:after="0" w:line="323" w:lineRule="exact"/>
        <w:rPr>
          <w:rFonts w:ascii="Arial" w:cs="Arial" w:eastAsia="Arial" w:hAnsi="Arial"/>
          <w:sz w:val="21"/>
          <w:szCs w:val="21"/>
          <w:color w:val="auto"/>
          <w:vertAlign w:val="superscript"/>
        </w:rPr>
      </w:pPr>
    </w:p>
    <w:p>
      <w:pPr>
        <w:ind w:left="5520"/>
        <w:spacing w:after="0"/>
        <w:rPr>
          <w:rFonts w:ascii="Arial" w:cs="Arial" w:eastAsia="Arial" w:hAnsi="Arial"/>
          <w:sz w:val="21"/>
          <w:szCs w:val="21"/>
          <w:color w:val="auto"/>
          <w:vertAlign w:val="superscript"/>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0046AD"/>
        </w:rPr>
        <w:t>5.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Basic and Diluted Net Income Per Common Share Calculations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8"/>
                <w:szCs w:val="18"/>
                <w:color w:val="auto"/>
              </w:rPr>
            </w:pPr>
          </w:p>
        </w:tc>
        <w:tc>
          <w:tcPr>
            <w:tcW w:w="28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Six Months Ended April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2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3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539"/>
              <w:spacing w:after="0" w:line="169" w:lineRule="exact"/>
              <w:rPr>
                <w:sz w:val="20"/>
                <w:szCs w:val="20"/>
                <w:color w:val="auto"/>
              </w:rPr>
            </w:pPr>
            <w:r>
              <w:rPr>
                <w:rFonts w:ascii="Arial" w:cs="Arial" w:eastAsia="Arial" w:hAnsi="Arial"/>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19"/>
              <w:spacing w:after="0" w:line="169"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499"/>
              <w:spacing w:after="0" w:line="169"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99"/>
              <w:spacing w:after="0" w:line="169"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2540" w:type="dxa"/>
            <w:vAlign w:val="bottom"/>
            <w:tcBorders>
              <w:top w:val="single" w:sz="8" w:color="auto"/>
              <w:bottom w:val="single" w:sz="8" w:color="DCE2EF"/>
            </w:tcBorders>
          </w:tcPr>
          <w:p>
            <w:pPr>
              <w:spacing w:after="0" w:line="20" w:lineRule="exact"/>
              <w:rPr>
                <w:sz w:val="1"/>
                <w:szCs w:val="1"/>
                <w:color w:val="auto"/>
              </w:rPr>
            </w:pPr>
          </w:p>
        </w:tc>
        <w:tc>
          <w:tcPr>
            <w:tcW w:w="188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442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Net income</w:t>
            </w: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DCE2EF"/>
          </w:tcPr>
          <w:p>
            <w:pPr>
              <w:spacing w:after="0"/>
              <w:rPr>
                <w:sz w:val="14"/>
                <w:szCs w:val="14"/>
                <w:color w:val="auto"/>
              </w:rPr>
            </w:pPr>
          </w:p>
        </w:tc>
        <w:tc>
          <w:tcPr>
            <w:tcW w:w="4420" w:type="dxa"/>
            <w:vAlign w:val="bottom"/>
            <w:gridSpan w:val="2"/>
            <w:shd w:val="clear" w:color="auto" w:fill="DCE2EF"/>
          </w:tcPr>
          <w:p>
            <w:pPr>
              <w:spacing w:after="0" w:line="162" w:lineRule="exact"/>
              <w:rPr>
                <w:sz w:val="20"/>
                <w:szCs w:val="20"/>
                <w:color w:val="auto"/>
              </w:rPr>
            </w:pPr>
            <w:r>
              <w:rPr>
                <w:rFonts w:ascii="Arial" w:cs="Arial" w:eastAsia="Arial" w:hAnsi="Arial"/>
                <w:sz w:val="16"/>
                <w:szCs w:val="16"/>
                <w:b w:val="1"/>
                <w:bCs w:val="1"/>
                <w:color w:val="auto"/>
              </w:rPr>
              <w:t>Weighted-average common and common</w:t>
            </w:r>
          </w:p>
        </w:tc>
        <w:tc>
          <w:tcPr>
            <w:tcW w:w="300" w:type="dxa"/>
            <w:vAlign w:val="bottom"/>
            <w:shd w:val="clear" w:color="auto" w:fill="DCE2EF"/>
          </w:tcPr>
          <w:p>
            <w:pPr>
              <w:spacing w:after="0"/>
              <w:rPr>
                <w:sz w:val="14"/>
                <w:szCs w:val="14"/>
                <w:color w:val="auto"/>
              </w:rPr>
            </w:pPr>
          </w:p>
        </w:tc>
        <w:tc>
          <w:tcPr>
            <w:tcW w:w="132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63.3</w:t>
            </w:r>
          </w:p>
        </w:tc>
        <w:tc>
          <w:tcPr>
            <w:tcW w:w="120" w:type="dxa"/>
            <w:vAlign w:val="bottom"/>
            <w:shd w:val="clear" w:color="auto" w:fill="DCE2EF"/>
          </w:tcPr>
          <w:p>
            <w:pPr>
              <w:spacing w:after="0"/>
              <w:rPr>
                <w:sz w:val="14"/>
                <w:szCs w:val="14"/>
                <w:color w:val="auto"/>
              </w:rPr>
            </w:pPr>
          </w:p>
        </w:tc>
        <w:tc>
          <w:tcPr>
            <w:tcW w:w="340" w:type="dxa"/>
            <w:vAlign w:val="bottom"/>
            <w:shd w:val="clear" w:color="auto" w:fill="DCE2EF"/>
          </w:tcPr>
          <w:p>
            <w:pPr>
              <w:spacing w:after="0"/>
              <w:rPr>
                <w:sz w:val="14"/>
                <w:szCs w:val="14"/>
                <w:color w:val="auto"/>
              </w:rPr>
            </w:pPr>
          </w:p>
        </w:tc>
        <w:tc>
          <w:tcPr>
            <w:tcW w:w="120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DCE2EF"/>
          </w:tcPr>
          <w:p>
            <w:pPr>
              <w:spacing w:after="0"/>
              <w:rPr>
                <w:sz w:val="14"/>
                <w:szCs w:val="14"/>
                <w:color w:val="auto"/>
              </w:rPr>
            </w:pPr>
          </w:p>
        </w:tc>
        <w:tc>
          <w:tcPr>
            <w:tcW w:w="320" w:type="dxa"/>
            <w:vAlign w:val="bottom"/>
            <w:shd w:val="clear" w:color="auto" w:fill="DCE2EF"/>
          </w:tcPr>
          <w:p>
            <w:pPr>
              <w:spacing w:after="0"/>
              <w:rPr>
                <w:sz w:val="14"/>
                <w:szCs w:val="14"/>
                <w:color w:val="auto"/>
              </w:rPr>
            </w:pPr>
          </w:p>
        </w:tc>
        <w:tc>
          <w:tcPr>
            <w:tcW w:w="120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DCE2EF"/>
          </w:tcPr>
          <w:p>
            <w:pPr>
              <w:spacing w:after="0"/>
              <w:rPr>
                <w:sz w:val="14"/>
                <w:szCs w:val="14"/>
                <w:color w:val="auto"/>
              </w:rPr>
            </w:pPr>
          </w:p>
        </w:tc>
        <w:tc>
          <w:tcPr>
            <w:tcW w:w="340" w:type="dxa"/>
            <w:vAlign w:val="bottom"/>
            <w:shd w:val="clear" w:color="auto" w:fill="DCE2EF"/>
          </w:tcPr>
          <w:p>
            <w:pPr>
              <w:spacing w:after="0"/>
              <w:rPr>
                <w:sz w:val="14"/>
                <w:szCs w:val="14"/>
                <w:color w:val="auto"/>
              </w:rPr>
            </w:pPr>
          </w:p>
        </w:tc>
        <w:tc>
          <w:tcPr>
            <w:tcW w:w="118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4420" w:type="dxa"/>
            <w:vAlign w:val="bottom"/>
            <w:gridSpan w:val="2"/>
            <w:shd w:val="clear" w:color="auto" w:fill="DCE2EF"/>
          </w:tcPr>
          <w:p>
            <w:pPr>
              <w:ind w:left="260"/>
              <w:spacing w:after="0"/>
              <w:rPr>
                <w:sz w:val="20"/>
                <w:szCs w:val="20"/>
                <w:color w:val="auto"/>
              </w:rPr>
            </w:pPr>
            <w:r>
              <w:rPr>
                <w:rFonts w:ascii="Arial" w:cs="Arial" w:eastAsia="Arial" w:hAnsi="Arial"/>
                <w:sz w:val="16"/>
                <w:szCs w:val="16"/>
                <w:b w:val="1"/>
                <w:bCs w:val="1"/>
                <w:color w:val="auto"/>
              </w:rPr>
              <w:t>equivalent shares outstanding — Basic</w:t>
            </w:r>
          </w:p>
        </w:tc>
        <w:tc>
          <w:tcPr>
            <w:tcW w:w="300" w:type="dxa"/>
            <w:vAlign w:val="bottom"/>
            <w:shd w:val="clear" w:color="auto" w:fill="DCE2EF"/>
          </w:tcPr>
          <w:p>
            <w:pPr>
              <w:spacing w:after="0"/>
              <w:rPr>
                <w:sz w:val="18"/>
                <w:szCs w:val="18"/>
                <w:color w:val="auto"/>
              </w:rPr>
            </w:pPr>
          </w:p>
        </w:tc>
        <w:tc>
          <w:tcPr>
            <w:tcW w:w="1320" w:type="dxa"/>
            <w:vAlign w:val="bottom"/>
            <w:vMerge w:val="continue"/>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200" w:type="dxa"/>
            <w:vAlign w:val="bottom"/>
            <w:vMerge w:val="continue"/>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200" w:type="dxa"/>
            <w:vAlign w:val="bottom"/>
            <w:vMerge w:val="continue"/>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80" w:type="dxa"/>
            <w:vAlign w:val="bottom"/>
            <w:vMerge w:val="continue"/>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6"/>
                <w:szCs w:val="16"/>
                <w:color w:val="auto"/>
              </w:rPr>
              <w:t>Effect of dilutive securities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442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Restricted stock units</w:t>
            </w:r>
          </w:p>
        </w:tc>
        <w:tc>
          <w:tcPr>
            <w:tcW w:w="30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5"/>
        </w:trPr>
        <w:tc>
          <w:tcPr>
            <w:tcW w:w="20" w:type="dxa"/>
            <w:vAlign w:val="bottom"/>
            <w:tcBorders>
              <w:bottom w:val="single" w:sz="8" w:color="DCE2EF"/>
            </w:tcBorders>
          </w:tcPr>
          <w:p>
            <w:pPr>
              <w:spacing w:after="0"/>
              <w:rPr>
                <w:sz w:val="18"/>
                <w:szCs w:val="18"/>
                <w:color w:val="auto"/>
              </w:rPr>
            </w:pPr>
          </w:p>
        </w:tc>
        <w:tc>
          <w:tcPr>
            <w:tcW w:w="4420" w:type="dxa"/>
            <w:vAlign w:val="bottom"/>
            <w:tcBorders>
              <w:bottom w:val="single" w:sz="8" w:color="DCE2EF"/>
            </w:tcBorders>
            <w:gridSpan w:val="2"/>
          </w:tcPr>
          <w:p>
            <w:pPr>
              <w:ind w:left="340"/>
              <w:spacing w:after="0"/>
              <w:rPr>
                <w:sz w:val="20"/>
                <w:szCs w:val="20"/>
                <w:color w:val="auto"/>
              </w:rPr>
            </w:pPr>
            <w:r>
              <w:rPr>
                <w:rFonts w:ascii="Arial" w:cs="Arial" w:eastAsia="Arial" w:hAnsi="Arial"/>
                <w:sz w:val="16"/>
                <w:szCs w:val="16"/>
                <w:color w:val="auto"/>
              </w:rPr>
              <w:t>Performance shares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DCE2E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DCE2E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43"/>
        </w:trPr>
        <w:tc>
          <w:tcPr>
            <w:tcW w:w="20" w:type="dxa"/>
            <w:vAlign w:val="bottom"/>
            <w:shd w:val="clear" w:color="auto" w:fill="DCE2EF"/>
          </w:tcPr>
          <w:p>
            <w:pPr>
              <w:spacing w:after="0"/>
              <w:rPr>
                <w:sz w:val="12"/>
                <w:szCs w:val="12"/>
                <w:color w:val="auto"/>
              </w:rPr>
            </w:pPr>
          </w:p>
        </w:tc>
        <w:tc>
          <w:tcPr>
            <w:tcW w:w="4420" w:type="dxa"/>
            <w:vAlign w:val="bottom"/>
            <w:gridSpan w:val="2"/>
            <w:shd w:val="clear" w:color="auto" w:fill="DCE2EF"/>
          </w:tcPr>
          <w:p>
            <w:pPr>
              <w:spacing w:after="0" w:line="143" w:lineRule="exact"/>
              <w:rPr>
                <w:sz w:val="20"/>
                <w:szCs w:val="20"/>
                <w:color w:val="auto"/>
              </w:rPr>
            </w:pPr>
            <w:r>
              <w:rPr>
                <w:rFonts w:ascii="Arial" w:cs="Arial" w:eastAsia="Arial" w:hAnsi="Arial"/>
                <w:sz w:val="16"/>
                <w:szCs w:val="16"/>
                <w:b w:val="1"/>
                <w:bCs w:val="1"/>
                <w:color w:val="auto"/>
              </w:rPr>
              <w:t>Weighted-average common and common</w:t>
            </w:r>
          </w:p>
        </w:tc>
        <w:tc>
          <w:tcPr>
            <w:tcW w:w="300" w:type="dxa"/>
            <w:vAlign w:val="bottom"/>
            <w:shd w:val="clear" w:color="auto" w:fill="DCE2EF"/>
          </w:tcPr>
          <w:p>
            <w:pPr>
              <w:spacing w:after="0"/>
              <w:rPr>
                <w:sz w:val="12"/>
                <w:szCs w:val="12"/>
                <w:color w:val="auto"/>
              </w:rPr>
            </w:pPr>
          </w:p>
        </w:tc>
        <w:tc>
          <w:tcPr>
            <w:tcW w:w="132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DCE2EF"/>
          </w:tcPr>
          <w:p>
            <w:pPr>
              <w:spacing w:after="0"/>
              <w:rPr>
                <w:sz w:val="12"/>
                <w:szCs w:val="12"/>
                <w:color w:val="auto"/>
              </w:rPr>
            </w:pPr>
          </w:p>
        </w:tc>
        <w:tc>
          <w:tcPr>
            <w:tcW w:w="340" w:type="dxa"/>
            <w:vAlign w:val="bottom"/>
            <w:shd w:val="clear" w:color="auto" w:fill="DCE2EF"/>
          </w:tcPr>
          <w:p>
            <w:pPr>
              <w:spacing w:after="0"/>
              <w:rPr>
                <w:sz w:val="12"/>
                <w:szCs w:val="12"/>
                <w:color w:val="auto"/>
              </w:rPr>
            </w:pPr>
          </w:p>
        </w:tc>
        <w:tc>
          <w:tcPr>
            <w:tcW w:w="120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66.7</w:t>
            </w:r>
          </w:p>
        </w:tc>
        <w:tc>
          <w:tcPr>
            <w:tcW w:w="100" w:type="dxa"/>
            <w:vAlign w:val="bottom"/>
            <w:shd w:val="clear" w:color="auto" w:fill="DCE2EF"/>
          </w:tcPr>
          <w:p>
            <w:pPr>
              <w:spacing w:after="0"/>
              <w:rPr>
                <w:sz w:val="12"/>
                <w:szCs w:val="12"/>
                <w:color w:val="auto"/>
              </w:rPr>
            </w:pPr>
          </w:p>
        </w:tc>
        <w:tc>
          <w:tcPr>
            <w:tcW w:w="320" w:type="dxa"/>
            <w:vAlign w:val="bottom"/>
            <w:shd w:val="clear" w:color="auto" w:fill="DCE2EF"/>
          </w:tcPr>
          <w:p>
            <w:pPr>
              <w:spacing w:after="0"/>
              <w:rPr>
                <w:sz w:val="12"/>
                <w:szCs w:val="12"/>
                <w:color w:val="auto"/>
              </w:rPr>
            </w:pPr>
          </w:p>
        </w:tc>
        <w:tc>
          <w:tcPr>
            <w:tcW w:w="120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63.7</w:t>
            </w:r>
          </w:p>
        </w:tc>
        <w:tc>
          <w:tcPr>
            <w:tcW w:w="100" w:type="dxa"/>
            <w:vAlign w:val="bottom"/>
            <w:shd w:val="clear" w:color="auto" w:fill="DCE2EF"/>
          </w:tcPr>
          <w:p>
            <w:pPr>
              <w:spacing w:after="0"/>
              <w:rPr>
                <w:sz w:val="12"/>
                <w:szCs w:val="12"/>
                <w:color w:val="auto"/>
              </w:rPr>
            </w:pPr>
          </w:p>
        </w:tc>
        <w:tc>
          <w:tcPr>
            <w:tcW w:w="340" w:type="dxa"/>
            <w:vAlign w:val="bottom"/>
            <w:shd w:val="clear" w:color="auto" w:fill="DCE2EF"/>
          </w:tcPr>
          <w:p>
            <w:pPr>
              <w:spacing w:after="0"/>
              <w:rPr>
                <w:sz w:val="12"/>
                <w:szCs w:val="12"/>
                <w:color w:val="auto"/>
              </w:rPr>
            </w:pPr>
          </w:p>
        </w:tc>
        <w:tc>
          <w:tcPr>
            <w:tcW w:w="118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09"/>
        </w:trPr>
        <w:tc>
          <w:tcPr>
            <w:tcW w:w="20" w:type="dxa"/>
            <w:vAlign w:val="bottom"/>
            <w:tcBorders>
              <w:bottom w:val="single" w:sz="8" w:color="DCE2EF"/>
            </w:tcBorders>
            <w:shd w:val="clear" w:color="auto" w:fill="DCE2EF"/>
          </w:tcPr>
          <w:p>
            <w:pPr>
              <w:spacing w:after="0"/>
              <w:rPr>
                <w:sz w:val="18"/>
                <w:szCs w:val="18"/>
                <w:color w:val="auto"/>
              </w:rPr>
            </w:pPr>
          </w:p>
        </w:tc>
        <w:tc>
          <w:tcPr>
            <w:tcW w:w="4420" w:type="dxa"/>
            <w:vAlign w:val="bottom"/>
            <w:tcBorders>
              <w:bottom w:val="single" w:sz="8" w:color="DCE2EF"/>
            </w:tcBorders>
            <w:gridSpan w:val="2"/>
            <w:shd w:val="clear" w:color="auto" w:fill="DCE2EF"/>
          </w:tcPr>
          <w:p>
            <w:pPr>
              <w:ind w:left="260"/>
              <w:spacing w:after="0"/>
              <w:rPr>
                <w:sz w:val="20"/>
                <w:szCs w:val="20"/>
                <w:color w:val="auto"/>
              </w:rPr>
            </w:pPr>
            <w:r>
              <w:rPr>
                <w:rFonts w:ascii="Arial" w:cs="Arial" w:eastAsia="Arial" w:hAnsi="Arial"/>
                <w:sz w:val="16"/>
                <w:szCs w:val="16"/>
                <w:b w:val="1"/>
                <w:bCs w:val="1"/>
                <w:color w:val="auto"/>
              </w:rPr>
              <w:t>equivalent shares outstanding — Diluted</w:t>
            </w:r>
          </w:p>
        </w:tc>
        <w:tc>
          <w:tcPr>
            <w:tcW w:w="30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vMerge w:val="continue"/>
            <w:shd w:val="clear" w:color="auto" w:fill="DCE2EF"/>
          </w:tcPr>
          <w:p>
            <w:pPr>
              <w:spacing w:after="0"/>
              <w:rPr>
                <w:sz w:val="18"/>
                <w:szCs w:val="18"/>
                <w:color w:val="auto"/>
              </w:rPr>
            </w:pPr>
          </w:p>
        </w:tc>
        <w:tc>
          <w:tcPr>
            <w:tcW w:w="120" w:type="dxa"/>
            <w:vAlign w:val="bottom"/>
            <w:tcBorders>
              <w:bottom w:val="single" w:sz="8" w:color="DCE2EF"/>
            </w:tcBorders>
            <w:shd w:val="clear" w:color="auto" w:fill="DCE2EF"/>
          </w:tcPr>
          <w:p>
            <w:pPr>
              <w:spacing w:after="0"/>
              <w:rPr>
                <w:sz w:val="18"/>
                <w:szCs w:val="18"/>
                <w:color w:val="auto"/>
              </w:rPr>
            </w:pPr>
          </w:p>
        </w:tc>
        <w:tc>
          <w:tcPr>
            <w:tcW w:w="340" w:type="dxa"/>
            <w:vAlign w:val="bottom"/>
            <w:tcBorders>
              <w:bottom w:val="single" w:sz="8" w:color="auto"/>
            </w:tcBorders>
            <w:shd w:val="clear" w:color="auto" w:fill="DCE2EF"/>
          </w:tcPr>
          <w:p>
            <w:pPr>
              <w:spacing w:after="0"/>
              <w:rPr>
                <w:sz w:val="18"/>
                <w:szCs w:val="18"/>
                <w:color w:val="auto"/>
              </w:rPr>
            </w:pPr>
          </w:p>
        </w:tc>
        <w:tc>
          <w:tcPr>
            <w:tcW w:w="1200" w:type="dxa"/>
            <w:vAlign w:val="bottom"/>
            <w:tcBorders>
              <w:bottom w:val="single" w:sz="8" w:color="auto"/>
            </w:tcBorders>
            <w:vMerge w:val="continue"/>
            <w:shd w:val="clear" w:color="auto" w:fill="DCE2EF"/>
          </w:tcPr>
          <w:p>
            <w:pPr>
              <w:spacing w:after="0"/>
              <w:rPr>
                <w:sz w:val="18"/>
                <w:szCs w:val="18"/>
                <w:color w:val="auto"/>
              </w:rPr>
            </w:pPr>
          </w:p>
        </w:tc>
        <w:tc>
          <w:tcPr>
            <w:tcW w:w="100" w:type="dxa"/>
            <w:vAlign w:val="bottom"/>
            <w:tcBorders>
              <w:bottom w:val="single" w:sz="8" w:color="DCE2EF"/>
            </w:tcBorders>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200" w:type="dxa"/>
            <w:vAlign w:val="bottom"/>
            <w:tcBorders>
              <w:bottom w:val="single" w:sz="8" w:color="auto"/>
            </w:tcBorders>
            <w:vMerge w:val="continue"/>
            <w:shd w:val="clear" w:color="auto" w:fill="DCE2EF"/>
          </w:tcPr>
          <w:p>
            <w:pPr>
              <w:spacing w:after="0"/>
              <w:rPr>
                <w:sz w:val="18"/>
                <w:szCs w:val="18"/>
                <w:color w:val="auto"/>
              </w:rPr>
            </w:pPr>
          </w:p>
        </w:tc>
        <w:tc>
          <w:tcPr>
            <w:tcW w:w="100" w:type="dxa"/>
            <w:vAlign w:val="bottom"/>
            <w:tcBorders>
              <w:bottom w:val="single" w:sz="8" w:color="DCE2EF"/>
            </w:tcBorders>
            <w:shd w:val="clear" w:color="auto" w:fill="DCE2EF"/>
          </w:tcPr>
          <w:p>
            <w:pPr>
              <w:spacing w:after="0"/>
              <w:rPr>
                <w:sz w:val="18"/>
                <w:szCs w:val="18"/>
                <w:color w:val="auto"/>
              </w:rPr>
            </w:pPr>
          </w:p>
        </w:tc>
        <w:tc>
          <w:tcPr>
            <w:tcW w:w="340" w:type="dxa"/>
            <w:vAlign w:val="bottom"/>
            <w:tcBorders>
              <w:bottom w:val="single" w:sz="8" w:color="auto"/>
            </w:tcBorders>
            <w:shd w:val="clear" w:color="auto" w:fill="DCE2EF"/>
          </w:tcPr>
          <w:p>
            <w:pPr>
              <w:spacing w:after="0"/>
              <w:rPr>
                <w:sz w:val="18"/>
                <w:szCs w:val="18"/>
                <w:color w:val="auto"/>
              </w:rPr>
            </w:pPr>
          </w:p>
        </w:tc>
        <w:tc>
          <w:tcPr>
            <w:tcW w:w="1180" w:type="dxa"/>
            <w:vAlign w:val="bottom"/>
            <w:tcBorders>
              <w:bottom w:val="single" w:sz="8" w:color="auto"/>
            </w:tcBorders>
            <w:vMerge w:val="continue"/>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540" w:type="dxa"/>
            <w:vAlign w:val="bottom"/>
            <w:tcBorders>
              <w:top w:val="single" w:sz="8" w:color="DCE2EF"/>
            </w:tcBorders>
          </w:tcPr>
          <w:p>
            <w:pPr>
              <w:spacing w:after="0" w:line="20" w:lineRule="exact"/>
              <w:rPr>
                <w:sz w:val="1"/>
                <w:szCs w:val="1"/>
                <w:color w:val="auto"/>
              </w:rPr>
            </w:pPr>
          </w:p>
        </w:tc>
        <w:tc>
          <w:tcPr>
            <w:tcW w:w="188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32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442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Net income per common share</w:t>
            </w:r>
          </w:p>
        </w:tc>
        <w:tc>
          <w:tcPr>
            <w:tcW w:w="300" w:type="dxa"/>
            <w:vAlign w:val="bottom"/>
            <w:shd w:val="clear" w:color="auto" w:fill="DCE2EF"/>
          </w:tcPr>
          <w:p>
            <w:pPr>
              <w:spacing w:after="0"/>
              <w:rPr>
                <w:sz w:val="18"/>
                <w:szCs w:val="18"/>
                <w:color w:val="auto"/>
              </w:rPr>
            </w:pPr>
          </w:p>
        </w:tc>
        <w:tc>
          <w:tcPr>
            <w:tcW w:w="13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2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2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8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gridSpan w:val="2"/>
          </w:tcPr>
          <w:p>
            <w:pPr>
              <w:ind w:left="34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0.69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442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0.69</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0.78</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Anti-Dilutive Outstanding Stock Awards Issued Under Share-Based Compensation Plans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200" w:type="dxa"/>
            <w:vAlign w:val="bottom"/>
            <w:gridSpan w:val="4"/>
          </w:tcPr>
          <w:p>
            <w:pPr>
              <w:ind w:left="420"/>
              <w:spacing w:after="0"/>
              <w:rPr>
                <w:sz w:val="20"/>
                <w:szCs w:val="20"/>
                <w:color w:val="auto"/>
              </w:rPr>
            </w:pPr>
            <w:r>
              <w:rPr>
                <w:rFonts w:ascii="Arial" w:cs="Arial" w:eastAsia="Arial" w:hAnsi="Arial"/>
                <w:sz w:val="16"/>
                <w:szCs w:val="16"/>
                <w:b w:val="1"/>
                <w:bCs w:val="1"/>
                <w:color w:val="auto"/>
              </w:rPr>
              <w:t>Three Months Ended April 30,</w:t>
            </w:r>
          </w:p>
        </w:tc>
        <w:tc>
          <w:tcPr>
            <w:tcW w:w="312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Six Months Ended April 30,</w:t>
            </w:r>
          </w:p>
        </w:tc>
      </w:tr>
      <w:tr>
        <w:trPr>
          <w:trHeight w:val="169"/>
        </w:trPr>
        <w:tc>
          <w:tcPr>
            <w:tcW w:w="20" w:type="dxa"/>
            <w:vAlign w:val="bottom"/>
          </w:tcPr>
          <w:p>
            <w:pPr>
              <w:spacing w:after="0"/>
              <w:rPr>
                <w:sz w:val="14"/>
                <w:szCs w:val="14"/>
                <w:color w:val="auto"/>
              </w:rPr>
            </w:pPr>
          </w:p>
        </w:tc>
        <w:tc>
          <w:tcPr>
            <w:tcW w:w="4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i w:val="1"/>
                <w:iCs w:val="1"/>
                <w:color w:val="auto"/>
              </w:rPr>
              <w:t>(in millions)</w:t>
            </w:r>
          </w:p>
        </w:tc>
        <w:tc>
          <w:tcPr>
            <w:tcW w:w="1500" w:type="dxa"/>
            <w:vAlign w:val="bottom"/>
            <w:tcBorders>
              <w:top w:val="single" w:sz="8" w:color="auto"/>
            </w:tcBorders>
          </w:tcPr>
          <w:p>
            <w:pPr>
              <w:jc w:val="right"/>
              <w:ind w:right="479"/>
              <w:spacing w:after="0" w:line="169"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479"/>
              <w:spacing w:after="0" w:line="169"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1520" w:type="dxa"/>
            <w:vAlign w:val="bottom"/>
            <w:tcBorders>
              <w:top w:val="single" w:sz="8" w:color="auto"/>
            </w:tcBorders>
          </w:tcPr>
          <w:p>
            <w:pPr>
              <w:jc w:val="right"/>
              <w:ind w:right="499"/>
              <w:spacing w:after="0" w:line="169"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479"/>
              <w:spacing w:after="0" w:line="169" w:lineRule="exact"/>
              <w:rPr>
                <w:sz w:val="20"/>
                <w:szCs w:val="20"/>
                <w:color w:val="auto"/>
              </w:rPr>
            </w:pPr>
            <w:r>
              <w:rPr>
                <w:rFonts w:ascii="Arial" w:cs="Arial" w:eastAsia="Arial" w:hAnsi="Arial"/>
                <w:sz w:val="16"/>
                <w:szCs w:val="16"/>
                <w:b w:val="1"/>
                <w:bCs w:val="1"/>
                <w:color w:val="auto"/>
              </w:rPr>
              <w:t>2023</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800" w:type="dxa"/>
            <w:vAlign w:val="bottom"/>
            <w:tcBorders>
              <w:top w:val="single" w:sz="8" w:color="auto"/>
              <w:bottom w:val="single" w:sz="8" w:color="DCE2EF"/>
            </w:tcBorders>
          </w:tcPr>
          <w:p>
            <w:pPr>
              <w:spacing w:after="0" w:line="20" w:lineRule="exact"/>
              <w:rPr>
                <w:sz w:val="1"/>
                <w:szCs w:val="1"/>
                <w:color w:val="auto"/>
              </w:rPr>
            </w:pPr>
          </w:p>
        </w:tc>
        <w:tc>
          <w:tcPr>
            <w:tcW w:w="3980" w:type="dxa"/>
            <w:vAlign w:val="bottom"/>
            <w:tcBorders>
              <w:bottom w:val="single" w:sz="8" w:color="DCE2E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478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Anti-dilutive</w:t>
            </w:r>
          </w:p>
        </w:tc>
        <w:tc>
          <w:tcPr>
            <w:tcW w:w="15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DCE2EF"/>
          </w:tcPr>
          <w:p>
            <w:pPr>
              <w:spacing w:after="0"/>
              <w:rPr>
                <w:sz w:val="18"/>
                <w:szCs w:val="18"/>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DCE2EF"/>
          </w:tcPr>
          <w:p>
            <w:pPr>
              <w:spacing w:after="0"/>
              <w:rPr>
                <w:sz w:val="18"/>
                <w:szCs w:val="18"/>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DCE2EF"/>
          </w:tcPr>
          <w:p>
            <w:pPr>
              <w:spacing w:after="0"/>
              <w:rPr>
                <w:sz w:val="18"/>
                <w:szCs w:val="18"/>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0046AD"/>
        </w:rPr>
        <w:t>6.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Fair Value Hierarchy of Our Financial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Assets and Liabilities Measured at Fair Value on a Recurring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millions)</w:t>
            </w: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Fair Value</w:t>
            </w:r>
          </w:p>
        </w:tc>
        <w:tc>
          <w:tcPr>
            <w:tcW w:w="260" w:type="dxa"/>
            <w:vAlign w:val="bottom"/>
          </w:tcPr>
          <w:p>
            <w:pPr>
              <w:spacing w:after="0"/>
              <w:rPr>
                <w:sz w:val="16"/>
                <w:szCs w:val="16"/>
                <w:color w:val="auto"/>
              </w:rPr>
            </w:pPr>
          </w:p>
        </w:tc>
        <w:tc>
          <w:tcPr>
            <w:tcW w:w="17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April 30, 2024</w:t>
            </w:r>
          </w:p>
        </w:tc>
        <w:tc>
          <w:tcPr>
            <w:tcW w:w="200" w:type="dxa"/>
            <w:vAlign w:val="bottom"/>
          </w:tcPr>
          <w:p>
            <w:pPr>
              <w:spacing w:after="0"/>
              <w:rPr>
                <w:sz w:val="16"/>
                <w:szCs w:val="16"/>
                <w:color w:val="auto"/>
              </w:rPr>
            </w:pPr>
          </w:p>
        </w:tc>
        <w:tc>
          <w:tcPr>
            <w:tcW w:w="17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October 31, 2023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gridSpan w:val="2"/>
            <w:vMerge w:val="continue"/>
          </w:tcPr>
          <w:p>
            <w:pPr>
              <w:spacing w:after="0"/>
              <w:rPr>
                <w:sz w:val="15"/>
                <w:szCs w:val="15"/>
                <w:color w:val="auto"/>
              </w:rPr>
            </w:pPr>
          </w:p>
        </w:tc>
        <w:tc>
          <w:tcPr>
            <w:tcW w:w="164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rPr>
              <w:t>Hierarchy</w:t>
            </w:r>
          </w:p>
        </w:tc>
        <w:tc>
          <w:tcPr>
            <w:tcW w:w="2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860" w:type="dxa"/>
            <w:vAlign w:val="bottom"/>
            <w:tcBorders>
              <w:bottom w:val="single" w:sz="8" w:color="DCE2E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5680" w:type="dxa"/>
            <w:vAlign w:val="bottom"/>
            <w:gridSpan w:val="2"/>
            <w:shd w:val="clear" w:color="auto" w:fill="DCE2EF"/>
          </w:tcPr>
          <w:p>
            <w:pPr>
              <w:spacing w:after="0" w:line="210" w:lineRule="exact"/>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(1)</w:t>
            </w:r>
          </w:p>
        </w:tc>
        <w:tc>
          <w:tcPr>
            <w:tcW w:w="15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1</w:t>
            </w:r>
          </w:p>
        </w:tc>
        <w:tc>
          <w:tcPr>
            <w:tcW w:w="100" w:type="dxa"/>
            <w:vAlign w:val="bottom"/>
            <w:shd w:val="clear" w:color="auto" w:fill="DCE2EF"/>
          </w:tcPr>
          <w:p>
            <w:pPr>
              <w:spacing w:after="0"/>
              <w:rPr>
                <w:sz w:val="18"/>
                <w:szCs w:val="18"/>
                <w:color w:val="auto"/>
              </w:rPr>
            </w:pPr>
          </w:p>
        </w:tc>
        <w:tc>
          <w:tcPr>
            <w:tcW w:w="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60.7</w:t>
            </w: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line="216" w:lineRule="exact"/>
              <w:rPr>
                <w:sz w:val="20"/>
                <w:szCs w:val="20"/>
                <w:color w:val="auto"/>
              </w:rPr>
            </w:pPr>
            <w:r>
              <w:rPr>
                <w:rFonts w:ascii="Arial" w:cs="Arial" w:eastAsia="Arial" w:hAnsi="Arial"/>
                <w:sz w:val="16"/>
                <w:szCs w:val="16"/>
                <w:color w:val="auto"/>
              </w:rPr>
              <w:t>Insurance deposits</w:t>
            </w:r>
            <w:r>
              <w:rPr>
                <w:rFonts w:ascii="Arial" w:cs="Arial" w:eastAsia="Arial" w:hAnsi="Arial"/>
                <w:sz w:val="21"/>
                <w:szCs w:val="21"/>
                <w:color w:val="auto"/>
                <w:vertAlign w:val="superscript"/>
              </w:rPr>
              <w:t>(2)</w:t>
            </w:r>
          </w:p>
        </w:tc>
        <w:tc>
          <w:tcPr>
            <w:tcW w:w="1540" w:type="dxa"/>
            <w:vAlign w:val="bottom"/>
          </w:tcPr>
          <w:p>
            <w:pPr>
              <w:jc w:val="center"/>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680" w:type="dxa"/>
            <w:vAlign w:val="bottom"/>
            <w:gridSpan w:val="2"/>
            <w:shd w:val="clear" w:color="auto" w:fill="DCE2EF"/>
          </w:tcPr>
          <w:p>
            <w:pPr>
              <w:spacing w:after="0" w:line="216" w:lineRule="exact"/>
              <w:rPr>
                <w:sz w:val="20"/>
                <w:szCs w:val="20"/>
                <w:color w:val="auto"/>
              </w:rPr>
            </w:pPr>
            <w:r>
              <w:rPr>
                <w:rFonts w:ascii="Arial" w:cs="Arial" w:eastAsia="Arial" w:hAnsi="Arial"/>
                <w:sz w:val="16"/>
                <w:szCs w:val="16"/>
                <w:color w:val="auto"/>
              </w:rPr>
              <w:t>Assets held in funded deferred compensation plan</w:t>
            </w:r>
            <w:r>
              <w:rPr>
                <w:rFonts w:ascii="Arial" w:cs="Arial" w:eastAsia="Arial" w:hAnsi="Arial"/>
                <w:sz w:val="21"/>
                <w:szCs w:val="21"/>
                <w:color w:val="auto"/>
                <w:vertAlign w:val="superscript"/>
              </w:rPr>
              <w:t>(3)</w:t>
            </w:r>
          </w:p>
        </w:tc>
        <w:tc>
          <w:tcPr>
            <w:tcW w:w="15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1</w:t>
            </w:r>
          </w:p>
        </w:tc>
        <w:tc>
          <w:tcPr>
            <w:tcW w:w="10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line="216" w:lineRule="exact"/>
              <w:rPr>
                <w:sz w:val="20"/>
                <w:szCs w:val="20"/>
                <w:color w:val="auto"/>
              </w:rPr>
            </w:pPr>
            <w:r>
              <w:rPr>
                <w:rFonts w:ascii="Arial" w:cs="Arial" w:eastAsia="Arial" w:hAnsi="Arial"/>
                <w:sz w:val="16"/>
                <w:szCs w:val="16"/>
                <w:color w:val="auto"/>
              </w:rPr>
              <w:t>Credit facility</w:t>
            </w:r>
            <w:r>
              <w:rPr>
                <w:rFonts w:ascii="Arial" w:cs="Arial" w:eastAsia="Arial" w:hAnsi="Arial"/>
                <w:sz w:val="21"/>
                <w:szCs w:val="21"/>
                <w:color w:val="auto"/>
                <w:vertAlign w:val="superscript"/>
              </w:rPr>
              <w:t>(4)</w:t>
            </w:r>
          </w:p>
        </w:tc>
        <w:tc>
          <w:tcPr>
            <w:tcW w:w="1540" w:type="dxa"/>
            <w:vAlign w:val="bottom"/>
          </w:tcPr>
          <w:p>
            <w:pPr>
              <w:jc w:val="center"/>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1,272.5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1,313.8</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680" w:type="dxa"/>
            <w:vAlign w:val="bottom"/>
            <w:gridSpan w:val="2"/>
            <w:shd w:val="clear" w:color="auto" w:fill="DCE2EF"/>
          </w:tcPr>
          <w:p>
            <w:pPr>
              <w:spacing w:after="0" w:line="216" w:lineRule="exact"/>
              <w:rPr>
                <w:sz w:val="20"/>
                <w:szCs w:val="20"/>
                <w:color w:val="auto"/>
              </w:rPr>
            </w:pPr>
            <w:r>
              <w:rPr>
                <w:rFonts w:ascii="Arial" w:cs="Arial" w:eastAsia="Arial" w:hAnsi="Arial"/>
                <w:sz w:val="16"/>
                <w:szCs w:val="16"/>
                <w:color w:val="auto"/>
              </w:rPr>
              <w:t>Interest rate swap assets</w:t>
            </w:r>
            <w:r>
              <w:rPr>
                <w:rFonts w:ascii="Arial" w:cs="Arial" w:eastAsia="Arial" w:hAnsi="Arial"/>
                <w:sz w:val="21"/>
                <w:szCs w:val="21"/>
                <w:color w:val="auto"/>
                <w:vertAlign w:val="superscript"/>
              </w:rPr>
              <w:t>(5)</w:t>
            </w:r>
          </w:p>
        </w:tc>
        <w:tc>
          <w:tcPr>
            <w:tcW w:w="15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2</w:t>
            </w:r>
          </w:p>
        </w:tc>
        <w:tc>
          <w:tcPr>
            <w:tcW w:w="10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line="216" w:lineRule="exact"/>
              <w:rPr>
                <w:sz w:val="20"/>
                <w:szCs w:val="20"/>
                <w:color w:val="auto"/>
              </w:rPr>
            </w:pPr>
            <w:r>
              <w:rPr>
                <w:rFonts w:ascii="Arial" w:cs="Arial" w:eastAsia="Arial" w:hAnsi="Arial"/>
                <w:sz w:val="16"/>
                <w:szCs w:val="16"/>
                <w:color w:val="auto"/>
              </w:rPr>
              <w:t>Preferred equity investment</w:t>
            </w:r>
            <w:r>
              <w:rPr>
                <w:rFonts w:ascii="Arial" w:cs="Arial" w:eastAsia="Arial" w:hAnsi="Arial"/>
                <w:sz w:val="21"/>
                <w:szCs w:val="21"/>
                <w:color w:val="auto"/>
                <w:vertAlign w:val="superscript"/>
              </w:rPr>
              <w:t>(6)</w:t>
            </w:r>
          </w:p>
        </w:tc>
        <w:tc>
          <w:tcPr>
            <w:tcW w:w="1540" w:type="dxa"/>
            <w:vAlign w:val="bottom"/>
          </w:tcPr>
          <w:p>
            <w:pPr>
              <w:jc w:val="center"/>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680" w:type="dxa"/>
            <w:vAlign w:val="bottom"/>
            <w:gridSpan w:val="2"/>
            <w:shd w:val="clear" w:color="auto" w:fill="DCE2EF"/>
          </w:tcPr>
          <w:p>
            <w:pPr>
              <w:spacing w:after="0" w:line="216"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1"/>
                <w:szCs w:val="21"/>
                <w:color w:val="auto"/>
                <w:vertAlign w:val="superscript"/>
              </w:rPr>
              <w:t>(7)</w:t>
            </w:r>
          </w:p>
        </w:tc>
        <w:tc>
          <w:tcPr>
            <w:tcW w:w="15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3</w:t>
            </w:r>
          </w:p>
        </w:tc>
        <w:tc>
          <w:tcPr>
            <w:tcW w:w="10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Cash and cash equivalents are stated at nominal value, which equals fair value.</w:t>
      </w:r>
    </w:p>
    <w:p>
      <w:pPr>
        <w:spacing w:after="0" w:line="103" w:lineRule="exact"/>
        <w:rPr>
          <w:rFonts w:ascii="Arial" w:cs="Arial" w:eastAsia="Arial" w:hAnsi="Arial"/>
          <w:sz w:val="18"/>
          <w:szCs w:val="18"/>
          <w:color w:val="auto"/>
          <w:vertAlign w:val="superscript"/>
        </w:rPr>
      </w:pPr>
    </w:p>
    <w:p>
      <w:pPr>
        <w:jc w:val="both"/>
        <w:ind w:left="180" w:hanging="172"/>
        <w:spacing w:after="0" w:line="233" w:lineRule="auto"/>
        <w:tabs>
          <w:tab w:leader="none" w:pos="209"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Represents restricted deposits that are used to collateralize our insurance obligations and are stated at nominal value, which equals fair value. These insurance deposits are included in “Other noncurrent assets” on the accompanying unaudited Consolidated Balance Sheets. See Note 7, “Insurance,” for further information.</w:t>
      </w:r>
    </w:p>
    <w:p>
      <w:pPr>
        <w:spacing w:after="0" w:line="96" w:lineRule="exact"/>
        <w:rPr>
          <w:rFonts w:ascii="Arial" w:cs="Arial" w:eastAsia="Arial" w:hAnsi="Arial"/>
          <w:sz w:val="21"/>
          <w:szCs w:val="21"/>
          <w:color w:val="auto"/>
          <w:vertAlign w:val="superscript"/>
        </w:rPr>
      </w:pPr>
    </w:p>
    <w:p>
      <w:pPr>
        <w:jc w:val="both"/>
        <w:ind w:left="180" w:hanging="172"/>
        <w:spacing w:after="0" w:line="238" w:lineRule="auto"/>
        <w:tabs>
          <w:tab w:leader="none" w:pos="199"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w:t>
      </w:r>
    </w:p>
    <w:p>
      <w:pPr>
        <w:spacing w:after="0" w:line="84" w:lineRule="exact"/>
        <w:rPr>
          <w:rFonts w:ascii="Arial" w:cs="Arial" w:eastAsia="Arial" w:hAnsi="Arial"/>
          <w:sz w:val="21"/>
          <w:szCs w:val="21"/>
          <w:color w:val="auto"/>
          <w:vertAlign w:val="superscript"/>
        </w:rPr>
      </w:pPr>
    </w:p>
    <w:p>
      <w:pPr>
        <w:ind w:left="180" w:right="20" w:hanging="172"/>
        <w:spacing w:after="0" w:line="227" w:lineRule="auto"/>
        <w:tabs>
          <w:tab w:leader="none" w:pos="19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Represents gross outstanding borrowings under our Amended Credit Facility. Due to variable interest rates, the carrying value of outstanding borrowings under this facility approximates the fair value. See Note 8, “Credit Facility,” for further information.</w:t>
      </w:r>
    </w:p>
    <w:p>
      <w:pPr>
        <w:spacing w:after="0" w:line="97" w:lineRule="exact"/>
        <w:rPr>
          <w:rFonts w:ascii="Arial" w:cs="Arial" w:eastAsia="Arial" w:hAnsi="Arial"/>
          <w:sz w:val="21"/>
          <w:szCs w:val="21"/>
          <w:color w:val="auto"/>
          <w:vertAlign w:val="superscript"/>
        </w:rPr>
      </w:pPr>
    </w:p>
    <w:p>
      <w:pPr>
        <w:jc w:val="both"/>
        <w:ind w:left="180" w:hanging="172"/>
        <w:spacing w:after="0" w:line="242" w:lineRule="auto"/>
        <w:tabs>
          <w:tab w:leader="none" w:pos="197"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the Secured Overnight Financing Rate (“SOFR”) forward rates at the end of the period. Our interest rate swap assets and liabilities are included in “Other noncurrent assets” and “Other noncurrent liabilities,” respectively, on the accompanying unaudited Consolidated Balance Sheets. See Note 8, “Credit Facility,” for further information.</w:t>
      </w:r>
    </w:p>
    <w:p>
      <w:pPr>
        <w:spacing w:after="0" w:line="94" w:lineRule="exact"/>
        <w:rPr>
          <w:sz w:val="20"/>
          <w:szCs w:val="20"/>
          <w:color w:val="auto"/>
        </w:rPr>
      </w:pPr>
    </w:p>
    <w:p>
      <w:pPr>
        <w:ind w:left="180" w:hanging="161"/>
        <w:spacing w:after="0" w:line="227" w:lineRule="auto"/>
        <w:rPr>
          <w:sz w:val="20"/>
          <w:szCs w:val="20"/>
          <w:color w:val="auto"/>
        </w:rPr>
      </w:pPr>
      <w:r>
        <w:rPr>
          <w:rFonts w:ascii="Arial" w:cs="Arial" w:eastAsia="Arial" w:hAnsi="Arial"/>
          <w:sz w:val="21"/>
          <w:szCs w:val="21"/>
          <w:color w:val="auto"/>
          <w:vertAlign w:val="superscript"/>
        </w:rPr>
        <w:t>(6</w:t>
      </w:r>
      <w:r>
        <w:rPr>
          <w:rFonts w:ascii="Arial" w:cs="Arial" w:eastAsia="Arial" w:hAnsi="Arial"/>
          <w:sz w:val="16"/>
          <w:szCs w:val="16"/>
          <w:color w:val="auto"/>
        </w:rPr>
        <w:t xml:space="preserve"> Our investments do not have a readily determinable fair value; therefore, we account for the investments using the measurement alternative under Topic 321 and measure the investments at initial cost plus or minus fair value adjustments if there are observable prices minus impairment, if any.</w:t>
      </w:r>
    </w:p>
    <w:p>
      <w:pPr>
        <w:spacing w:after="0" w:line="97" w:lineRule="exact"/>
        <w:rPr>
          <w:sz w:val="20"/>
          <w:szCs w:val="20"/>
          <w:color w:val="auto"/>
        </w:rPr>
      </w:pPr>
    </w:p>
    <w:p>
      <w:pPr>
        <w:jc w:val="both"/>
        <w:ind w:left="180" w:hanging="172"/>
        <w:spacing w:after="0" w:line="248" w:lineRule="auto"/>
        <w:tabs>
          <w:tab w:leader="none" w:pos="216"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Our contingent consideration payable related to the RavenVolt Acquisition is remeasured at each reporting date, based on significant inputs not observable in the market, which represents a Level 3 measurement within the fair value hierarchy. After the acquisition date and until the contingency is resolved, the fair value of contingent consideration payable is adjusted each reporting period based primarily on the expected probability of achievement of the contingency targets, which are subject to our estimate. These changes in fair value are recognized within the “Selling, general and administrative expenses” of the unaudited Consolidated Statements of Comprehensive Income. There was no material change in the fair value of the contingent consideration during the three and six months ended April 30, 2024</w:t>
      </w:r>
      <w:r>
        <w:rPr>
          <w:rFonts w:ascii="Arial" w:cs="Arial" w:eastAsia="Arial" w:hAnsi="Arial"/>
          <w:sz w:val="17"/>
          <w:szCs w:val="17"/>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Non-Financial Assets Measured at Fair Value on a Non-Recurring Basis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 These assets can include: goodwill; intangible assets; property, plant and equipment; lease-related ROU assets; and long-lived assets that have been reduced to fair value when they are held for sale. If certain triggering events occur, or if an annual impairment test is required, then we would evaluate these non-financial assets for impairment. If an impairment were to occur, then the asset would be recorded at the estimated fair value, using primarily unobservable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0046AD"/>
        </w:rPr>
        <w:t>7.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$1.0 million to $5.0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$0.5 million of exposure on a per-participant, per-year basis with respect to claims.</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our reserves for workers’ compensation, general liability, automobile liability, and property damage insurance claims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reviews are used to estimate our insurance rates and insurance reserves for future periods and to adjust reserves, if appropriate, for prior years.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Actuarial Review and Interim Update Performed During 2024</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review our self-insurance liabilities on a regular basis and adjust our accruals accordingly. Actual claims activity or development may vary from our assumptions and estimates, which may result in material losses or gains. As we obtain additional information that affects the assumptions and estimates used in our reserve liability calculations, we adjust our self-insurance rates and reserves for future periods and, if appropriate, adjust our reserves for claims incurred in prior accounting periods.</w:t>
      </w:r>
    </w:p>
    <w:p>
      <w:pPr>
        <w:spacing w:after="0" w:line="1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the first quarter of 2024, we performed a comprehensive actuarial review of the majority of our casualty insurance programs to evaluate changes made to claims reserves and claims payment activity for the period of May 1, 2023, through October 31, 2023 (the “Actuarial Review”). The Actuarial Review was comprehensive in nature and was based on loss development patterns, trend assumptions, and underlying expected loss costs during the period analyzed.</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second quarter of 2024, we performed an interim actuarial update of the majority of our casualty insurance programs that considered changes in claims development and claims payment activity for the period of November 1, 2023, through January 31, 2024 (the “Interim Update”). This Interim Update was abbreviated in nature based on actual versus expected developments during the periods analyzed and relied on the key assumptions in the Actuarial Review (most notably loss development patterns, trend assumptions, and underlying expected loss costs).</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the results of the Actuarial Review and Interim Update at April 30, 2024, we increased our total reserves related to prior years for known claims as well as our estimate of the loss amounts associated with incurred but not reported claims (“IBNR claims”) by $ 9.7 million during the six months ended April 30, 2024. During the six months ended April 30, 2023, it was determined that there was no adjustment required for our total reserves related to prior years. We will continue to assess ongoing developments, which may result in further adjustments to reserves.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Insurance-Related Balances and Activity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1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6"/>
                <w:szCs w:val="16"/>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30, 2024</w:t>
            </w:r>
          </w:p>
        </w:tc>
        <w:tc>
          <w:tcPr>
            <w:tcW w:w="220" w:type="dxa"/>
            <w:vAlign w:val="bottom"/>
          </w:tcPr>
          <w:p>
            <w:pPr>
              <w:spacing w:after="0"/>
              <w:rPr>
                <w:sz w:val="16"/>
                <w:szCs w:val="16"/>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rPr>
              <w:t>October 31, 2023</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40" w:type="dxa"/>
            <w:vAlign w:val="bottom"/>
            <w:tcBorders>
              <w:top w:val="single" w:sz="8" w:color="auto"/>
              <w:bottom w:val="single" w:sz="8" w:color="DCE2EF"/>
            </w:tcBorders>
          </w:tcPr>
          <w:p>
            <w:pPr>
              <w:spacing w:after="0" w:line="20" w:lineRule="exact"/>
              <w:rPr>
                <w:sz w:val="1"/>
                <w:szCs w:val="1"/>
                <w:color w:val="auto"/>
              </w:rPr>
            </w:pPr>
          </w:p>
        </w:tc>
        <w:tc>
          <w:tcPr>
            <w:tcW w:w="64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Insurance claim reserves, excluding medical and dental</w:t>
            </w: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602.9</w:t>
            </w: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555.0</w:t>
            </w:r>
          </w:p>
        </w:tc>
      </w:tr>
      <w:tr>
        <w:trPr>
          <w:trHeight w:val="215"/>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6"/>
                <w:szCs w:val="16"/>
                <w:color w:val="auto"/>
              </w:rPr>
              <w:t>Medical and dental claim reserves</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7"/>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Insurance recoverables</w:t>
            </w:r>
          </w:p>
        </w:tc>
        <w:tc>
          <w:tcPr>
            <w:tcW w:w="300" w:type="dxa"/>
            <w:vAlign w:val="bottom"/>
            <w:shd w:val="clear" w:color="auto" w:fill="DCE2EF"/>
          </w:tcPr>
          <w:p>
            <w:pPr>
              <w:spacing w:after="0"/>
              <w:rPr>
                <w:sz w:val="18"/>
                <w:szCs w:val="18"/>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106.6</w:t>
            </w: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67.1</w:t>
            </w:r>
          </w:p>
        </w:tc>
      </w:tr>
    </w:tbl>
    <w:p>
      <w:pPr>
        <w:spacing w:after="0" w:line="2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At April 30, 2024, and October 31, 2023, insurance recoverables are included in both “Other current assets” and “Other noncurrent assets” on the accompanying unaudited Consolidated Balance Sheets.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0046AD"/>
        </w:rPr>
        <w:t>Instruments Used to Collateralize Our Insurance Obligations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1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6"/>
                <w:szCs w:val="16"/>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30, 2024</w:t>
            </w:r>
          </w:p>
        </w:tc>
        <w:tc>
          <w:tcPr>
            <w:tcW w:w="220" w:type="dxa"/>
            <w:vAlign w:val="bottom"/>
          </w:tcPr>
          <w:p>
            <w:pPr>
              <w:spacing w:after="0"/>
              <w:rPr>
                <w:sz w:val="16"/>
                <w:szCs w:val="16"/>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rPr>
              <w:t>October 31, 2023</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40" w:type="dxa"/>
            <w:vAlign w:val="bottom"/>
            <w:tcBorders>
              <w:top w:val="single" w:sz="8" w:color="auto"/>
              <w:bottom w:val="single" w:sz="8" w:color="DCE2EF"/>
            </w:tcBorders>
          </w:tcPr>
          <w:p>
            <w:pPr>
              <w:spacing w:after="0" w:line="20" w:lineRule="exact"/>
              <w:rPr>
                <w:sz w:val="1"/>
                <w:szCs w:val="1"/>
                <w:color w:val="auto"/>
              </w:rPr>
            </w:pPr>
          </w:p>
        </w:tc>
        <w:tc>
          <w:tcPr>
            <w:tcW w:w="64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Standby letters of credit</w:t>
            </w: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53.1</w:t>
            </w: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53.5</w:t>
            </w:r>
          </w:p>
        </w:tc>
      </w:tr>
      <w:tr>
        <w:trPr>
          <w:trHeight w:val="215"/>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6"/>
                <w:szCs w:val="16"/>
                <w:color w:val="auto"/>
              </w:rPr>
              <w:t>Surety bonds and surety-backed letters of credit</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178.0</w:t>
            </w:r>
          </w:p>
        </w:tc>
      </w:tr>
      <w:tr>
        <w:trPr>
          <w:trHeight w:val="216"/>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Restricted insurance deposits</w:t>
            </w:r>
          </w:p>
        </w:tc>
        <w:tc>
          <w:tcPr>
            <w:tcW w:w="300" w:type="dxa"/>
            <w:vAlign w:val="bottom"/>
            <w:tcBorders>
              <w:bottom w:val="single" w:sz="8" w:color="auto"/>
            </w:tcBorders>
            <w:shd w:val="clear" w:color="auto" w:fill="DCE2EF"/>
          </w:tcPr>
          <w:p>
            <w:pPr>
              <w:spacing w:after="0"/>
              <w:rPr>
                <w:sz w:val="18"/>
                <w:szCs w:val="18"/>
                <w:color w:val="auto"/>
              </w:rPr>
            </w:pPr>
          </w:p>
        </w:tc>
        <w:tc>
          <w:tcPr>
            <w:tcW w:w="1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1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3.1</w:t>
            </w:r>
          </w:p>
        </w:tc>
      </w:tr>
      <w:tr>
        <w:trPr>
          <w:trHeight w:val="210"/>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8.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Credit Facility Information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7"/>
                <w:szCs w:val="17"/>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30, 2024</w:t>
            </w:r>
          </w:p>
        </w:tc>
        <w:tc>
          <w:tcPr>
            <w:tcW w:w="220" w:type="dxa"/>
            <w:vAlign w:val="bottom"/>
          </w:tcPr>
          <w:p>
            <w:pPr>
              <w:spacing w:after="0"/>
              <w:rPr>
                <w:sz w:val="17"/>
                <w:szCs w:val="17"/>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rPr>
              <w:t>October 31, 2023</w:t>
            </w:r>
          </w:p>
        </w:tc>
      </w:tr>
      <w:tr>
        <w:trPr>
          <w:trHeight w:val="34"/>
        </w:trPr>
        <w:tc>
          <w:tcPr>
            <w:tcW w:w="20" w:type="dxa"/>
            <w:vAlign w:val="bottom"/>
            <w:tcBorders>
              <w:bottom w:val="single" w:sz="8" w:color="DCE2EF"/>
            </w:tcBorders>
          </w:tcPr>
          <w:p>
            <w:pPr>
              <w:spacing w:after="0"/>
              <w:rPr>
                <w:sz w:val="2"/>
                <w:szCs w:val="2"/>
                <w:color w:val="auto"/>
              </w:rPr>
            </w:pPr>
          </w:p>
        </w:tc>
        <w:tc>
          <w:tcPr>
            <w:tcW w:w="720" w:type="dxa"/>
            <w:vAlign w:val="bottom"/>
            <w:tcBorders>
              <w:top w:val="single" w:sz="8" w:color="auto"/>
              <w:bottom w:val="single" w:sz="8" w:color="DCE2EF"/>
            </w:tcBorders>
          </w:tcPr>
          <w:p>
            <w:pPr>
              <w:spacing w:after="0"/>
              <w:rPr>
                <w:sz w:val="2"/>
                <w:szCs w:val="2"/>
                <w:color w:val="auto"/>
              </w:rPr>
            </w:pPr>
          </w:p>
        </w:tc>
        <w:tc>
          <w:tcPr>
            <w:tcW w:w="642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331"/>
        </w:trPr>
        <w:tc>
          <w:tcPr>
            <w:tcW w:w="20" w:type="dxa"/>
            <w:vAlign w:val="bottom"/>
            <w:shd w:val="clear" w:color="auto" w:fill="DCE2EF"/>
          </w:tcPr>
          <w:p>
            <w:pPr>
              <w:spacing w:after="0"/>
              <w:rPr>
                <w:sz w:val="24"/>
                <w:szCs w:val="24"/>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Current portion of long-term debt</w:t>
            </w:r>
            <w:r>
              <w:rPr>
                <w:rFonts w:ascii="Arial" w:cs="Arial" w:eastAsia="Arial" w:hAnsi="Arial"/>
                <w:sz w:val="21"/>
                <w:szCs w:val="21"/>
                <w:color w:val="auto"/>
                <w:vertAlign w:val="superscript"/>
              </w:rPr>
              <w:t>(1)(2)</w:t>
            </w:r>
          </w:p>
        </w:tc>
        <w:tc>
          <w:tcPr>
            <w:tcW w:w="280" w:type="dxa"/>
            <w:vAlign w:val="bottom"/>
            <w:shd w:val="clear" w:color="auto" w:fill="DCE2EF"/>
          </w:tcPr>
          <w:p>
            <w:pPr>
              <w:spacing w:after="0"/>
              <w:rPr>
                <w:sz w:val="24"/>
                <w:szCs w:val="24"/>
                <w:color w:val="auto"/>
              </w:rPr>
            </w:pPr>
          </w:p>
        </w:tc>
        <w:tc>
          <w:tcPr>
            <w:tcW w:w="17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760" w:type="dxa"/>
            <w:vAlign w:val="bottom"/>
            <w:shd w:val="clear" w:color="auto" w:fill="DCE2EF"/>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7140" w:type="dxa"/>
            <w:vAlign w:val="bottom"/>
            <w:gridSpan w:val="2"/>
          </w:tcPr>
          <w:p>
            <w:pPr>
              <w:ind w:left="200"/>
              <w:spacing w:after="0"/>
              <w:rPr>
                <w:sz w:val="20"/>
                <w:szCs w:val="20"/>
                <w:color w:val="auto"/>
              </w:rPr>
            </w:pPr>
            <w:r>
              <w:rPr>
                <w:rFonts w:ascii="Arial" w:cs="Arial" w:eastAsia="Arial" w:hAnsi="Arial"/>
                <w:sz w:val="16"/>
                <w:szCs w:val="16"/>
                <w:color w:val="auto"/>
              </w:rPr>
              <w:t>Gross term loan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17"/>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Unamortized deferred financing costs</w:t>
            </w:r>
          </w:p>
        </w:tc>
        <w:tc>
          <w:tcPr>
            <w:tcW w:w="280" w:type="dxa"/>
            <w:vAlign w:val="bottom"/>
            <w:tcBorders>
              <w:bottom w:val="single" w:sz="8" w:color="auto"/>
            </w:tcBorders>
            <w:shd w:val="clear" w:color="auto" w:fill="DCE2EF"/>
          </w:tcPr>
          <w:p>
            <w:pPr>
              <w:spacing w:after="0"/>
              <w:rPr>
                <w:sz w:val="18"/>
                <w:szCs w:val="18"/>
                <w:color w:val="auto"/>
              </w:rPr>
            </w:pPr>
          </w:p>
        </w:tc>
        <w:tc>
          <w:tcPr>
            <w:tcW w:w="17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1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(1.0)</w:t>
            </w:r>
          </w:p>
        </w:tc>
      </w:tr>
      <w:tr>
        <w:trPr>
          <w:trHeight w:val="330"/>
        </w:trPr>
        <w:tc>
          <w:tcPr>
            <w:tcW w:w="2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6"/>
                <w:szCs w:val="16"/>
                <w:color w:val="auto"/>
              </w:rPr>
              <w:t>Current portion of term loan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58"/>
        </w:trPr>
        <w:tc>
          <w:tcPr>
            <w:tcW w:w="20" w:type="dxa"/>
            <w:vAlign w:val="bottom"/>
            <w:shd w:val="clear" w:color="auto" w:fill="DCE2EF"/>
          </w:tcPr>
          <w:p>
            <w:pPr>
              <w:spacing w:after="0"/>
              <w:rPr>
                <w:sz w:val="22"/>
                <w:szCs w:val="22"/>
                <w:color w:val="auto"/>
              </w:rPr>
            </w:pPr>
          </w:p>
        </w:tc>
        <w:tc>
          <w:tcPr>
            <w:tcW w:w="720" w:type="dxa"/>
            <w:vAlign w:val="bottom"/>
            <w:shd w:val="clear" w:color="auto" w:fill="DCE2EF"/>
          </w:tcPr>
          <w:p>
            <w:pPr>
              <w:spacing w:after="0"/>
              <w:rPr>
                <w:sz w:val="22"/>
                <w:szCs w:val="22"/>
                <w:color w:val="auto"/>
              </w:rPr>
            </w:pPr>
          </w:p>
        </w:tc>
        <w:tc>
          <w:tcPr>
            <w:tcW w:w="6420" w:type="dxa"/>
            <w:vAlign w:val="bottom"/>
            <w:shd w:val="clear" w:color="auto" w:fill="DCE2EF"/>
          </w:tcPr>
          <w:p>
            <w:pPr>
              <w:spacing w:after="0"/>
              <w:rPr>
                <w:sz w:val="22"/>
                <w:szCs w:val="22"/>
                <w:color w:val="auto"/>
              </w:rPr>
            </w:pPr>
          </w:p>
        </w:tc>
        <w:tc>
          <w:tcPr>
            <w:tcW w:w="280" w:type="dxa"/>
            <w:vAlign w:val="bottom"/>
            <w:shd w:val="clear" w:color="auto" w:fill="DCE2EF"/>
          </w:tcPr>
          <w:p>
            <w:pPr>
              <w:spacing w:after="0"/>
              <w:rPr>
                <w:sz w:val="22"/>
                <w:szCs w:val="22"/>
                <w:color w:val="auto"/>
              </w:rPr>
            </w:pPr>
          </w:p>
        </w:tc>
        <w:tc>
          <w:tcPr>
            <w:tcW w:w="17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760" w:type="dxa"/>
            <w:vAlign w:val="bottom"/>
            <w:shd w:val="clear" w:color="auto" w:fill="DCE2EF"/>
          </w:tcPr>
          <w:p>
            <w:pPr>
              <w:spacing w:after="0"/>
              <w:rPr>
                <w:sz w:val="22"/>
                <w:szCs w:val="22"/>
                <w:color w:val="auto"/>
              </w:rPr>
            </w:pPr>
          </w:p>
        </w:tc>
      </w:tr>
      <w:tr>
        <w:trPr>
          <w:trHeight w:val="351"/>
        </w:trPr>
        <w:tc>
          <w:tcPr>
            <w:tcW w:w="2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6"/>
                <w:szCs w:val="16"/>
                <w:color w:val="auto"/>
              </w:rPr>
              <w:t>Long-term debt</w:t>
            </w:r>
            <w:r>
              <w:rPr>
                <w:rFonts w:ascii="Arial" w:cs="Arial" w:eastAsia="Arial" w:hAnsi="Arial"/>
                <w:sz w:val="21"/>
                <w:szCs w:val="21"/>
                <w:color w:val="auto"/>
                <w:vertAlign w:val="superscript"/>
              </w:rPr>
              <w:t>(1)(2)</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Gross term loan</w:t>
            </w:r>
          </w:p>
        </w:tc>
        <w:tc>
          <w:tcPr>
            <w:tcW w:w="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520.0</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536.3</w:t>
            </w:r>
          </w:p>
        </w:tc>
      </w:tr>
      <w:tr>
        <w:trPr>
          <w:trHeight w:val="215"/>
        </w:trPr>
        <w:tc>
          <w:tcPr>
            <w:tcW w:w="20" w:type="dxa"/>
            <w:vAlign w:val="bottom"/>
            <w:tcBorders>
              <w:bottom w:val="single" w:sz="8" w:color="DCE2EF"/>
            </w:tcBorders>
          </w:tcPr>
          <w:p>
            <w:pPr>
              <w:spacing w:after="0"/>
              <w:rPr>
                <w:sz w:val="18"/>
                <w:szCs w:val="18"/>
                <w:color w:val="auto"/>
              </w:rPr>
            </w:pPr>
          </w:p>
        </w:tc>
        <w:tc>
          <w:tcPr>
            <w:tcW w:w="7140" w:type="dxa"/>
            <w:vAlign w:val="bottom"/>
            <w:tcBorders>
              <w:bottom w:val="single" w:sz="8" w:color="DCE2EF"/>
            </w:tcBorders>
            <w:gridSpan w:val="2"/>
          </w:tcPr>
          <w:p>
            <w:pPr>
              <w:ind w:left="200"/>
              <w:spacing w:after="0"/>
              <w:rPr>
                <w:sz w:val="20"/>
                <w:szCs w:val="20"/>
                <w:color w:val="auto"/>
              </w:rPr>
            </w:pPr>
            <w:r>
              <w:rPr>
                <w:rFonts w:ascii="Arial" w:cs="Arial" w:eastAsia="Arial" w:hAnsi="Arial"/>
                <w:sz w:val="16"/>
                <w:szCs w:val="16"/>
                <w:color w:val="auto"/>
              </w:rPr>
              <w:t>Unamortized deferred financing costs</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DCE2E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332"/>
        </w:trPr>
        <w:tc>
          <w:tcPr>
            <w:tcW w:w="20" w:type="dxa"/>
            <w:vAlign w:val="bottom"/>
            <w:shd w:val="clear" w:color="auto" w:fill="DCE2EF"/>
          </w:tcPr>
          <w:p>
            <w:pPr>
              <w:spacing w:after="0"/>
              <w:rPr>
                <w:sz w:val="24"/>
                <w:szCs w:val="24"/>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Total noncurrent portion of term loan</w:t>
            </w:r>
          </w:p>
        </w:tc>
        <w:tc>
          <w:tcPr>
            <w:tcW w:w="280" w:type="dxa"/>
            <w:vAlign w:val="bottom"/>
            <w:shd w:val="clear" w:color="auto" w:fill="DCE2EF"/>
          </w:tcPr>
          <w:p>
            <w:pPr>
              <w:spacing w:after="0"/>
              <w:rPr>
                <w:sz w:val="24"/>
                <w:szCs w:val="24"/>
                <w:color w:val="auto"/>
              </w:rPr>
            </w:pP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519.0</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534.8</w:t>
            </w:r>
          </w:p>
        </w:tc>
      </w:tr>
      <w:tr>
        <w:trPr>
          <w:trHeight w:val="216"/>
        </w:trPr>
        <w:tc>
          <w:tcPr>
            <w:tcW w:w="20" w:type="dxa"/>
            <w:vAlign w:val="bottom"/>
            <w:tcBorders>
              <w:bottom w:val="single" w:sz="8" w:color="DCE2EF"/>
            </w:tcBorders>
          </w:tcPr>
          <w:p>
            <w:pPr>
              <w:spacing w:after="0"/>
              <w:rPr>
                <w:sz w:val="18"/>
                <w:szCs w:val="18"/>
                <w:color w:val="auto"/>
              </w:rPr>
            </w:pPr>
          </w:p>
        </w:tc>
        <w:tc>
          <w:tcPr>
            <w:tcW w:w="7140" w:type="dxa"/>
            <w:vAlign w:val="bottom"/>
            <w:tcBorders>
              <w:bottom w:val="single" w:sz="8" w:color="DCE2EF"/>
            </w:tcBorders>
            <w:gridSpan w:val="2"/>
          </w:tcPr>
          <w:p>
            <w:pPr>
              <w:ind w:left="200"/>
              <w:spacing w:after="0" w:line="216" w:lineRule="exact"/>
              <w:rPr>
                <w:sz w:val="20"/>
                <w:szCs w:val="20"/>
                <w:color w:val="auto"/>
              </w:rPr>
            </w:pPr>
            <w:r>
              <w:rPr>
                <w:rFonts w:ascii="Arial" w:cs="Arial" w:eastAsia="Arial" w:hAnsi="Arial"/>
                <w:sz w:val="16"/>
                <w:szCs w:val="16"/>
                <w:color w:val="auto"/>
              </w:rPr>
              <w:t>Revolving line of credit</w:t>
            </w:r>
            <w:r>
              <w:rPr>
                <w:rFonts w:ascii="Arial" w:cs="Arial" w:eastAsia="Arial" w:hAnsi="Arial"/>
                <w:sz w:val="21"/>
                <w:szCs w:val="21"/>
                <w:color w:val="auto"/>
                <w:vertAlign w:val="superscript"/>
              </w:rPr>
              <w:t>(3)</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720.0</w:t>
            </w:r>
          </w:p>
        </w:tc>
        <w:tc>
          <w:tcPr>
            <w:tcW w:w="100" w:type="dxa"/>
            <w:vAlign w:val="bottom"/>
            <w:tcBorders>
              <w:bottom w:val="single" w:sz="8" w:color="DCE2E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745.0</w:t>
            </w:r>
          </w:p>
        </w:tc>
      </w:tr>
      <w:tr>
        <w:trPr>
          <w:trHeight w:val="329"/>
        </w:trPr>
        <w:tc>
          <w:tcPr>
            <w:tcW w:w="20" w:type="dxa"/>
            <w:vAlign w:val="bottom"/>
            <w:tcBorders>
              <w:bottom w:val="single" w:sz="8" w:color="DCE2EF"/>
            </w:tcBorders>
            <w:shd w:val="clear" w:color="auto" w:fill="DCE2EF"/>
          </w:tcPr>
          <w:p>
            <w:pPr>
              <w:spacing w:after="0"/>
              <w:rPr>
                <w:sz w:val="24"/>
                <w:szCs w:val="24"/>
                <w:color w:val="auto"/>
              </w:rPr>
            </w:pPr>
          </w:p>
        </w:tc>
        <w:tc>
          <w:tcPr>
            <w:tcW w:w="71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1,239.0</w:t>
            </w:r>
          </w:p>
        </w:tc>
        <w:tc>
          <w:tcPr>
            <w:tcW w:w="100" w:type="dxa"/>
            <w:vAlign w:val="bottom"/>
            <w:tcBorders>
              <w:bottom w:val="single" w:sz="8" w:color="DCE2EF"/>
            </w:tcBorders>
            <w:shd w:val="clear" w:color="auto" w:fill="DCE2EF"/>
          </w:tcPr>
          <w:p>
            <w:pPr>
              <w:spacing w:after="0"/>
              <w:rPr>
                <w:sz w:val="24"/>
                <w:szCs w:val="24"/>
                <w:color w:val="auto"/>
              </w:rPr>
            </w:pPr>
          </w:p>
        </w:tc>
        <w:tc>
          <w:tcPr>
            <w:tcW w:w="22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1,279.8</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6420" w:type="dxa"/>
            <w:vAlign w:val="bottom"/>
            <w:tcBorders>
              <w:top w:val="single" w:sz="8" w:color="DCE2EF"/>
            </w:tcBorders>
          </w:tcPr>
          <w:p>
            <w:pPr>
              <w:spacing w:after="0" w:line="20" w:lineRule="exact"/>
              <w:rPr>
                <w:sz w:val="1"/>
                <w:szCs w:val="1"/>
                <w:color w:val="auto"/>
              </w:rPr>
            </w:pP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17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1760" w:type="dxa"/>
            <w:vAlign w:val="bottom"/>
            <w:tcBorders>
              <w:top w:val="single" w:sz="8" w:color="DCE2E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left="180" w:hanging="161"/>
        <w:spacing w:after="0" w:line="235"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At both April 30, 2024, and October 31, 2023, the weighted average interest rate on all outstanding borrowings, not including letters of credit and swaps, was 7.17%.</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At April 30, 2024, we had borrowing capacity of $501.1 million.</w:t>
      </w:r>
    </w:p>
    <w:p>
      <w:pPr>
        <w:spacing w:after="0" w:line="29"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Standby letters of credit amounted to $57.9 million at April 30, 2024.</w:t>
      </w:r>
    </w:p>
    <w:p>
      <w:pPr>
        <w:spacing w:after="0" w:line="1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(the “Revolver”) and an $800.0 million amortizing term loan, both of which matured on September 1, 2022. In accordance with terms of the Credit Facility, the revolver was reduced to $800.0 million on September 1, 2018.</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28, 2021, the Company amended and restated the Credit Facility (the “Amended Credit Facility”), extending the maturity date to June 28, 2026, and increasing the capacity of the revolving credit facility from $ 800.0 million to $1.3 billion and the then-remaining term loan outstanding from $620.0 million to $650.0 million. The Amended Credit Facility provides for the issuance of up to $350.0 million for standby letters of credit and the issuance of up to $75.0 million in swingline advances. The obligations under the Amended Credit Facility are secured on a first-priority basis by a lien on substantially all of our assets and properties, subject to certain exceptions. Additionally, we may repay amounts borrowed under the Amended Credit Facility at any time without penalty.</w:t>
      </w:r>
    </w:p>
    <w:p>
      <w:pPr>
        <w:spacing w:after="0" w:line="1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November 1, 2022, we amended our Amended Credit Facility pursuant to the LIBOR (London Interbank Offered Rate) Transition Amendment and the Fifth Amendment to replace the benchmark rate at which U.S.dollar-denominated borrowings bear interest from LIBOR to the forward-looking Secured Overnight Financing Rate (“SOFR”) term rate administered by CME Group Benchmark Administration Limited. As a result of these amendments, we can borrow at Term SOFR plus a credit spread adjustment of 0.10% subject to a floor of zero.</w:t>
      </w:r>
    </w:p>
    <w:p>
      <w:pPr>
        <w:spacing w:after="0" w:line="1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w:t>
      </w:r>
    </w:p>
    <w:p>
      <w:pPr>
        <w:sectPr>
          <w:pgSz w:w="11900" w:h="16838" w:orient="portrait"/>
          <w:cols w:equalWidth="0" w:num="1">
            <w:col w:w="11240"/>
          </w:cols>
          <w:pgMar w:left="320" w:top="125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type w:val="continuous"/>
        </w:sectPr>
      </w:pPr>
    </w:p>
    <w:bookmarkStart w:id="19" w:name="page20"/>
    <w:bookmarkEnd w:id="19"/>
    <w:p>
      <w:pPr>
        <w:jc w:val="both"/>
        <w:spacing w:after="0" w:line="268" w:lineRule="auto"/>
        <w:rPr>
          <w:sz w:val="20"/>
          <w:szCs w:val="20"/>
          <w:color w:val="auto"/>
        </w:rPr>
      </w:pPr>
      <w:r>
        <w:rPr>
          <w:rFonts w:ascii="Arial" w:cs="Arial" w:eastAsia="Arial" w:hAnsi="Arial"/>
          <w:sz w:val="18"/>
          <w:szCs w:val="18"/>
          <w:color w:val="auto"/>
        </w:rPr>
        <w:t>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April 30, 2024, we were in compliance with these covenants.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Amended Credit Facility also includes customary events of default, including: failure to pay principal, interest, or fees when due; failure to comply with covenants; the occurrence of certain material judgments; and a change in control of the Company. If certain events of default occur, including certain cross-defaults, insolvency, change in control, or violation of specific covenants, then the lenders can terminate or suspend our access to the Amended Credit Facility, declare all amounts outstanding (including all accrued interest and unpaid fees) to be immediately due and payable, and require that we cash collateralize the outstanding standby letters of credit.</w:t>
      </w:r>
    </w:p>
    <w:p>
      <w:pPr>
        <w:spacing w:after="0" w:line="1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incurred deferred financing costs of $6.4 million in conjunction with the execution of the Amended Credit Facility and carried over $6.2 million of unamortized deferred financing from initial execution and previous amendments of the Credit Facility. Total deferred financing costs of $12.6 million, consisting of $4.9 million related to the term loan and $7.7 million related to the revolver, are being amortized to interest expense over the term of the Amended Credit Facility.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Long-Term Debt Maturities</w:t>
      </w:r>
    </w:p>
    <w:p>
      <w:pPr>
        <w:spacing w:after="0" w:line="17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During the three and six months ended April 30, 2024, we made principal payments under the term loan of $8.1 million and $16.3 million, respectively. As of April 30, 2024, the following principal payments are required under the Amended Credit Facility: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2028</w:t>
            </w:r>
          </w:p>
        </w:tc>
      </w:tr>
      <w:tr>
        <w:trPr>
          <w:trHeight w:val="34"/>
        </w:trPr>
        <w:tc>
          <w:tcPr>
            <w:tcW w:w="20" w:type="dxa"/>
            <w:vAlign w:val="bottom"/>
            <w:tcBorders>
              <w:bottom w:val="single" w:sz="8" w:color="DCE2EF"/>
            </w:tcBorders>
          </w:tcPr>
          <w:p>
            <w:pPr>
              <w:spacing w:after="0"/>
              <w:rPr>
                <w:sz w:val="2"/>
                <w:szCs w:val="2"/>
                <w:color w:val="auto"/>
              </w:rPr>
            </w:pPr>
          </w:p>
        </w:tc>
        <w:tc>
          <w:tcPr>
            <w:tcW w:w="720" w:type="dxa"/>
            <w:vAlign w:val="bottom"/>
            <w:tcBorders>
              <w:top w:val="single" w:sz="8" w:color="auto"/>
              <w:bottom w:val="single" w:sz="8" w:color="DCE2EF"/>
            </w:tcBorders>
          </w:tcPr>
          <w:p>
            <w:pPr>
              <w:spacing w:after="0"/>
              <w:rPr>
                <w:sz w:val="2"/>
                <w:szCs w:val="2"/>
                <w:color w:val="auto"/>
              </w:rPr>
            </w:pPr>
          </w:p>
        </w:tc>
        <w:tc>
          <w:tcPr>
            <w:tcW w:w="302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DCE2EF"/>
          </w:tcPr>
          <w:p>
            <w:pPr>
              <w:spacing w:after="0"/>
              <w:rPr>
                <w:sz w:val="18"/>
                <w:szCs w:val="18"/>
                <w:color w:val="auto"/>
              </w:rPr>
            </w:pPr>
          </w:p>
        </w:tc>
        <w:tc>
          <w:tcPr>
            <w:tcW w:w="37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Debt maturities</w:t>
            </w:r>
          </w:p>
        </w:tc>
        <w:tc>
          <w:tcPr>
            <w:tcW w:w="960" w:type="dxa"/>
            <w:vAlign w:val="bottom"/>
            <w:shd w:val="clear" w:color="auto" w:fill="DCE2EF"/>
          </w:tcPr>
          <w:p>
            <w:pPr>
              <w:jc w:val="right"/>
              <w:ind w:right="7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DCE2EF"/>
          </w:tcPr>
          <w:p>
            <w:pPr>
              <w:spacing w:after="0"/>
              <w:rPr>
                <w:sz w:val="18"/>
                <w:szCs w:val="18"/>
                <w:color w:val="auto"/>
              </w:rPr>
            </w:pPr>
          </w:p>
        </w:tc>
        <w:tc>
          <w:tcPr>
            <w:tcW w:w="960" w:type="dxa"/>
            <w:vAlign w:val="bottom"/>
            <w:shd w:val="clear" w:color="auto" w:fill="DCE2EF"/>
          </w:tcPr>
          <w:p>
            <w:pPr>
              <w:jc w:val="right"/>
              <w:ind w:right="7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32.5</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1,223.8</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Interest Rate Swaps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utilize interest rate swap agreements to fix the variable interest rates on portions of our debt. The purpose of using these derivatives is to reduce our exposure to the interest rate risk associated with variable borrowings. Under these agreements, we typically pay a fixed interest rate in exchange for a SOFR-based variable interest rate on a given notional amount. All of our interest rate swaps are designated and accounted for as cash flow hedges. Changes in the fair value of these derivatives are reported as a component of other comprehensive income and are reclassified into earnings in the period or periods in which the hedged transaction affects earnings. For information regarding the valuation of our interest rate swaps, see Note 6, “Fair Value of Financial Instruments.”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Notional Amount</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Fixed Interest Rate</w:t>
            </w: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Effective Date</w:t>
            </w:r>
          </w:p>
        </w:tc>
        <w:tc>
          <w:tcPr>
            <w:tcW w:w="2740" w:type="dxa"/>
            <w:vAlign w:val="bottom"/>
          </w:tcPr>
          <w:p>
            <w:pPr>
              <w:ind w:left="860"/>
              <w:spacing w:after="0"/>
              <w:rPr>
                <w:sz w:val="20"/>
                <w:szCs w:val="20"/>
                <w:color w:val="auto"/>
              </w:rPr>
            </w:pPr>
            <w:r>
              <w:rPr>
                <w:rFonts w:ascii="Arial" w:cs="Arial" w:eastAsia="Arial" w:hAnsi="Arial"/>
                <w:sz w:val="16"/>
                <w:szCs w:val="16"/>
                <w:b w:val="1"/>
                <w:bCs w:val="1"/>
                <w:color w:val="auto"/>
              </w:rPr>
              <w:t>Maturity Date</w:t>
            </w:r>
          </w:p>
        </w:tc>
      </w:tr>
      <w:tr>
        <w:trPr>
          <w:trHeight w:val="209"/>
        </w:trPr>
        <w:tc>
          <w:tcPr>
            <w:tcW w:w="270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6"/>
                <w:szCs w:val="16"/>
                <w:color w:val="auto"/>
              </w:rPr>
              <w:t>$100.0 million</w:t>
            </w:r>
          </w:p>
        </w:tc>
        <w:tc>
          <w:tcPr>
            <w:tcW w:w="120" w:type="dxa"/>
            <w:vAlign w:val="bottom"/>
            <w:tcBorders>
              <w:top w:val="single" w:sz="8" w:color="DCE2EF"/>
            </w:tcBorders>
            <w:shd w:val="clear" w:color="auto" w:fill="DCE2EF"/>
          </w:tcPr>
          <w:p>
            <w:pPr>
              <w:spacing w:after="0"/>
              <w:rPr>
                <w:sz w:val="18"/>
                <w:szCs w:val="18"/>
                <w:color w:val="auto"/>
              </w:rPr>
            </w:pPr>
          </w:p>
        </w:tc>
        <w:tc>
          <w:tcPr>
            <w:tcW w:w="272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6"/>
                <w:szCs w:val="16"/>
                <w:color w:val="auto"/>
              </w:rPr>
              <w:t>1.72%</w:t>
            </w:r>
          </w:p>
        </w:tc>
        <w:tc>
          <w:tcPr>
            <w:tcW w:w="120" w:type="dxa"/>
            <w:vAlign w:val="bottom"/>
            <w:tcBorders>
              <w:top w:val="single" w:sz="8" w:color="DCE2EF"/>
            </w:tcBorders>
            <w:shd w:val="clear" w:color="auto" w:fill="DCE2EF"/>
          </w:tcPr>
          <w:p>
            <w:pPr>
              <w:spacing w:after="0"/>
              <w:rPr>
                <w:sz w:val="18"/>
                <w:szCs w:val="18"/>
                <w:color w:val="auto"/>
              </w:rPr>
            </w:pPr>
          </w:p>
        </w:tc>
        <w:tc>
          <w:tcPr>
            <w:tcW w:w="272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6"/>
                <w:szCs w:val="16"/>
                <w:color w:val="auto"/>
              </w:rPr>
              <w:t>February 9, 2022</w:t>
            </w:r>
          </w:p>
        </w:tc>
        <w:tc>
          <w:tcPr>
            <w:tcW w:w="100" w:type="dxa"/>
            <w:vAlign w:val="bottom"/>
            <w:tcBorders>
              <w:top w:val="single" w:sz="8" w:color="DCE2EF"/>
            </w:tcBorders>
            <w:shd w:val="clear" w:color="auto" w:fill="DCE2EF"/>
          </w:tcPr>
          <w:p>
            <w:pPr>
              <w:spacing w:after="0"/>
              <w:rPr>
                <w:sz w:val="18"/>
                <w:szCs w:val="18"/>
                <w:color w:val="auto"/>
              </w:rPr>
            </w:pPr>
          </w:p>
        </w:tc>
        <w:tc>
          <w:tcPr>
            <w:tcW w:w="2740" w:type="dxa"/>
            <w:vAlign w:val="bottom"/>
            <w:tcBorders>
              <w:top w:val="single" w:sz="8" w:color="auto"/>
            </w:tcBorders>
            <w:shd w:val="clear" w:color="auto" w:fill="DCE2EF"/>
          </w:tcPr>
          <w:p>
            <w:pPr>
              <w:ind w:left="860"/>
              <w:spacing w:after="0"/>
              <w:rPr>
                <w:sz w:val="20"/>
                <w:szCs w:val="20"/>
                <w:color w:val="auto"/>
              </w:rPr>
            </w:pPr>
            <w:r>
              <w:rPr>
                <w:rFonts w:ascii="Arial" w:cs="Arial" w:eastAsia="Arial" w:hAnsi="Arial"/>
                <w:sz w:val="16"/>
                <w:szCs w:val="16"/>
                <w:color w:val="auto"/>
              </w:rPr>
              <w:t>June 28, 2026</w:t>
            </w:r>
          </w:p>
        </w:tc>
      </w:tr>
      <w:tr>
        <w:trPr>
          <w:trHeight w:val="215"/>
        </w:trPr>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rPr>
              <w:t>$150.0 million</w:t>
            </w:r>
          </w:p>
        </w:tc>
        <w:tc>
          <w:tcPr>
            <w:tcW w:w="2720" w:type="dxa"/>
            <w:vAlign w:val="bottom"/>
          </w:tcPr>
          <w:p>
            <w:pPr>
              <w:jc w:val="center"/>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rPr>
              <w:t>February 25, 2022</w:t>
            </w:r>
          </w:p>
        </w:tc>
        <w:tc>
          <w:tcPr>
            <w:tcW w:w="2740" w:type="dxa"/>
            <w:vAlign w:val="bottom"/>
          </w:tcPr>
          <w:p>
            <w:pPr>
              <w:ind w:left="860"/>
              <w:spacing w:after="0"/>
              <w:rPr>
                <w:sz w:val="20"/>
                <w:szCs w:val="20"/>
                <w:color w:val="auto"/>
              </w:rPr>
            </w:pPr>
            <w:r>
              <w:rPr>
                <w:rFonts w:ascii="Arial" w:cs="Arial" w:eastAsia="Arial" w:hAnsi="Arial"/>
                <w:sz w:val="16"/>
                <w:szCs w:val="16"/>
                <w:color w:val="auto"/>
              </w:rPr>
              <w:t>June 28, 2026</w:t>
            </w:r>
          </w:p>
        </w:tc>
      </w:tr>
      <w:tr>
        <w:trPr>
          <w:trHeight w:val="217"/>
        </w:trPr>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6"/>
                <w:szCs w:val="16"/>
                <w:color w:val="auto"/>
              </w:rPr>
              <w:t>$100.0 million</w:t>
            </w:r>
          </w:p>
        </w:tc>
        <w:tc>
          <w:tcPr>
            <w:tcW w:w="272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DCE2EF"/>
          </w:tcPr>
          <w:p>
            <w:pPr>
              <w:spacing w:after="0"/>
              <w:rPr>
                <w:sz w:val="18"/>
                <w:szCs w:val="18"/>
                <w:color w:val="auto"/>
              </w:rPr>
            </w:pPr>
          </w:p>
        </w:tc>
        <w:tc>
          <w:tcPr>
            <w:tcW w:w="2820" w:type="dxa"/>
            <w:vAlign w:val="bottom"/>
            <w:gridSpan w:val="2"/>
            <w:shd w:val="clear" w:color="auto" w:fill="DCE2EF"/>
          </w:tcPr>
          <w:p>
            <w:pPr>
              <w:jc w:val="center"/>
              <w:ind w:right="120"/>
              <w:spacing w:after="0"/>
              <w:rPr>
                <w:sz w:val="20"/>
                <w:szCs w:val="20"/>
                <w:color w:val="auto"/>
              </w:rPr>
            </w:pPr>
            <w:r>
              <w:rPr>
                <w:rFonts w:ascii="Arial" w:cs="Arial" w:eastAsia="Arial" w:hAnsi="Arial"/>
                <w:sz w:val="16"/>
                <w:szCs w:val="16"/>
                <w:color w:val="auto"/>
              </w:rPr>
              <w:t>May 4, 2022</w:t>
            </w:r>
          </w:p>
        </w:tc>
        <w:tc>
          <w:tcPr>
            <w:tcW w:w="2740" w:type="dxa"/>
            <w:vAlign w:val="bottom"/>
            <w:shd w:val="clear" w:color="auto" w:fill="DCE2EF"/>
          </w:tcPr>
          <w:p>
            <w:pPr>
              <w:ind w:left="860"/>
              <w:spacing w:after="0"/>
              <w:rPr>
                <w:sz w:val="20"/>
                <w:szCs w:val="20"/>
                <w:color w:val="auto"/>
              </w:rPr>
            </w:pPr>
            <w:r>
              <w:rPr>
                <w:rFonts w:ascii="Arial" w:cs="Arial" w:eastAsia="Arial" w:hAnsi="Arial"/>
                <w:sz w:val="16"/>
                <w:szCs w:val="16"/>
                <w:color w:val="auto"/>
              </w:rPr>
              <w:t>June 28, 2026</w:t>
            </w:r>
          </w:p>
        </w:tc>
      </w:tr>
      <w:tr>
        <w:trPr>
          <w:trHeight w:val="216"/>
        </w:trPr>
        <w:tc>
          <w:tcPr>
            <w:tcW w:w="2820" w:type="dxa"/>
            <w:vAlign w:val="bottom"/>
            <w:gridSpan w:val="2"/>
          </w:tcPr>
          <w:p>
            <w:pPr>
              <w:jc w:val="center"/>
              <w:ind w:left="39"/>
              <w:spacing w:after="0" w:line="216" w:lineRule="exact"/>
              <w:rPr>
                <w:sz w:val="20"/>
                <w:szCs w:val="20"/>
                <w:color w:val="auto"/>
              </w:rPr>
            </w:pPr>
            <w:r>
              <w:rPr>
                <w:rFonts w:ascii="Arial" w:cs="Arial" w:eastAsia="Arial" w:hAnsi="Arial"/>
                <w:sz w:val="16"/>
                <w:szCs w:val="16"/>
                <w:color w:val="auto"/>
                <w:w w:val="98"/>
              </w:rPr>
              <w:t xml:space="preserve">$202.5 million </w:t>
            </w:r>
            <w:r>
              <w:rPr>
                <w:rFonts w:ascii="Arial" w:cs="Arial" w:eastAsia="Arial" w:hAnsi="Arial"/>
                <w:sz w:val="21"/>
                <w:szCs w:val="21"/>
                <w:color w:val="auto"/>
                <w:w w:val="98"/>
                <w:vertAlign w:val="superscript"/>
              </w:rPr>
              <w:t>(1)</w:t>
            </w:r>
          </w:p>
        </w:tc>
        <w:tc>
          <w:tcPr>
            <w:tcW w:w="2720" w:type="dxa"/>
            <w:vAlign w:val="bottom"/>
          </w:tcPr>
          <w:p>
            <w:pPr>
              <w:jc w:val="center"/>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8"/>
                <w:szCs w:val="18"/>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rPr>
              <w:t>July 7, 2022</w:t>
            </w:r>
          </w:p>
        </w:tc>
        <w:tc>
          <w:tcPr>
            <w:tcW w:w="2740" w:type="dxa"/>
            <w:vAlign w:val="bottom"/>
          </w:tcPr>
          <w:p>
            <w:pPr>
              <w:ind w:left="860"/>
              <w:spacing w:after="0"/>
              <w:rPr>
                <w:sz w:val="20"/>
                <w:szCs w:val="20"/>
                <w:color w:val="auto"/>
              </w:rPr>
            </w:pPr>
            <w:r>
              <w:rPr>
                <w:rFonts w:ascii="Arial" w:cs="Arial" w:eastAsia="Arial" w:hAnsi="Arial"/>
                <w:sz w:val="16"/>
                <w:szCs w:val="16"/>
                <w:color w:val="auto"/>
              </w:rPr>
              <w:t>June 28, 2026</w:t>
            </w:r>
          </w:p>
        </w:tc>
      </w:tr>
      <w:tr>
        <w:trPr>
          <w:trHeight w:val="216"/>
        </w:trPr>
        <w:tc>
          <w:tcPr>
            <w:tcW w:w="2820" w:type="dxa"/>
            <w:vAlign w:val="bottom"/>
            <w:gridSpan w:val="2"/>
            <w:shd w:val="clear" w:color="auto" w:fill="DCE2EF"/>
          </w:tcPr>
          <w:p>
            <w:pPr>
              <w:jc w:val="center"/>
              <w:ind w:left="39"/>
              <w:spacing w:after="0" w:line="216" w:lineRule="exact"/>
              <w:rPr>
                <w:sz w:val="20"/>
                <w:szCs w:val="20"/>
                <w:color w:val="auto"/>
              </w:rPr>
            </w:pPr>
            <w:r>
              <w:rPr>
                <w:rFonts w:ascii="Arial" w:cs="Arial" w:eastAsia="Arial" w:hAnsi="Arial"/>
                <w:sz w:val="16"/>
                <w:szCs w:val="16"/>
                <w:color w:val="auto"/>
                <w:w w:val="98"/>
              </w:rPr>
              <w:t xml:space="preserve">$47.5 million </w:t>
            </w:r>
            <w:r>
              <w:rPr>
                <w:rFonts w:ascii="Arial" w:cs="Arial" w:eastAsia="Arial" w:hAnsi="Arial"/>
                <w:sz w:val="21"/>
                <w:szCs w:val="21"/>
                <w:color w:val="auto"/>
                <w:w w:val="98"/>
                <w:vertAlign w:val="superscript"/>
              </w:rPr>
              <w:t>(1)</w:t>
            </w:r>
          </w:p>
        </w:tc>
        <w:tc>
          <w:tcPr>
            <w:tcW w:w="272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2.79%</w:t>
            </w:r>
          </w:p>
        </w:tc>
        <w:tc>
          <w:tcPr>
            <w:tcW w:w="120" w:type="dxa"/>
            <w:vAlign w:val="bottom"/>
            <w:shd w:val="clear" w:color="auto" w:fill="DCE2EF"/>
          </w:tcPr>
          <w:p>
            <w:pPr>
              <w:spacing w:after="0"/>
              <w:rPr>
                <w:sz w:val="18"/>
                <w:szCs w:val="18"/>
                <w:color w:val="auto"/>
              </w:rPr>
            </w:pPr>
          </w:p>
        </w:tc>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6"/>
                <w:szCs w:val="16"/>
                <w:color w:val="auto"/>
              </w:rPr>
              <w:t>July 18, 2022</w:t>
            </w:r>
          </w:p>
        </w:tc>
        <w:tc>
          <w:tcPr>
            <w:tcW w:w="2740" w:type="dxa"/>
            <w:vAlign w:val="bottom"/>
            <w:shd w:val="clear" w:color="auto" w:fill="DCE2EF"/>
          </w:tcPr>
          <w:p>
            <w:pPr>
              <w:ind w:left="860"/>
              <w:spacing w:after="0"/>
              <w:rPr>
                <w:sz w:val="20"/>
                <w:szCs w:val="20"/>
                <w:color w:val="auto"/>
              </w:rPr>
            </w:pPr>
            <w:r>
              <w:rPr>
                <w:rFonts w:ascii="Arial" w:cs="Arial" w:eastAsia="Arial" w:hAnsi="Arial"/>
                <w:sz w:val="16"/>
                <w:szCs w:val="16"/>
                <w:color w:val="auto"/>
              </w:rPr>
              <w:t>June 28, 2026</w:t>
            </w:r>
          </w:p>
        </w:tc>
      </w:tr>
      <w:tr>
        <w:trPr>
          <w:trHeight w:val="215"/>
        </w:trPr>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rPr>
              <w:t>$170.0 million</w:t>
            </w:r>
          </w:p>
        </w:tc>
        <w:tc>
          <w:tcPr>
            <w:tcW w:w="2720" w:type="dxa"/>
            <w:vAlign w:val="bottom"/>
          </w:tcPr>
          <w:p>
            <w:pPr>
              <w:jc w:val="center"/>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6"/>
                <w:szCs w:val="16"/>
                <w:color w:val="auto"/>
              </w:rPr>
              <w:t>November 1, 2022</w:t>
            </w:r>
          </w:p>
        </w:tc>
        <w:tc>
          <w:tcPr>
            <w:tcW w:w="2740" w:type="dxa"/>
            <w:vAlign w:val="bottom"/>
          </w:tcPr>
          <w:p>
            <w:pPr>
              <w:ind w:left="860"/>
              <w:spacing w:after="0"/>
              <w:rPr>
                <w:sz w:val="20"/>
                <w:szCs w:val="20"/>
                <w:color w:val="auto"/>
              </w:rPr>
            </w:pPr>
            <w:r>
              <w:rPr>
                <w:rFonts w:ascii="Arial" w:cs="Arial" w:eastAsia="Arial" w:hAnsi="Arial"/>
                <w:sz w:val="16"/>
                <w:szCs w:val="16"/>
                <w:color w:val="auto"/>
              </w:rPr>
              <w:t>June 28, 2026</w:t>
            </w:r>
          </w:p>
        </w:tc>
      </w:tr>
    </w:tbl>
    <w:p>
      <w:pPr>
        <w:spacing w:after="0" w:line="303" w:lineRule="exact"/>
        <w:rPr>
          <w:sz w:val="20"/>
          <w:szCs w:val="20"/>
          <w:color w:val="auto"/>
        </w:rPr>
      </w:pPr>
    </w:p>
    <w:p>
      <w:pPr>
        <w:ind w:left="180" w:hanging="172"/>
        <w:spacing w:after="0" w:line="226" w:lineRule="auto"/>
        <w:tabs>
          <w:tab w:leader="none" w:pos="191"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In July 2022, we entered into interest rate swap agreements with notional values totaling $300.0 million at inception. The notional amount reduces to $175.0 million in October 2024 and $100.0 million in October 2025 before maturing on June 28, 2026.</w:t>
      </w:r>
    </w:p>
    <w:p>
      <w:pPr>
        <w:spacing w:after="0" w:line="13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April 30, 2024, and October 31, 2023, amounts recorded in accumulated other comprehensive loss (“AOCL”) for interest rate swaps were a gain of $21.7 million, net of taxes of $9.0 million, and a gain of $26.0 million, net of taxes of $10.5 million, respectively. At April 30, 2024, the total amount expected to be reclassified from AOCL to earnings during the next 12 months is a gain of $10.4 million, net of taxes of $3.7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0046AD"/>
        </w:rPr>
        <w:t>9.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December 13, 2023, our Board of Directors expanded our existing share repurchase program by an additional $150.0 million.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repurchase program may be suspended or discontinued at any time without prior notice.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Repurchase Activity</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repurchased shares under the share repurchase program during the second quarter of fiscal year 2024, as summarized below. At April 30, 2024, authorization for $186.5 million of repurchases remained under the Share Repurchase Program. We did not repurchase any shares during the six months ended April 30,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40" w:type="dxa"/>
            <w:vAlign w:val="bottom"/>
          </w:tcPr>
          <w:p>
            <w:pPr>
              <w:spacing w:after="0"/>
              <w:rPr>
                <w:sz w:val="15"/>
                <w:szCs w:val="15"/>
                <w:color w:val="auto"/>
              </w:rPr>
            </w:pPr>
          </w:p>
        </w:tc>
        <w:tc>
          <w:tcPr>
            <w:tcW w:w="218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Three Months Ended April</w:t>
            </w:r>
          </w:p>
        </w:tc>
        <w:tc>
          <w:tcPr>
            <w:tcW w:w="120" w:type="dxa"/>
            <w:vAlign w:val="bottom"/>
          </w:tcPr>
          <w:p>
            <w:pPr>
              <w:spacing w:after="0"/>
              <w:rPr>
                <w:sz w:val="15"/>
                <w:szCs w:val="15"/>
                <w:color w:val="auto"/>
              </w:rPr>
            </w:pPr>
          </w:p>
        </w:tc>
        <w:tc>
          <w:tcPr>
            <w:tcW w:w="2160" w:type="dxa"/>
            <w:vAlign w:val="bottom"/>
            <w:tcBorders>
              <w:top w:val="single" w:sz="8" w:color="auto"/>
            </w:tcBorders>
            <w:gridSpan w:val="2"/>
          </w:tcPr>
          <w:p>
            <w:pPr>
              <w:ind w:left="40"/>
              <w:spacing w:after="0" w:line="175" w:lineRule="exact"/>
              <w:rPr>
                <w:sz w:val="20"/>
                <w:szCs w:val="20"/>
                <w:color w:val="auto"/>
              </w:rPr>
            </w:pPr>
            <w:r>
              <w:rPr>
                <w:rFonts w:ascii="Arial" w:cs="Arial" w:eastAsia="Arial" w:hAnsi="Arial"/>
                <w:sz w:val="16"/>
                <w:szCs w:val="16"/>
                <w:b w:val="1"/>
                <w:bCs w:val="1"/>
                <w:color w:val="auto"/>
              </w:rPr>
              <w:t>Six Months Ended April 30,</w:t>
            </w:r>
          </w:p>
        </w:tc>
      </w:tr>
      <w:tr>
        <w:trPr>
          <w:trHeight w:val="216"/>
        </w:trPr>
        <w:tc>
          <w:tcPr>
            <w:tcW w:w="614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440" w:type="dxa"/>
            <w:vAlign w:val="bottom"/>
          </w:tcPr>
          <w:p>
            <w:pPr>
              <w:spacing w:after="0"/>
              <w:rPr>
                <w:sz w:val="18"/>
                <w:szCs w:val="18"/>
                <w:color w:val="auto"/>
              </w:rPr>
            </w:pPr>
          </w:p>
        </w:tc>
        <w:tc>
          <w:tcPr>
            <w:tcW w:w="1740" w:type="dxa"/>
            <w:vAlign w:val="bottom"/>
          </w:tcPr>
          <w:p>
            <w:pPr>
              <w:jc w:val="right"/>
              <w:ind w:right="692"/>
              <w:spacing w:after="0"/>
              <w:rPr>
                <w:sz w:val="20"/>
                <w:szCs w:val="20"/>
                <w:color w:val="auto"/>
              </w:rPr>
            </w:pPr>
            <w:r>
              <w:rPr>
                <w:rFonts w:ascii="Arial" w:cs="Arial" w:eastAsia="Arial" w:hAnsi="Arial"/>
                <w:sz w:val="16"/>
                <w:szCs w:val="16"/>
                <w:b w:val="1"/>
                <w:bCs w:val="1"/>
                <w:color w:val="auto"/>
              </w:rPr>
              <w:t>30, 2024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ind w:right="812"/>
              <w:spacing w:after="0"/>
              <w:rPr>
                <w:sz w:val="20"/>
                <w:szCs w:val="20"/>
                <w:color w:val="auto"/>
              </w:rPr>
            </w:pPr>
            <w:r>
              <w:rPr>
                <w:rFonts w:ascii="Arial" w:cs="Arial" w:eastAsia="Arial" w:hAnsi="Arial"/>
                <w:sz w:val="16"/>
                <w:szCs w:val="16"/>
                <w:b w:val="1"/>
                <w:bCs w:val="1"/>
                <w:color w:val="auto"/>
              </w:rPr>
              <w:t>2024</w:t>
            </w:r>
          </w:p>
        </w:tc>
      </w:tr>
      <w:tr>
        <w:trPr>
          <w:trHeight w:val="230"/>
        </w:trPr>
        <w:tc>
          <w:tcPr>
            <w:tcW w:w="6140" w:type="dxa"/>
            <w:vAlign w:val="bottom"/>
            <w:shd w:val="clear" w:color="auto" w:fill="DCE2EF"/>
          </w:tcPr>
          <w:p>
            <w:pPr>
              <w:ind w:left="20"/>
              <w:spacing w:after="0"/>
              <w:rPr>
                <w:sz w:val="20"/>
                <w:szCs w:val="20"/>
                <w:color w:val="auto"/>
              </w:rPr>
            </w:pPr>
            <w:r>
              <w:rPr>
                <w:rFonts w:ascii="Arial" w:cs="Arial" w:eastAsia="Arial" w:hAnsi="Arial"/>
                <w:sz w:val="16"/>
                <w:szCs w:val="16"/>
                <w:color w:val="auto"/>
              </w:rPr>
              <w:t>Total number of shares purchased</w:t>
            </w:r>
          </w:p>
        </w:tc>
        <w:tc>
          <w:tcPr>
            <w:tcW w:w="440" w:type="dxa"/>
            <w:vAlign w:val="bottom"/>
            <w:shd w:val="clear" w:color="auto" w:fill="DCE2EF"/>
          </w:tcPr>
          <w:p>
            <w:pPr>
              <w:spacing w:after="0"/>
              <w:rPr>
                <w:sz w:val="19"/>
                <w:szCs w:val="19"/>
                <w:color w:val="auto"/>
              </w:rPr>
            </w:pPr>
          </w:p>
        </w:tc>
        <w:tc>
          <w:tcPr>
            <w:tcW w:w="17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0.56</w:t>
            </w:r>
          </w:p>
        </w:tc>
      </w:tr>
      <w:tr>
        <w:trPr>
          <w:trHeight w:val="229"/>
        </w:trPr>
        <w:tc>
          <w:tcPr>
            <w:tcW w:w="6140" w:type="dxa"/>
            <w:vAlign w:val="bottom"/>
          </w:tcPr>
          <w:p>
            <w:pPr>
              <w:ind w:left="20"/>
              <w:spacing w:after="0" w:line="230" w:lineRule="exact"/>
              <w:rPr>
                <w:sz w:val="20"/>
                <w:szCs w:val="20"/>
                <w:color w:val="auto"/>
              </w:rPr>
            </w:pPr>
            <w:r>
              <w:rPr>
                <w:rFonts w:ascii="Arial" w:cs="Arial" w:eastAsia="Arial" w:hAnsi="Arial"/>
                <w:sz w:val="16"/>
                <w:szCs w:val="16"/>
                <w:color w:val="auto"/>
              </w:rPr>
              <w:t>Average price paid per share</w:t>
            </w:r>
            <w:r>
              <w:rPr>
                <w:rFonts w:ascii="Arial" w:cs="Arial" w:eastAsia="Arial" w:hAnsi="Arial"/>
                <w:sz w:val="21"/>
                <w:szCs w:val="21"/>
                <w:color w:val="auto"/>
                <w:vertAlign w:val="superscript"/>
              </w:rPr>
              <w:t>(1)</w:t>
            </w:r>
          </w:p>
        </w:tc>
        <w:tc>
          <w:tcPr>
            <w:tcW w:w="440" w:type="dxa"/>
            <w:vAlign w:val="bottom"/>
          </w:tcPr>
          <w:p>
            <w:pPr>
              <w:jc w:val="right"/>
              <w:ind w:right="233"/>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42.84</w:t>
            </w:r>
          </w:p>
        </w:tc>
        <w:tc>
          <w:tcPr>
            <w:tcW w:w="1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42.84</w:t>
            </w:r>
          </w:p>
        </w:tc>
      </w:tr>
      <w:tr>
        <w:trPr>
          <w:trHeight w:val="229"/>
        </w:trPr>
        <w:tc>
          <w:tcPr>
            <w:tcW w:w="6140" w:type="dxa"/>
            <w:vAlign w:val="bottom"/>
            <w:shd w:val="clear" w:color="auto" w:fill="DCE2EF"/>
          </w:tcPr>
          <w:p>
            <w:pPr>
              <w:ind w:left="20"/>
              <w:spacing w:after="0" w:line="230" w:lineRule="exact"/>
              <w:rPr>
                <w:sz w:val="20"/>
                <w:szCs w:val="20"/>
                <w:color w:val="auto"/>
              </w:rPr>
            </w:pPr>
            <w:r>
              <w:rPr>
                <w:rFonts w:ascii="Arial" w:cs="Arial" w:eastAsia="Arial" w:hAnsi="Arial"/>
                <w:sz w:val="16"/>
                <w:szCs w:val="16"/>
                <w:color w:val="auto"/>
              </w:rPr>
              <w:t>Total cash paid for share repurchases</w:t>
            </w:r>
            <w:r>
              <w:rPr>
                <w:rFonts w:ascii="Arial" w:cs="Arial" w:eastAsia="Arial" w:hAnsi="Arial"/>
                <w:sz w:val="21"/>
                <w:szCs w:val="21"/>
                <w:color w:val="auto"/>
                <w:vertAlign w:val="superscript"/>
              </w:rPr>
              <w:t>(1)</w:t>
            </w:r>
          </w:p>
        </w:tc>
        <w:tc>
          <w:tcPr>
            <w:tcW w:w="440" w:type="dxa"/>
            <w:vAlign w:val="bottom"/>
            <w:shd w:val="clear" w:color="auto" w:fill="DCE2EF"/>
          </w:tcPr>
          <w:p>
            <w:pPr>
              <w:jc w:val="right"/>
              <w:ind w:right="233"/>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23.80</w:t>
            </w:r>
          </w:p>
        </w:tc>
        <w:tc>
          <w:tcPr>
            <w:tcW w:w="120" w:type="dxa"/>
            <w:vAlign w:val="bottom"/>
            <w:shd w:val="clear" w:color="auto" w:fill="DCE2EF"/>
          </w:tcPr>
          <w:p>
            <w:pPr>
              <w:spacing w:after="0"/>
              <w:rPr>
                <w:sz w:val="19"/>
                <w:szCs w:val="19"/>
                <w:color w:val="auto"/>
              </w:rPr>
            </w:pPr>
          </w:p>
        </w:tc>
        <w:tc>
          <w:tcPr>
            <w:tcW w:w="500" w:type="dxa"/>
            <w:vAlign w:val="bottom"/>
            <w:shd w:val="clear" w:color="auto" w:fill="DCE2EF"/>
          </w:tcPr>
          <w:p>
            <w:pPr>
              <w:ind w:lef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23.80</w:t>
            </w:r>
          </w:p>
        </w:tc>
      </w:tr>
    </w:tbl>
    <w:p>
      <w:pPr>
        <w:spacing w:after="0" w:line="67" w:lineRule="exact"/>
        <w:rPr>
          <w:sz w:val="20"/>
          <w:szCs w:val="20"/>
          <w:color w:val="auto"/>
        </w:rPr>
      </w:pPr>
    </w:p>
    <w:p>
      <w:pPr>
        <w:ind w:firstLine="8"/>
        <w:spacing w:after="0" w:line="235" w:lineRule="auto"/>
        <w:tabs>
          <w:tab w:leader="none" w:pos="191"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Average price paid per share and total cash paid for share repurchases does not include any excise tax for stock repurchases as part of the Inflation Reduction Act of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10.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Letters of Credit and Surety Bonds</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April 30, 2024, these letters of credit totaled $57.9 million and surety bonds and surety-backed letters of credit totaled $814.2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Guarantees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some instances, we offer clients guaranteed energy savings under certain energy savings contracts. At April 30, 2024, total guarantees were $233.9 million and extend through 2043. We include the estimated costs of guarantees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Historically, we have not incurred any material losses in connection with these guarantees.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Sales Taxes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collect sales tax from clients and remit those collections to the applicable states. In some cases when clients fail to pay their invoices, including the amount of any sales tax that we paid on their behalf, we may be entitled to seek a refund of that amount of sales tax from the applicable state.</w:t>
      </w:r>
    </w:p>
    <w:p>
      <w:pPr>
        <w:spacing w:after="0" w:line="11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8"/>
          <w:szCs w:val="18"/>
          <w:color w:val="auto"/>
        </w:rPr>
        <w:t>Sales tax laws and regulations enacted by the various states are subject to interpretation, and our compliance with such laws is routinely subject to audit and review by such states. Audit risk is concentrated in several states that are conducting ongoing audits. The outcomes of ongoing and any future audits and changes in the states’ interpretation of the sales tax laws and regulations could materially adversely impact our results of operations</w:t>
      </w:r>
      <w:r>
        <w:rPr>
          <w:rFonts w:ascii="Arial" w:cs="Arial" w:eastAsia="Arial" w:hAnsi="Arial"/>
          <w:sz w:val="18"/>
          <w:szCs w:val="18"/>
          <w:b w:val="1"/>
          <w:bCs w:val="1"/>
          <w:color w:val="0046AD"/>
        </w:rPr>
        <w: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0046AD"/>
        </w:rPr>
        <w:t>Legal Matters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April 30, 2024, the total amount accrued for probable litigation losses where a reasonable estimate of the loss could be made was $14.0 million. 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$5.1 million. Factors underlying this estimated range of loss may change from time to time, and actual results may vary significantly from this estimate.</w:t>
      </w:r>
    </w:p>
    <w:p>
      <w:pPr>
        <w:spacing w:after="0" w:line="1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determining whether to include any particular lawsuit or other proceeding in our disclosure,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are currently not a party to any material legal proceedings, and we are not aware of filings of any pending or contemplated litigation, claims, or assessments. There can be no assurance that future legal proceedings arising in the ordinary course of business or otherwise will not have a material adverse effect on our financial position, results of operations,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11.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quarterly tax provision is calculated using an estimated annual effective tax rate that is adjusted for discrete items occurring during the period to arrive at our effective tax rate. During the three and six months ended April 30, 2024, we had effective tax rates of 29.9% and 24.0%, respectively, resulting in provisions for taxes of $18.7 million and $28.0 million, respectively. During the three and six months ended April 30, 2023, we had effective tax rates of 28.2% and 27.6%, respectively, resulting in provisions for taxes of $20.4 million and $34.5 million respectively. The difference between the estimated annual effective tax rate before discrete items and statutory rate is primarily related to state income taxes, non-deductible compensation, and tax credits.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effective tax rates for the three months ended April 30, 2024, and April 30, 2023, were not impacted by any significant discrete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items.</w:t>
      </w:r>
    </w:p>
    <w:p>
      <w:pPr>
        <w:spacing w:after="0" w:line="15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effective tax rate for the six months ended April 30, 2024, benefited from discrete items, primarily from $2.4 million for uncertain tax positions, $ 2.2 million for share-based compensation, and $ 2.2 million for return to provision adjustments related to our non-U.S. operations. Our effective tax rate for the six months ended April 30, 2023, benefited from discrete items, primarily from $1.4 million for share-based compensation.</w:t>
      </w:r>
    </w:p>
    <w:p>
      <w:pPr>
        <w:spacing w:after="0" w:line="1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plan to reinvest our foreign earnings to fund future non-U.S. growth and expansion, and we do not anticipate remitting such earnings to the United States. While U.S. federal tax expense has been recognized as a result of the Tax Cuts and Jobs Act of 2017, no deferred tax liabilities with respect to federal and state income taxes or foreign withholding taxes have been recognized.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0046AD"/>
        </w:rPr>
        <w:t>12.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Our current reportable segments consist of B&amp;I, M&amp;D, Education, Aviation, and Technical Solutions,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40575" cy="2459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0575" cy="245999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REPORTABLE SEGMENTS AND DESCRIPTIONS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20" w:type="dxa"/>
            <w:vAlign w:val="bottom"/>
            <w:tcBorders>
              <w:top w:val="single" w:sz="8" w:color="auto"/>
              <w:right w:val="single" w:sz="8" w:color="auto"/>
            </w:tcBorders>
          </w:tcPr>
          <w:p>
            <w:pPr>
              <w:spacing w:after="0"/>
              <w:rPr>
                <w:sz w:val="22"/>
                <w:szCs w:val="22"/>
                <w:color w:val="auto"/>
              </w:rPr>
            </w:pPr>
          </w:p>
        </w:tc>
        <w:tc>
          <w:tcPr>
            <w:tcW w:w="8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B&amp;I, our largest reportable segment, encompasses janitorial, facilities engineering, and parking services for</w:t>
            </w:r>
          </w:p>
        </w:tc>
        <w:tc>
          <w:tcPr>
            <w:tcW w:w="0" w:type="dxa"/>
            <w:vAlign w:val="bottom"/>
          </w:tcPr>
          <w:p>
            <w:pPr>
              <w:spacing w:after="0"/>
              <w:rPr>
                <w:sz w:val="1"/>
                <w:szCs w:val="1"/>
                <w:color w:val="auto"/>
              </w:rPr>
            </w:pPr>
          </w:p>
        </w:tc>
      </w:tr>
      <w:tr>
        <w:trPr>
          <w:trHeight w:val="162"/>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B&amp;I</w:t>
            </w:r>
          </w:p>
        </w:tc>
        <w:tc>
          <w:tcPr>
            <w:tcW w:w="8040" w:type="dxa"/>
            <w:vAlign w:val="bottom"/>
          </w:tcPr>
          <w:p>
            <w:pPr>
              <w:ind w:left="20"/>
              <w:spacing w:after="0" w:line="162" w:lineRule="exact"/>
              <w:rPr>
                <w:sz w:val="20"/>
                <w:szCs w:val="20"/>
                <w:color w:val="auto"/>
              </w:rPr>
            </w:pPr>
            <w:r>
              <w:rPr>
                <w:rFonts w:ascii="Arial" w:cs="Arial" w:eastAsia="Arial" w:hAnsi="Arial"/>
                <w:sz w:val="16"/>
                <w:szCs w:val="16"/>
                <w:color w:val="auto"/>
              </w:rPr>
              <w:t>commercial real estate properties (including corporate offices for high-tech clients), sports and entertainment</w:t>
            </w:r>
          </w:p>
        </w:tc>
        <w:tc>
          <w:tcPr>
            <w:tcW w:w="0" w:type="dxa"/>
            <w:vAlign w:val="bottom"/>
          </w:tcPr>
          <w:p>
            <w:pPr>
              <w:spacing w:after="0"/>
              <w:rPr>
                <w:sz w:val="1"/>
                <w:szCs w:val="1"/>
                <w:color w:val="auto"/>
              </w:rPr>
            </w:pPr>
          </w:p>
        </w:tc>
      </w:tr>
      <w:tr>
        <w:trPr>
          <w:trHeight w:val="133"/>
        </w:trPr>
        <w:tc>
          <w:tcPr>
            <w:tcW w:w="3220" w:type="dxa"/>
            <w:vAlign w:val="bottom"/>
            <w:tcBorders>
              <w:right w:val="single" w:sz="8" w:color="auto"/>
            </w:tcBorders>
            <w:vMerge w:val="continue"/>
          </w:tcPr>
          <w:p>
            <w:pPr>
              <w:spacing w:after="0"/>
              <w:rPr>
                <w:sz w:val="11"/>
                <w:szCs w:val="11"/>
                <w:color w:val="auto"/>
              </w:rPr>
            </w:pPr>
          </w:p>
        </w:tc>
        <w:tc>
          <w:tcPr>
            <w:tcW w:w="8040" w:type="dxa"/>
            <w:vAlign w:val="bottom"/>
            <w:vMerge w:val="restart"/>
          </w:tcPr>
          <w:p>
            <w:pPr>
              <w:ind w:left="20"/>
              <w:spacing w:after="0" w:line="162" w:lineRule="exact"/>
              <w:rPr>
                <w:sz w:val="20"/>
                <w:szCs w:val="20"/>
                <w:color w:val="auto"/>
              </w:rPr>
            </w:pPr>
            <w:r>
              <w:rPr>
                <w:rFonts w:ascii="Arial" w:cs="Arial" w:eastAsia="Arial" w:hAnsi="Arial"/>
                <w:sz w:val="16"/>
                <w:szCs w:val="16"/>
                <w:color w:val="auto"/>
              </w:rPr>
              <w:t>venues, and traditional hospitals and non-acute healthcare facilities. B&amp;I also provides vehicle maintenance</w:t>
            </w:r>
          </w:p>
        </w:tc>
        <w:tc>
          <w:tcPr>
            <w:tcW w:w="0" w:type="dxa"/>
            <w:vAlign w:val="bottom"/>
          </w:tcPr>
          <w:p>
            <w:pPr>
              <w:spacing w:after="0"/>
              <w:rPr>
                <w:sz w:val="1"/>
                <w:szCs w:val="1"/>
                <w:color w:val="auto"/>
              </w:rPr>
            </w:pPr>
          </w:p>
        </w:tc>
      </w:tr>
      <w:tr>
        <w:trPr>
          <w:trHeight w:val="29"/>
        </w:trPr>
        <w:tc>
          <w:tcPr>
            <w:tcW w:w="3220" w:type="dxa"/>
            <w:vAlign w:val="bottom"/>
            <w:tcBorders>
              <w:right w:val="single" w:sz="8" w:color="auto"/>
            </w:tcBorders>
          </w:tcPr>
          <w:p>
            <w:pPr>
              <w:spacing w:after="0"/>
              <w:rPr>
                <w:sz w:val="2"/>
                <w:szCs w:val="2"/>
                <w:color w:val="auto"/>
              </w:rPr>
            </w:pPr>
          </w:p>
        </w:tc>
        <w:tc>
          <w:tcPr>
            <w:tcW w:w="8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220" w:type="dxa"/>
            <w:vAlign w:val="bottom"/>
            <w:tcBorders>
              <w:right w:val="single" w:sz="8" w:color="auto"/>
            </w:tcBorders>
          </w:tcPr>
          <w:p>
            <w:pPr>
              <w:spacing w:after="0"/>
              <w:rPr>
                <w:sz w:val="18"/>
                <w:szCs w:val="18"/>
                <w:color w:val="auto"/>
              </w:rPr>
            </w:pPr>
          </w:p>
        </w:tc>
        <w:tc>
          <w:tcPr>
            <w:tcW w:w="8040" w:type="dxa"/>
            <w:vAlign w:val="bottom"/>
          </w:tcPr>
          <w:p>
            <w:pPr>
              <w:ind w:left="20"/>
              <w:spacing w:after="0"/>
              <w:rPr>
                <w:sz w:val="20"/>
                <w:szCs w:val="20"/>
                <w:color w:val="auto"/>
              </w:rPr>
            </w:pPr>
            <w:r>
              <w:rPr>
                <w:rFonts w:ascii="Arial" w:cs="Arial" w:eastAsia="Arial" w:hAnsi="Arial"/>
                <w:sz w:val="16"/>
                <w:szCs w:val="16"/>
                <w:color w:val="auto"/>
              </w:rPr>
              <w:t>and other services to rental car providers.</w:t>
            </w:r>
          </w:p>
        </w:tc>
        <w:tc>
          <w:tcPr>
            <w:tcW w:w="0" w:type="dxa"/>
            <w:vAlign w:val="bottom"/>
          </w:tcPr>
          <w:p>
            <w:pPr>
              <w:spacing w:after="0"/>
              <w:rPr>
                <w:sz w:val="1"/>
                <w:szCs w:val="1"/>
                <w:color w:val="auto"/>
              </w:rPr>
            </w:pPr>
          </w:p>
        </w:tc>
      </w:tr>
      <w:tr>
        <w:trPr>
          <w:trHeight w:val="109"/>
        </w:trPr>
        <w:tc>
          <w:tcPr>
            <w:tcW w:w="3220" w:type="dxa"/>
            <w:vAlign w:val="bottom"/>
            <w:tcBorders>
              <w:bottom w:val="single" w:sz="8" w:color="auto"/>
              <w:right w:val="single" w:sz="8" w:color="auto"/>
            </w:tcBorders>
          </w:tcPr>
          <w:p>
            <w:pPr>
              <w:spacing w:after="0"/>
              <w:rPr>
                <w:sz w:val="9"/>
                <w:szCs w:val="9"/>
                <w:color w:val="auto"/>
              </w:rPr>
            </w:pPr>
          </w:p>
        </w:tc>
        <w:tc>
          <w:tcPr>
            <w:tcW w:w="8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220" w:type="dxa"/>
            <w:vAlign w:val="bottom"/>
            <w:tcBorders>
              <w:right w:val="single" w:sz="8" w:color="auto"/>
            </w:tcBorders>
          </w:tcPr>
          <w:p>
            <w:pPr>
              <w:spacing w:after="0"/>
              <w:rPr>
                <w:sz w:val="13"/>
                <w:szCs w:val="13"/>
                <w:color w:val="auto"/>
              </w:rPr>
            </w:pPr>
          </w:p>
        </w:tc>
        <w:tc>
          <w:tcPr>
            <w:tcW w:w="8040" w:type="dxa"/>
            <w:vAlign w:val="bottom"/>
          </w:tcPr>
          <w:p>
            <w:pPr>
              <w:ind w:left="20"/>
              <w:spacing w:after="0" w:line="155" w:lineRule="exact"/>
              <w:rPr>
                <w:sz w:val="20"/>
                <w:szCs w:val="20"/>
                <w:color w:val="auto"/>
              </w:rPr>
            </w:pPr>
            <w:r>
              <w:rPr>
                <w:rFonts w:ascii="Arial" w:cs="Arial" w:eastAsia="Arial" w:hAnsi="Arial"/>
                <w:sz w:val="16"/>
                <w:szCs w:val="16"/>
                <w:color w:val="auto"/>
              </w:rPr>
              <w:t>M&amp;D provides integrated facility services, engineering, janitorial, and other specialized services in different</w:t>
            </w:r>
          </w:p>
        </w:tc>
        <w:tc>
          <w:tcPr>
            <w:tcW w:w="0" w:type="dxa"/>
            <w:vAlign w:val="bottom"/>
          </w:tcPr>
          <w:p>
            <w:pPr>
              <w:spacing w:after="0"/>
              <w:rPr>
                <w:sz w:val="1"/>
                <w:szCs w:val="1"/>
                <w:color w:val="auto"/>
              </w:rPr>
            </w:pPr>
          </w:p>
        </w:tc>
      </w:tr>
      <w:tr>
        <w:trPr>
          <w:trHeight w:val="162"/>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M&amp;D</w:t>
            </w:r>
          </w:p>
        </w:tc>
        <w:tc>
          <w:tcPr>
            <w:tcW w:w="8040" w:type="dxa"/>
            <w:vAlign w:val="bottom"/>
          </w:tcPr>
          <w:p>
            <w:pPr>
              <w:ind w:left="20"/>
              <w:spacing w:after="0" w:line="162" w:lineRule="exact"/>
              <w:rPr>
                <w:sz w:val="20"/>
                <w:szCs w:val="20"/>
                <w:color w:val="auto"/>
              </w:rPr>
            </w:pPr>
            <w:r>
              <w:rPr>
                <w:rFonts w:ascii="Arial" w:cs="Arial" w:eastAsia="Arial" w:hAnsi="Arial"/>
                <w:sz w:val="16"/>
                <w:szCs w:val="16"/>
                <w:color w:val="auto"/>
              </w:rPr>
              <w:t>types of manufacturing, distribution, and data center facilities. Manufacturing facilities include traditional motor</w:t>
            </w:r>
          </w:p>
        </w:tc>
        <w:tc>
          <w:tcPr>
            <w:tcW w:w="0" w:type="dxa"/>
            <w:vAlign w:val="bottom"/>
          </w:tcPr>
          <w:p>
            <w:pPr>
              <w:spacing w:after="0"/>
              <w:rPr>
                <w:sz w:val="1"/>
                <w:szCs w:val="1"/>
                <w:color w:val="auto"/>
              </w:rPr>
            </w:pPr>
          </w:p>
        </w:tc>
      </w:tr>
      <w:tr>
        <w:trPr>
          <w:trHeight w:val="133"/>
        </w:trPr>
        <w:tc>
          <w:tcPr>
            <w:tcW w:w="3220" w:type="dxa"/>
            <w:vAlign w:val="bottom"/>
            <w:tcBorders>
              <w:right w:val="single" w:sz="8" w:color="auto"/>
            </w:tcBorders>
            <w:vMerge w:val="continue"/>
          </w:tcPr>
          <w:p>
            <w:pPr>
              <w:spacing w:after="0"/>
              <w:rPr>
                <w:sz w:val="11"/>
                <w:szCs w:val="11"/>
                <w:color w:val="auto"/>
              </w:rPr>
            </w:pPr>
          </w:p>
        </w:tc>
        <w:tc>
          <w:tcPr>
            <w:tcW w:w="8040" w:type="dxa"/>
            <w:vAlign w:val="bottom"/>
            <w:vMerge w:val="restart"/>
          </w:tcPr>
          <w:p>
            <w:pPr>
              <w:ind w:left="20"/>
              <w:spacing w:after="0" w:line="162" w:lineRule="exact"/>
              <w:rPr>
                <w:sz w:val="20"/>
                <w:szCs w:val="20"/>
                <w:color w:val="auto"/>
              </w:rPr>
            </w:pPr>
            <w:r>
              <w:rPr>
                <w:rFonts w:ascii="Arial" w:cs="Arial" w:eastAsia="Arial" w:hAnsi="Arial"/>
                <w:sz w:val="16"/>
                <w:szCs w:val="16"/>
                <w:color w:val="auto"/>
              </w:rPr>
              <w:t>vehicles, electric vehicles, batteries, pharmaceuticals, steel, semiconductors, chemicals, and many others.</w:t>
            </w:r>
          </w:p>
        </w:tc>
        <w:tc>
          <w:tcPr>
            <w:tcW w:w="0" w:type="dxa"/>
            <w:vAlign w:val="bottom"/>
          </w:tcPr>
          <w:p>
            <w:pPr>
              <w:spacing w:after="0"/>
              <w:rPr>
                <w:sz w:val="1"/>
                <w:szCs w:val="1"/>
                <w:color w:val="auto"/>
              </w:rPr>
            </w:pPr>
          </w:p>
        </w:tc>
      </w:tr>
      <w:tr>
        <w:trPr>
          <w:trHeight w:val="29"/>
        </w:trPr>
        <w:tc>
          <w:tcPr>
            <w:tcW w:w="3220" w:type="dxa"/>
            <w:vAlign w:val="bottom"/>
            <w:tcBorders>
              <w:right w:val="single" w:sz="8" w:color="auto"/>
            </w:tcBorders>
          </w:tcPr>
          <w:p>
            <w:pPr>
              <w:spacing w:after="0"/>
              <w:rPr>
                <w:sz w:val="2"/>
                <w:szCs w:val="2"/>
                <w:color w:val="auto"/>
              </w:rPr>
            </w:pPr>
          </w:p>
        </w:tc>
        <w:tc>
          <w:tcPr>
            <w:tcW w:w="8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220" w:type="dxa"/>
            <w:vAlign w:val="bottom"/>
            <w:tcBorders>
              <w:bottom w:val="single" w:sz="8" w:color="auto"/>
              <w:right w:val="single" w:sz="8" w:color="auto"/>
            </w:tcBorders>
          </w:tcPr>
          <w:p>
            <w:pPr>
              <w:spacing w:after="0"/>
              <w:rPr>
                <w:sz w:val="18"/>
                <w:szCs w:val="18"/>
                <w:color w:val="auto"/>
              </w:rPr>
            </w:pPr>
          </w:p>
        </w:tc>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Distribution facilities include e-commerce, cold storage, logistics, general warehousing, and others.</w:t>
            </w:r>
          </w:p>
        </w:tc>
        <w:tc>
          <w:tcPr>
            <w:tcW w:w="0" w:type="dxa"/>
            <w:vAlign w:val="bottom"/>
          </w:tcPr>
          <w:p>
            <w:pPr>
              <w:spacing w:after="0"/>
              <w:rPr>
                <w:sz w:val="1"/>
                <w:szCs w:val="1"/>
                <w:color w:val="auto"/>
              </w:rPr>
            </w:pPr>
          </w:p>
        </w:tc>
      </w:tr>
      <w:tr>
        <w:trPr>
          <w:trHeight w:val="264"/>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Education</w:t>
            </w:r>
          </w:p>
        </w:tc>
        <w:tc>
          <w:tcPr>
            <w:tcW w:w="8040" w:type="dxa"/>
            <w:vAlign w:val="bottom"/>
          </w:tcPr>
          <w:p>
            <w:pPr>
              <w:ind w:left="20"/>
              <w:spacing w:after="0"/>
              <w:rPr>
                <w:sz w:val="20"/>
                <w:szCs w:val="20"/>
                <w:color w:val="auto"/>
              </w:rPr>
            </w:pPr>
            <w:r>
              <w:rPr>
                <w:rFonts w:ascii="Arial" w:cs="Arial" w:eastAsia="Arial" w:hAnsi="Arial"/>
                <w:sz w:val="16"/>
                <w:szCs w:val="16"/>
                <w:color w:val="auto"/>
              </w:rPr>
              <w:t>Education delivers janitorial, custodial, landscaping and grounds, facilities engineering, and parking services</w:t>
            </w:r>
          </w:p>
        </w:tc>
        <w:tc>
          <w:tcPr>
            <w:tcW w:w="0" w:type="dxa"/>
            <w:vAlign w:val="bottom"/>
          </w:tcPr>
          <w:p>
            <w:pPr>
              <w:spacing w:after="0"/>
              <w:rPr>
                <w:sz w:val="1"/>
                <w:szCs w:val="1"/>
                <w:color w:val="auto"/>
              </w:rPr>
            </w:pPr>
          </w:p>
        </w:tc>
      </w:tr>
      <w:tr>
        <w:trPr>
          <w:trHeight w:val="133"/>
        </w:trPr>
        <w:tc>
          <w:tcPr>
            <w:tcW w:w="3220" w:type="dxa"/>
            <w:vAlign w:val="bottom"/>
            <w:tcBorders>
              <w:right w:val="single" w:sz="8" w:color="auto"/>
            </w:tcBorders>
            <w:vMerge w:val="continue"/>
          </w:tcPr>
          <w:p>
            <w:pPr>
              <w:spacing w:after="0"/>
              <w:rPr>
                <w:sz w:val="11"/>
                <w:szCs w:val="11"/>
                <w:color w:val="auto"/>
              </w:rPr>
            </w:pPr>
          </w:p>
        </w:tc>
        <w:tc>
          <w:tcPr>
            <w:tcW w:w="8040" w:type="dxa"/>
            <w:vAlign w:val="bottom"/>
            <w:vMerge w:val="restart"/>
          </w:tcPr>
          <w:p>
            <w:pPr>
              <w:ind w:left="20"/>
              <w:spacing w:after="0"/>
              <w:rPr>
                <w:sz w:val="20"/>
                <w:szCs w:val="20"/>
                <w:color w:val="auto"/>
              </w:rPr>
            </w:pPr>
            <w:r>
              <w:rPr>
                <w:rFonts w:ascii="Arial" w:cs="Arial" w:eastAsia="Arial" w:hAnsi="Arial"/>
                <w:sz w:val="16"/>
                <w:szCs w:val="16"/>
                <w:color w:val="auto"/>
              </w:rPr>
              <w:t>for public school districts, private schools, colleges, and universities.</w:t>
            </w:r>
          </w:p>
        </w:tc>
        <w:tc>
          <w:tcPr>
            <w:tcW w:w="0" w:type="dxa"/>
            <w:vAlign w:val="bottom"/>
          </w:tcPr>
          <w:p>
            <w:pPr>
              <w:spacing w:after="0"/>
              <w:rPr>
                <w:sz w:val="1"/>
                <w:szCs w:val="1"/>
                <w:color w:val="auto"/>
              </w:rPr>
            </w:pPr>
          </w:p>
        </w:tc>
      </w:tr>
      <w:tr>
        <w:trPr>
          <w:trHeight w:val="82"/>
        </w:trPr>
        <w:tc>
          <w:tcPr>
            <w:tcW w:w="3220" w:type="dxa"/>
            <w:vAlign w:val="bottom"/>
            <w:tcBorders>
              <w:right w:val="single" w:sz="8" w:color="auto"/>
            </w:tcBorders>
          </w:tcPr>
          <w:p>
            <w:pPr>
              <w:spacing w:after="0"/>
              <w:rPr>
                <w:sz w:val="7"/>
                <w:szCs w:val="7"/>
                <w:color w:val="auto"/>
              </w:rPr>
            </w:pPr>
          </w:p>
        </w:tc>
        <w:tc>
          <w:tcPr>
            <w:tcW w:w="8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220" w:type="dxa"/>
            <w:vAlign w:val="bottom"/>
            <w:tcBorders>
              <w:bottom w:val="single" w:sz="8" w:color="auto"/>
              <w:right w:val="single" w:sz="8" w:color="auto"/>
            </w:tcBorders>
          </w:tcPr>
          <w:p>
            <w:pPr>
              <w:spacing w:after="0"/>
              <w:rPr>
                <w:sz w:val="9"/>
                <w:szCs w:val="9"/>
                <w:color w:val="auto"/>
              </w:rPr>
            </w:pPr>
          </w:p>
        </w:tc>
        <w:tc>
          <w:tcPr>
            <w:tcW w:w="8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Aviation</w:t>
            </w:r>
          </w:p>
        </w:tc>
        <w:tc>
          <w:tcPr>
            <w:tcW w:w="8040" w:type="dxa"/>
            <w:vAlign w:val="bottom"/>
          </w:tcPr>
          <w:p>
            <w:pPr>
              <w:ind w:left="20"/>
              <w:spacing w:after="0"/>
              <w:rPr>
                <w:sz w:val="20"/>
                <w:szCs w:val="20"/>
                <w:color w:val="auto"/>
              </w:rPr>
            </w:pPr>
            <w:r>
              <w:rPr>
                <w:rFonts w:ascii="Arial" w:cs="Arial" w:eastAsia="Arial" w:hAnsi="Arial"/>
                <w:sz w:val="16"/>
                <w:szCs w:val="16"/>
                <w:color w:val="auto"/>
              </w:rPr>
              <w:t>Aviation supports airlines and airports with services ranging from parking and janitorial to passenger</w:t>
            </w:r>
          </w:p>
        </w:tc>
        <w:tc>
          <w:tcPr>
            <w:tcW w:w="0" w:type="dxa"/>
            <w:vAlign w:val="bottom"/>
          </w:tcPr>
          <w:p>
            <w:pPr>
              <w:spacing w:after="0"/>
              <w:rPr>
                <w:sz w:val="1"/>
                <w:szCs w:val="1"/>
                <w:color w:val="auto"/>
              </w:rPr>
            </w:pPr>
          </w:p>
        </w:tc>
      </w:tr>
      <w:tr>
        <w:trPr>
          <w:trHeight w:val="133"/>
        </w:trPr>
        <w:tc>
          <w:tcPr>
            <w:tcW w:w="3220" w:type="dxa"/>
            <w:vAlign w:val="bottom"/>
            <w:tcBorders>
              <w:right w:val="single" w:sz="8" w:color="auto"/>
            </w:tcBorders>
            <w:vMerge w:val="continue"/>
          </w:tcPr>
          <w:p>
            <w:pPr>
              <w:spacing w:after="0"/>
              <w:rPr>
                <w:sz w:val="11"/>
                <w:szCs w:val="11"/>
                <w:color w:val="auto"/>
              </w:rPr>
            </w:pPr>
          </w:p>
        </w:tc>
        <w:tc>
          <w:tcPr>
            <w:tcW w:w="8040" w:type="dxa"/>
            <w:vAlign w:val="bottom"/>
            <w:vMerge w:val="restart"/>
          </w:tcPr>
          <w:p>
            <w:pPr>
              <w:ind w:left="20"/>
              <w:spacing w:after="0"/>
              <w:rPr>
                <w:sz w:val="20"/>
                <w:szCs w:val="20"/>
                <w:color w:val="auto"/>
              </w:rPr>
            </w:pPr>
            <w:r>
              <w:rPr>
                <w:rFonts w:ascii="Arial" w:cs="Arial" w:eastAsia="Arial" w:hAnsi="Arial"/>
                <w:sz w:val="16"/>
                <w:szCs w:val="16"/>
                <w:color w:val="auto"/>
              </w:rPr>
              <w:t>assistance, catering logistics, air cabin maintenance, and transportation.</w:t>
            </w:r>
          </w:p>
        </w:tc>
        <w:tc>
          <w:tcPr>
            <w:tcW w:w="0" w:type="dxa"/>
            <w:vAlign w:val="bottom"/>
          </w:tcPr>
          <w:p>
            <w:pPr>
              <w:spacing w:after="0"/>
              <w:rPr>
                <w:sz w:val="1"/>
                <w:szCs w:val="1"/>
                <w:color w:val="auto"/>
              </w:rPr>
            </w:pPr>
          </w:p>
        </w:tc>
      </w:tr>
      <w:tr>
        <w:trPr>
          <w:trHeight w:val="82"/>
        </w:trPr>
        <w:tc>
          <w:tcPr>
            <w:tcW w:w="3220" w:type="dxa"/>
            <w:vAlign w:val="bottom"/>
            <w:tcBorders>
              <w:right w:val="single" w:sz="8" w:color="auto"/>
            </w:tcBorders>
          </w:tcPr>
          <w:p>
            <w:pPr>
              <w:spacing w:after="0"/>
              <w:rPr>
                <w:sz w:val="7"/>
                <w:szCs w:val="7"/>
                <w:color w:val="auto"/>
              </w:rPr>
            </w:pPr>
          </w:p>
        </w:tc>
        <w:tc>
          <w:tcPr>
            <w:tcW w:w="8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220" w:type="dxa"/>
            <w:vAlign w:val="bottom"/>
            <w:tcBorders>
              <w:bottom w:val="single" w:sz="8" w:color="auto"/>
              <w:right w:val="single" w:sz="8" w:color="auto"/>
            </w:tcBorders>
          </w:tcPr>
          <w:p>
            <w:pPr>
              <w:spacing w:after="0"/>
              <w:rPr>
                <w:sz w:val="9"/>
                <w:szCs w:val="9"/>
                <w:color w:val="auto"/>
              </w:rPr>
            </w:pPr>
          </w:p>
        </w:tc>
        <w:tc>
          <w:tcPr>
            <w:tcW w:w="8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Technical Solutions</w:t>
            </w:r>
          </w:p>
        </w:tc>
        <w:tc>
          <w:tcPr>
            <w:tcW w:w="8040" w:type="dxa"/>
            <w:vAlign w:val="bottom"/>
          </w:tcPr>
          <w:p>
            <w:pPr>
              <w:ind w:left="20"/>
              <w:spacing w:after="0"/>
              <w:rPr>
                <w:sz w:val="20"/>
                <w:szCs w:val="20"/>
                <w:color w:val="auto"/>
              </w:rPr>
            </w:pPr>
            <w:r>
              <w:rPr>
                <w:rFonts w:ascii="Arial" w:cs="Arial" w:eastAsia="Arial" w:hAnsi="Arial"/>
                <w:sz w:val="16"/>
                <w:szCs w:val="16"/>
                <w:color w:val="auto"/>
              </w:rPr>
              <w:t>Technical Solutions specializes in facility infrastructure, mechanical, and electrical services, including power</w:t>
            </w:r>
          </w:p>
        </w:tc>
        <w:tc>
          <w:tcPr>
            <w:tcW w:w="0" w:type="dxa"/>
            <w:vAlign w:val="bottom"/>
          </w:tcPr>
          <w:p>
            <w:pPr>
              <w:spacing w:after="0"/>
              <w:rPr>
                <w:sz w:val="1"/>
                <w:szCs w:val="1"/>
                <w:color w:val="auto"/>
              </w:rPr>
            </w:pPr>
          </w:p>
        </w:tc>
      </w:tr>
      <w:tr>
        <w:trPr>
          <w:trHeight w:val="162"/>
        </w:trPr>
        <w:tc>
          <w:tcPr>
            <w:tcW w:w="3220" w:type="dxa"/>
            <w:vAlign w:val="bottom"/>
            <w:tcBorders>
              <w:right w:val="single" w:sz="8" w:color="auto"/>
            </w:tcBorders>
            <w:vMerge w:val="continue"/>
          </w:tcPr>
          <w:p>
            <w:pPr>
              <w:spacing w:after="0"/>
              <w:rPr>
                <w:sz w:val="14"/>
                <w:szCs w:val="14"/>
                <w:color w:val="auto"/>
              </w:rPr>
            </w:pPr>
          </w:p>
        </w:tc>
        <w:tc>
          <w:tcPr>
            <w:tcW w:w="8040" w:type="dxa"/>
            <w:vAlign w:val="bottom"/>
          </w:tcPr>
          <w:p>
            <w:pPr>
              <w:ind w:left="20"/>
              <w:spacing w:after="0" w:line="162" w:lineRule="exact"/>
              <w:rPr>
                <w:sz w:val="20"/>
                <w:szCs w:val="20"/>
                <w:color w:val="auto"/>
              </w:rPr>
            </w:pPr>
            <w:r>
              <w:rPr>
                <w:rFonts w:ascii="Arial" w:cs="Arial" w:eastAsia="Arial" w:hAnsi="Arial"/>
                <w:sz w:val="16"/>
                <w:szCs w:val="16"/>
                <w:color w:val="auto"/>
              </w:rPr>
              <w:t>design, installation, and maintenance, as well as microgrid systems installations. These services can also be</w:t>
            </w:r>
          </w:p>
        </w:tc>
        <w:tc>
          <w:tcPr>
            <w:tcW w:w="0" w:type="dxa"/>
            <w:vAlign w:val="bottom"/>
          </w:tcPr>
          <w:p>
            <w:pPr>
              <w:spacing w:after="0"/>
              <w:rPr>
                <w:sz w:val="1"/>
                <w:szCs w:val="1"/>
                <w:color w:val="auto"/>
              </w:rPr>
            </w:pPr>
          </w:p>
        </w:tc>
      </w:tr>
      <w:tr>
        <w:trPr>
          <w:trHeight w:val="215"/>
        </w:trPr>
        <w:tc>
          <w:tcPr>
            <w:tcW w:w="3220" w:type="dxa"/>
            <w:vAlign w:val="bottom"/>
            <w:tcBorders>
              <w:right w:val="single" w:sz="8" w:color="auto"/>
            </w:tcBorders>
          </w:tcPr>
          <w:p>
            <w:pPr>
              <w:spacing w:after="0"/>
              <w:rPr>
                <w:sz w:val="18"/>
                <w:szCs w:val="18"/>
                <w:color w:val="auto"/>
              </w:rPr>
            </w:pPr>
          </w:p>
        </w:tc>
        <w:tc>
          <w:tcPr>
            <w:tcW w:w="8040" w:type="dxa"/>
            <w:vAlign w:val="bottom"/>
          </w:tcPr>
          <w:p>
            <w:pPr>
              <w:ind w:left="20"/>
              <w:spacing w:after="0"/>
              <w:rPr>
                <w:sz w:val="20"/>
                <w:szCs w:val="20"/>
                <w:color w:val="auto"/>
              </w:rPr>
            </w:pPr>
            <w:r>
              <w:rPr>
                <w:rFonts w:ascii="Arial" w:cs="Arial" w:eastAsia="Arial" w:hAnsi="Arial"/>
                <w:sz w:val="16"/>
                <w:szCs w:val="16"/>
                <w:color w:val="auto"/>
              </w:rPr>
              <w:t>leveraged for cross-selling across all of our industry groups, both domestically and internationally.</w:t>
            </w:r>
          </w:p>
        </w:tc>
        <w:tc>
          <w:tcPr>
            <w:tcW w:w="0" w:type="dxa"/>
            <w:vAlign w:val="bottom"/>
          </w:tcPr>
          <w:p>
            <w:pPr>
              <w:spacing w:after="0"/>
              <w:rPr>
                <w:sz w:val="1"/>
                <w:szCs w:val="1"/>
                <w:color w:val="auto"/>
              </w:rPr>
            </w:pPr>
          </w:p>
        </w:tc>
      </w:tr>
      <w:tr>
        <w:trPr>
          <w:trHeight w:val="109"/>
        </w:trPr>
        <w:tc>
          <w:tcPr>
            <w:tcW w:w="3220" w:type="dxa"/>
            <w:vAlign w:val="bottom"/>
            <w:tcBorders>
              <w:bottom w:val="single" w:sz="8" w:color="auto"/>
              <w:right w:val="single" w:sz="8" w:color="auto"/>
            </w:tcBorders>
          </w:tcPr>
          <w:p>
            <w:pPr>
              <w:spacing w:after="0"/>
              <w:rPr>
                <w:sz w:val="9"/>
                <w:szCs w:val="9"/>
                <w:color w:val="auto"/>
              </w:rPr>
            </w:pPr>
          </w:p>
        </w:tc>
        <w:tc>
          <w:tcPr>
            <w:tcW w:w="8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9"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0046AD"/>
        </w:rPr>
        <w:t>Financial Information by Reportable Segment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April 30,</w:t>
            </w:r>
          </w:p>
        </w:tc>
        <w:tc>
          <w:tcPr>
            <w:tcW w:w="28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Six Months Ended April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59"/>
              <w:spacing w:after="0" w:line="142" w:lineRule="exact"/>
              <w:rPr>
                <w:sz w:val="20"/>
                <w:szCs w:val="20"/>
                <w:color w:val="auto"/>
              </w:rPr>
            </w:pPr>
            <w:r>
              <w:rPr>
                <w:rFonts w:ascii="Arial" w:cs="Arial" w:eastAsia="Arial" w:hAnsi="Arial"/>
                <w:sz w:val="16"/>
                <w:szCs w:val="16"/>
                <w:b w:val="1"/>
                <w:bCs w:val="1"/>
                <w:color w:val="auto"/>
              </w:rPr>
              <w:t>2024</w:t>
            </w:r>
          </w:p>
        </w:tc>
        <w:tc>
          <w:tcPr>
            <w:tcW w:w="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39"/>
              <w:spacing w:after="0" w:line="142" w:lineRule="exact"/>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59"/>
              <w:spacing w:after="0" w:line="142" w:lineRule="exact"/>
              <w:rPr>
                <w:sz w:val="20"/>
                <w:szCs w:val="20"/>
                <w:color w:val="auto"/>
              </w:rPr>
            </w:pPr>
            <w:r>
              <w:rPr>
                <w:rFonts w:ascii="Arial" w:cs="Arial" w:eastAsia="Arial" w:hAnsi="Arial"/>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59"/>
              <w:spacing w:after="0" w:line="142"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720" w:type="dxa"/>
            <w:vAlign w:val="bottom"/>
            <w:tcBorders>
              <w:top w:val="single" w:sz="8" w:color="auto"/>
              <w:bottom w:val="single" w:sz="8" w:color="DCE2EF"/>
            </w:tcBorders>
          </w:tcPr>
          <w:p>
            <w:pPr>
              <w:spacing w:after="0"/>
              <w:rPr>
                <w:sz w:val="2"/>
                <w:szCs w:val="2"/>
                <w:color w:val="auto"/>
              </w:rPr>
            </w:pPr>
          </w:p>
        </w:tc>
        <w:tc>
          <w:tcPr>
            <w:tcW w:w="4380" w:type="dxa"/>
            <w:vAlign w:val="bottom"/>
            <w:tcBorders>
              <w:bottom w:val="single" w:sz="8" w:color="DCE2E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DCE2EF"/>
          </w:tcPr>
          <w:p>
            <w:pPr>
              <w:spacing w:after="0"/>
              <w:rPr>
                <w:sz w:val="17"/>
                <w:szCs w:val="17"/>
                <w:color w:val="auto"/>
              </w:rPr>
            </w:pPr>
          </w:p>
        </w:tc>
        <w:tc>
          <w:tcPr>
            <w:tcW w:w="510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0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Business &amp; Industry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989.6</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998.5</w:t>
            </w:r>
          </w:p>
        </w:tc>
        <w:tc>
          <w:tcPr>
            <w:tcW w:w="14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2,022.8</w:t>
            </w:r>
          </w:p>
        </w:tc>
        <w:tc>
          <w:tcPr>
            <w:tcW w:w="12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2,035.0</w:t>
            </w: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51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Manufacturing &amp; Distribution</w:t>
            </w:r>
          </w:p>
        </w:tc>
        <w:tc>
          <w:tcPr>
            <w:tcW w:w="220" w:type="dxa"/>
            <w:vAlign w:val="bottom"/>
            <w:shd w:val="clear" w:color="auto" w:fill="DCE2EF"/>
          </w:tcPr>
          <w:p>
            <w:pPr>
              <w:spacing w:after="0"/>
              <w:rPr>
                <w:sz w:val="18"/>
                <w:szCs w:val="18"/>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388.6</w:t>
            </w:r>
          </w:p>
        </w:tc>
        <w:tc>
          <w:tcPr>
            <w:tcW w:w="14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373.2</w:t>
            </w:r>
          </w:p>
        </w:tc>
        <w:tc>
          <w:tcPr>
            <w:tcW w:w="14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789.5</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753.7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Education</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225.6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216.7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431.6</w:t>
            </w: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51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Aviation</w:t>
            </w:r>
          </w:p>
        </w:tc>
        <w:tc>
          <w:tcPr>
            <w:tcW w:w="220" w:type="dxa"/>
            <w:vAlign w:val="bottom"/>
            <w:shd w:val="clear" w:color="auto" w:fill="DCE2EF"/>
          </w:tcPr>
          <w:p>
            <w:pPr>
              <w:spacing w:after="0"/>
              <w:rPr>
                <w:sz w:val="18"/>
                <w:szCs w:val="18"/>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238.2</w:t>
            </w:r>
          </w:p>
        </w:tc>
        <w:tc>
          <w:tcPr>
            <w:tcW w:w="14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227.2</w:t>
            </w:r>
          </w:p>
        </w:tc>
        <w:tc>
          <w:tcPr>
            <w:tcW w:w="14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487.8</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439.5</w:t>
            </w:r>
          </w:p>
        </w:tc>
        <w:tc>
          <w:tcPr>
            <w:tcW w:w="0" w:type="dxa"/>
            <w:vAlign w:val="bottom"/>
          </w:tcPr>
          <w:p>
            <w:pPr>
              <w:spacing w:after="0"/>
              <w:rPr>
                <w:sz w:val="1"/>
                <w:szCs w:val="1"/>
                <w:color w:val="auto"/>
              </w:rPr>
            </w:pPr>
          </w:p>
        </w:tc>
      </w:tr>
      <w:tr>
        <w:trPr>
          <w:trHeight w:val="215"/>
        </w:trPr>
        <w:tc>
          <w:tcPr>
            <w:tcW w:w="20" w:type="dxa"/>
            <w:vAlign w:val="bottom"/>
            <w:tcBorders>
              <w:bottom w:val="single" w:sz="8" w:color="DCE2EF"/>
            </w:tcBorders>
          </w:tcPr>
          <w:p>
            <w:pPr>
              <w:spacing w:after="0"/>
              <w:rPr>
                <w:sz w:val="18"/>
                <w:szCs w:val="18"/>
                <w:color w:val="auto"/>
              </w:rPr>
            </w:pPr>
          </w:p>
        </w:tc>
        <w:tc>
          <w:tcPr>
            <w:tcW w:w="510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Technical Solutions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w:t>
            </w:r>
          </w:p>
        </w:tc>
        <w:tc>
          <w:tcPr>
            <w:tcW w:w="14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w:t>
            </w:r>
          </w:p>
        </w:tc>
        <w:tc>
          <w:tcPr>
            <w:tcW w:w="140" w:type="dxa"/>
            <w:vAlign w:val="bottom"/>
            <w:tcBorders>
              <w:bottom w:val="single" w:sz="8" w:color="DCE2E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342.1</w:t>
            </w:r>
          </w:p>
        </w:tc>
        <w:tc>
          <w:tcPr>
            <w:tcW w:w="120" w:type="dxa"/>
            <w:vAlign w:val="bottom"/>
            <w:tcBorders>
              <w:bottom w:val="single" w:sz="8" w:color="DCE2E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35"/>
        </w:trPr>
        <w:tc>
          <w:tcPr>
            <w:tcW w:w="20" w:type="dxa"/>
            <w:vAlign w:val="bottom"/>
            <w:tcBorders>
              <w:bottom w:val="single" w:sz="8" w:color="DCE2EF"/>
            </w:tcBorders>
            <w:shd w:val="clear" w:color="auto" w:fill="DCE2EF"/>
          </w:tcPr>
          <w:p>
            <w:pPr>
              <w:spacing w:after="0"/>
              <w:rPr>
                <w:sz w:val="20"/>
                <w:szCs w:val="20"/>
                <w:color w:val="auto"/>
              </w:rPr>
            </w:pPr>
          </w:p>
        </w:tc>
        <w:tc>
          <w:tcPr>
            <w:tcW w:w="51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Total Revenues</w:t>
            </w:r>
          </w:p>
        </w:tc>
        <w:tc>
          <w:tcPr>
            <w:tcW w:w="22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2,018.2</w:t>
            </w:r>
          </w:p>
        </w:tc>
        <w:tc>
          <w:tcPr>
            <w:tcW w:w="140" w:type="dxa"/>
            <w:vAlign w:val="bottom"/>
            <w:tcBorders>
              <w:bottom w:val="single" w:sz="8" w:color="DCE2EF"/>
            </w:tcBorders>
            <w:shd w:val="clear" w:color="auto" w:fill="DCE2EF"/>
          </w:tcPr>
          <w:p>
            <w:pPr>
              <w:spacing w:after="0"/>
              <w:rPr>
                <w:sz w:val="20"/>
                <w:szCs w:val="20"/>
                <w:color w:val="auto"/>
              </w:rPr>
            </w:pPr>
          </w:p>
        </w:tc>
        <w:tc>
          <w:tcPr>
            <w:tcW w:w="320" w:type="dxa"/>
            <w:vAlign w:val="bottom"/>
            <w:tcBorders>
              <w:bottom w:val="single" w:sz="8" w:color="auto"/>
            </w:tcBorders>
            <w:shd w:val="clear" w:color="auto" w:fill="DCE2E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1,984.0</w:t>
            </w:r>
          </w:p>
        </w:tc>
        <w:tc>
          <w:tcPr>
            <w:tcW w:w="140" w:type="dxa"/>
            <w:vAlign w:val="bottom"/>
            <w:tcBorders>
              <w:bottom w:val="single" w:sz="8" w:color="DCE2EF"/>
            </w:tcBorders>
            <w:shd w:val="clear" w:color="auto" w:fill="DCE2EF"/>
          </w:tcPr>
          <w:p>
            <w:pPr>
              <w:spacing w:after="0"/>
              <w:rPr>
                <w:sz w:val="20"/>
                <w:szCs w:val="20"/>
                <w:color w:val="auto"/>
              </w:rPr>
            </w:pPr>
          </w:p>
        </w:tc>
        <w:tc>
          <w:tcPr>
            <w:tcW w:w="2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4,087.8</w:t>
            </w:r>
          </w:p>
        </w:tc>
        <w:tc>
          <w:tcPr>
            <w:tcW w:w="12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3,975.3</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bottom w:val="single" w:sz="8" w:color="DCE2EF"/>
            </w:tcBorders>
            <w:vMerge w:val="restart"/>
          </w:tcPr>
          <w:p>
            <w:pPr>
              <w:spacing w:after="0" w:line="20" w:lineRule="exact"/>
              <w:rPr>
                <w:sz w:val="1"/>
                <w:szCs w:val="1"/>
                <w:color w:val="auto"/>
              </w:rPr>
            </w:pPr>
          </w:p>
        </w:tc>
        <w:tc>
          <w:tcPr>
            <w:tcW w:w="510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6"/>
                <w:szCs w:val="16"/>
                <w:b w:val="1"/>
                <w:bCs w:val="1"/>
                <w:color w:val="auto"/>
              </w:rPr>
              <w:t>Operating profit</w:t>
            </w: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4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100" w:type="dxa"/>
            <w:vAlign w:val="bottom"/>
            <w:tcBorders>
              <w:top w:val="single" w:sz="8" w:color="DCE2EF"/>
              <w:bottom w:val="single" w:sz="8" w:color="auto"/>
            </w:tcBorders>
          </w:tcPr>
          <w:p>
            <w:pPr>
              <w:spacing w:after="0" w:line="20" w:lineRule="exact"/>
              <w:rPr>
                <w:sz w:val="1"/>
                <w:szCs w:val="1"/>
                <w:color w:val="auto"/>
              </w:rPr>
            </w:pPr>
          </w:p>
        </w:tc>
        <w:tc>
          <w:tcPr>
            <w:tcW w:w="140" w:type="dxa"/>
            <w:vAlign w:val="bottom"/>
            <w:tcBorders>
              <w:top w:val="single" w:sz="8" w:color="DCE2EF"/>
            </w:tcBorders>
          </w:tcPr>
          <w:p>
            <w:pPr>
              <w:spacing w:after="0" w:line="20" w:lineRule="exact"/>
              <w:rPr>
                <w:sz w:val="1"/>
                <w:szCs w:val="1"/>
                <w:color w:val="auto"/>
              </w:rPr>
            </w:pP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116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0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5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1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Business &amp; Industry</w:t>
            </w: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77.6</w:t>
            </w:r>
          </w:p>
        </w:tc>
        <w:tc>
          <w:tcPr>
            <w:tcW w:w="14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76.2</w:t>
            </w:r>
          </w:p>
        </w:tc>
        <w:tc>
          <w:tcPr>
            <w:tcW w:w="140" w:type="dxa"/>
            <w:vAlign w:val="bottom"/>
            <w:shd w:val="clear" w:color="auto" w:fill="DCE2EF"/>
          </w:tcPr>
          <w:p>
            <w:pPr>
              <w:spacing w:after="0"/>
              <w:rPr>
                <w:sz w:val="18"/>
                <w:szCs w:val="18"/>
                <w:color w:val="auto"/>
              </w:rPr>
            </w:pPr>
          </w:p>
        </w:tc>
        <w:tc>
          <w:tcPr>
            <w:tcW w:w="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157.2</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Manufacturing &amp; Distribution</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51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Education</w:t>
            </w:r>
          </w:p>
        </w:tc>
        <w:tc>
          <w:tcPr>
            <w:tcW w:w="220" w:type="dxa"/>
            <w:vAlign w:val="bottom"/>
            <w:shd w:val="clear" w:color="auto" w:fill="DCE2EF"/>
          </w:tcPr>
          <w:p>
            <w:pPr>
              <w:spacing w:after="0"/>
              <w:rPr>
                <w:sz w:val="18"/>
                <w:szCs w:val="18"/>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11.5</w:t>
            </w:r>
          </w:p>
        </w:tc>
        <w:tc>
          <w:tcPr>
            <w:tcW w:w="14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11.8</w:t>
            </w:r>
          </w:p>
        </w:tc>
        <w:tc>
          <w:tcPr>
            <w:tcW w:w="14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Aviation</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51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Technical Solutions</w:t>
            </w:r>
          </w:p>
        </w:tc>
        <w:tc>
          <w:tcPr>
            <w:tcW w:w="220" w:type="dxa"/>
            <w:vAlign w:val="bottom"/>
            <w:shd w:val="clear" w:color="auto" w:fill="DCE2EF"/>
          </w:tcPr>
          <w:p>
            <w:pPr>
              <w:spacing w:after="0"/>
              <w:rPr>
                <w:sz w:val="18"/>
                <w:szCs w:val="18"/>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17.0</w:t>
            </w:r>
          </w:p>
        </w:tc>
        <w:tc>
          <w:tcPr>
            <w:tcW w:w="14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10.2</w:t>
            </w:r>
          </w:p>
        </w:tc>
        <w:tc>
          <w:tcPr>
            <w:tcW w:w="14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Corporate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(140.8)</w:t>
            </w: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51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Adjustment for income from unconsolidated affiliates, included in</w:t>
            </w:r>
          </w:p>
        </w:tc>
        <w:tc>
          <w:tcPr>
            <w:tcW w:w="22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0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DCE2EF"/>
          </w:tcPr>
          <w:p>
            <w:pPr>
              <w:spacing w:after="0"/>
              <w:rPr>
                <w:sz w:val="21"/>
                <w:szCs w:val="21"/>
                <w:color w:val="auto"/>
              </w:rPr>
            </w:pPr>
          </w:p>
        </w:tc>
        <w:tc>
          <w:tcPr>
            <w:tcW w:w="5100" w:type="dxa"/>
            <w:vAlign w:val="bottom"/>
            <w:gridSpan w:val="2"/>
            <w:shd w:val="clear" w:color="auto" w:fill="DCE2EF"/>
          </w:tcPr>
          <w:p>
            <w:pPr>
              <w:ind w:left="160"/>
              <w:spacing w:after="0"/>
              <w:rPr>
                <w:sz w:val="20"/>
                <w:szCs w:val="20"/>
                <w:color w:val="auto"/>
              </w:rPr>
            </w:pPr>
            <w:r>
              <w:rPr>
                <w:rFonts w:ascii="Arial" w:cs="Arial" w:eastAsia="Arial" w:hAnsi="Arial"/>
                <w:sz w:val="16"/>
                <w:szCs w:val="16"/>
                <w:color w:val="auto"/>
              </w:rPr>
              <w:t>Aviation and Technical Solutions</w:t>
            </w:r>
          </w:p>
        </w:tc>
        <w:tc>
          <w:tcPr>
            <w:tcW w:w="220" w:type="dxa"/>
            <w:vAlign w:val="bottom"/>
            <w:shd w:val="clear" w:color="auto" w:fill="DCE2EF"/>
          </w:tcPr>
          <w:p>
            <w:pPr>
              <w:spacing w:after="0"/>
              <w:rPr>
                <w:sz w:val="21"/>
                <w:szCs w:val="21"/>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DCE2EF"/>
          </w:tcPr>
          <w:p>
            <w:pPr>
              <w:spacing w:after="0"/>
              <w:rPr>
                <w:sz w:val="21"/>
                <w:szCs w:val="21"/>
                <w:color w:val="auto"/>
              </w:rPr>
            </w:pPr>
          </w:p>
        </w:tc>
        <w:tc>
          <w:tcPr>
            <w:tcW w:w="320" w:type="dxa"/>
            <w:vAlign w:val="bottom"/>
            <w:shd w:val="clear" w:color="auto" w:fill="DCE2EF"/>
          </w:tcPr>
          <w:p>
            <w:pPr>
              <w:spacing w:after="0"/>
              <w:rPr>
                <w:sz w:val="21"/>
                <w:szCs w:val="21"/>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(0.6)</w:t>
            </w:r>
          </w:p>
        </w:tc>
        <w:tc>
          <w:tcPr>
            <w:tcW w:w="140" w:type="dxa"/>
            <w:vAlign w:val="bottom"/>
            <w:shd w:val="clear" w:color="auto" w:fill="DCE2EF"/>
          </w:tcPr>
          <w:p>
            <w:pPr>
              <w:spacing w:after="0"/>
              <w:rPr>
                <w:sz w:val="21"/>
                <w:szCs w:val="21"/>
                <w:color w:val="auto"/>
              </w:rPr>
            </w:pPr>
          </w:p>
        </w:tc>
        <w:tc>
          <w:tcPr>
            <w:tcW w:w="280" w:type="dxa"/>
            <w:vAlign w:val="bottom"/>
            <w:shd w:val="clear" w:color="auto" w:fill="DCE2EF"/>
          </w:tcPr>
          <w:p>
            <w:pPr>
              <w:spacing w:after="0"/>
              <w:rPr>
                <w:sz w:val="21"/>
                <w:szCs w:val="21"/>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DCE2EF"/>
          </w:tcPr>
          <w:p>
            <w:pPr>
              <w:spacing w:after="0"/>
              <w:rPr>
                <w:sz w:val="21"/>
                <w:szCs w:val="21"/>
                <w:color w:val="auto"/>
              </w:rPr>
            </w:pPr>
          </w:p>
        </w:tc>
        <w:tc>
          <w:tcPr>
            <w:tcW w:w="340" w:type="dxa"/>
            <w:vAlign w:val="bottom"/>
            <w:shd w:val="clear" w:color="auto" w:fill="DCE2EF"/>
          </w:tcPr>
          <w:p>
            <w:pPr>
              <w:spacing w:after="0"/>
              <w:rPr>
                <w:sz w:val="21"/>
                <w:szCs w:val="21"/>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Adjustment for tax deductions for energy efficient government</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00" w:type="dxa"/>
            <w:vAlign w:val="bottom"/>
            <w:gridSpan w:val="2"/>
          </w:tcPr>
          <w:p>
            <w:pPr>
              <w:ind w:left="160"/>
              <w:spacing w:after="0"/>
              <w:rPr>
                <w:sz w:val="20"/>
                <w:szCs w:val="20"/>
                <w:color w:val="auto"/>
              </w:rPr>
            </w:pPr>
            <w:r>
              <w:rPr>
                <w:rFonts w:ascii="Arial" w:cs="Arial" w:eastAsia="Arial" w:hAnsi="Arial"/>
                <w:sz w:val="16"/>
                <w:szCs w:val="16"/>
                <w:color w:val="auto"/>
              </w:rPr>
              <w:t>buildings, included in Technical Solutions</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1"/>
        </w:trPr>
        <w:tc>
          <w:tcPr>
            <w:tcW w:w="20" w:type="dxa"/>
            <w:vAlign w:val="bottom"/>
            <w:tcBorders>
              <w:top w:val="single" w:sz="8" w:color="DCE2EF"/>
            </w:tcBorders>
            <w:shd w:val="clear" w:color="auto" w:fill="DCE2EF"/>
          </w:tcPr>
          <w:p>
            <w:pPr>
              <w:spacing w:after="0"/>
              <w:rPr>
                <w:sz w:val="18"/>
                <w:szCs w:val="18"/>
                <w:color w:val="auto"/>
              </w:rPr>
            </w:pPr>
          </w:p>
        </w:tc>
        <w:tc>
          <w:tcPr>
            <w:tcW w:w="5100" w:type="dxa"/>
            <w:vAlign w:val="bottom"/>
            <w:tcBorders>
              <w:top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Total operating profit</w:t>
            </w:r>
          </w:p>
        </w:tc>
        <w:tc>
          <w:tcPr>
            <w:tcW w:w="22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81.3</w:t>
            </w:r>
          </w:p>
        </w:tc>
        <w:tc>
          <w:tcPr>
            <w:tcW w:w="140" w:type="dxa"/>
            <w:vAlign w:val="bottom"/>
            <w:tcBorders>
              <w:top w:val="single" w:sz="8" w:color="DCE2EF"/>
            </w:tcBorders>
            <w:shd w:val="clear" w:color="auto" w:fill="DCE2EF"/>
          </w:tcPr>
          <w:p>
            <w:pPr>
              <w:spacing w:after="0"/>
              <w:rPr>
                <w:sz w:val="18"/>
                <w:szCs w:val="18"/>
                <w:color w:val="auto"/>
              </w:rPr>
            </w:pPr>
          </w:p>
        </w:tc>
        <w:tc>
          <w:tcPr>
            <w:tcW w:w="320" w:type="dxa"/>
            <w:vAlign w:val="bottom"/>
            <w:tcBorders>
              <w:top w:val="single" w:sz="8" w:color="auto"/>
              <w:bottom w:val="single" w:sz="8" w:color="auto"/>
            </w:tcBorders>
            <w:shd w:val="clear" w:color="auto" w:fill="DCE2E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92.7</w:t>
            </w:r>
          </w:p>
        </w:tc>
        <w:tc>
          <w:tcPr>
            <w:tcW w:w="140" w:type="dxa"/>
            <w:vAlign w:val="bottom"/>
            <w:tcBorders>
              <w:top w:val="single" w:sz="8" w:color="DCE2EF"/>
            </w:tcBorders>
            <w:shd w:val="clear" w:color="auto" w:fill="DCE2EF"/>
          </w:tcPr>
          <w:p>
            <w:pPr>
              <w:spacing w:after="0"/>
              <w:rPr>
                <w:sz w:val="18"/>
                <w:szCs w:val="18"/>
                <w:color w:val="auto"/>
              </w:rPr>
            </w:pPr>
          </w:p>
        </w:tc>
        <w:tc>
          <w:tcPr>
            <w:tcW w:w="280" w:type="dxa"/>
            <w:vAlign w:val="bottom"/>
            <w:tcBorders>
              <w:top w:val="single" w:sz="8" w:color="auto"/>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155.4</w:t>
            </w:r>
          </w:p>
        </w:tc>
        <w:tc>
          <w:tcPr>
            <w:tcW w:w="120" w:type="dxa"/>
            <w:vAlign w:val="bottom"/>
            <w:tcBorders>
              <w:top w:val="single" w:sz="8" w:color="DCE2EF"/>
            </w:tcBorders>
            <w:shd w:val="clear" w:color="auto" w:fill="DCE2EF"/>
          </w:tcPr>
          <w:p>
            <w:pPr>
              <w:spacing w:after="0"/>
              <w:rPr>
                <w:sz w:val="18"/>
                <w:szCs w:val="18"/>
                <w:color w:val="auto"/>
              </w:rPr>
            </w:pPr>
          </w:p>
        </w:tc>
        <w:tc>
          <w:tcPr>
            <w:tcW w:w="340" w:type="dxa"/>
            <w:vAlign w:val="bottom"/>
            <w:tcBorders>
              <w:top w:val="single" w:sz="8" w:color="auto"/>
              <w:bottom w:val="single" w:sz="8" w:color="auto"/>
            </w:tcBorders>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164.1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Income from unconsolidated affiliates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51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shd w:val="clear" w:color="auto" w:fill="DCE2EF"/>
          </w:tcPr>
          <w:p>
            <w:pPr>
              <w:spacing w:after="0"/>
              <w:rPr>
                <w:sz w:val="18"/>
                <w:szCs w:val="18"/>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(20.6)</w:t>
            </w:r>
          </w:p>
        </w:tc>
        <w:tc>
          <w:tcPr>
            <w:tcW w:w="14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(21.1)</w:t>
            </w:r>
          </w:p>
        </w:tc>
        <w:tc>
          <w:tcPr>
            <w:tcW w:w="140" w:type="dxa"/>
            <w:vAlign w:val="bottom"/>
            <w:shd w:val="clear" w:color="auto" w:fill="DCE2EF"/>
          </w:tcPr>
          <w:p>
            <w:pPr>
              <w:spacing w:after="0"/>
              <w:rPr>
                <w:sz w:val="18"/>
                <w:szCs w:val="18"/>
                <w:color w:val="auto"/>
              </w:rPr>
            </w:pPr>
          </w:p>
        </w:tc>
        <w:tc>
          <w:tcPr>
            <w:tcW w:w="280" w:type="dxa"/>
            <w:vAlign w:val="bottom"/>
            <w:tcBorders>
              <w:bottom w:val="single" w:sz="8" w:color="auto"/>
            </w:tcBorders>
            <w:shd w:val="clear" w:color="auto" w:fill="DCE2EF"/>
          </w:tcPr>
          <w:p>
            <w:pPr>
              <w:spacing w:after="0"/>
              <w:rPr>
                <w:sz w:val="18"/>
                <w:szCs w:val="18"/>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DCE2EF"/>
          </w:tcPr>
          <w:p>
            <w:pPr>
              <w:spacing w:after="0"/>
              <w:rPr>
                <w:sz w:val="18"/>
                <w:szCs w:val="18"/>
                <w:color w:val="auto"/>
              </w:rPr>
            </w:pPr>
          </w:p>
        </w:tc>
        <w:tc>
          <w:tcPr>
            <w:tcW w:w="340" w:type="dxa"/>
            <w:vAlign w:val="bottom"/>
            <w:tcBorders>
              <w:bottom w:val="single" w:sz="8" w:color="auto"/>
            </w:tcBorders>
            <w:shd w:val="clear" w:color="auto" w:fill="DCE2EF"/>
          </w:tcPr>
          <w:p>
            <w:pPr>
              <w:spacing w:after="0"/>
              <w:rPr>
                <w:sz w:val="18"/>
                <w:szCs w:val="18"/>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corporate costs. Certain corporate costs not allocated to segments include information technology, human resources, executive and finance expenses, and legal costs and settlements. Additionally, share-based compensation, actuarial adjustments to self-insurance reserves related to prior years, acquisition and integration costs, and changes in fair values of contingent consideration are not allocated to segments. Management does not review asset information by segment, therefore we do not present assets in this note.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0046AD"/>
        </w:rPr>
        <w:t>ITEM 2. MANAGEMENT’S DISCUSSION AND ANALYSIS OF FINANCIAL CONDITION AND RESULTS OF OPERATIONS.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This MD&amp;A is provided as a supplement to, and should be read in conjunction with, our Financial Statements and our Annual Report on Form 10-K for the year ended October 31, 2023, which has been filed with the SEC. This MD&amp;A contains forward-looking statements about our business, operations, and industry that involve risks and uncertainties, such as statements regarding our plans, objectives, expectations, and intentions. Our future results and financial condition may be materially different from those we currently anticipate. See “Forward-Looking Statements” for more information.</w:t>
      </w:r>
    </w:p>
    <w:p>
      <w:pPr>
        <w:spacing w:after="0" w:line="128"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Throughout the MD&amp;A, amounts and percentages may not recalculate due to rounding. Unless otherwise indicated, all information in the MD&amp;A and references to years are based on our fiscal years, which end on October 31.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jc w:val="both"/>
        <w:ind w:right="20" w:firstLine="648"/>
        <w:spacing w:after="0" w:line="296" w:lineRule="auto"/>
        <w:rPr>
          <w:sz w:val="20"/>
          <w:szCs w:val="20"/>
          <w:color w:val="auto"/>
        </w:rPr>
      </w:pPr>
      <w:r>
        <w:rPr>
          <w:rFonts w:ascii="Arial" w:cs="Arial" w:eastAsia="Arial" w:hAnsi="Arial"/>
          <w:sz w:val="18"/>
          <w:szCs w:val="18"/>
          <w:color w:val="auto"/>
        </w:rPr>
        <w:t xml:space="preserve">ABM is a leading provider of integrated facility solutions, customized by industry, with a mission to </w:t>
      </w:r>
      <w:r>
        <w:rPr>
          <w:rFonts w:ascii="Arial" w:cs="Arial" w:eastAsia="Arial" w:hAnsi="Arial"/>
          <w:sz w:val="18"/>
          <w:szCs w:val="18"/>
          <w:b w:val="1"/>
          <w:bCs w:val="1"/>
          <w:color w:val="326ABD"/>
        </w:rPr>
        <w:t>make a difference, every</w:t>
      </w:r>
      <w:r>
        <w:rPr>
          <w:rFonts w:ascii="Arial" w:cs="Arial" w:eastAsia="Arial" w:hAnsi="Arial"/>
          <w:sz w:val="18"/>
          <w:szCs w:val="18"/>
          <w:color w:val="auto"/>
        </w:rPr>
        <w:t xml:space="preserve"> </w:t>
      </w:r>
      <w:r>
        <w:rPr>
          <w:rFonts w:ascii="Arial" w:cs="Arial" w:eastAsia="Arial" w:hAnsi="Arial"/>
          <w:sz w:val="18"/>
          <w:szCs w:val="18"/>
          <w:b w:val="1"/>
          <w:bCs w:val="1"/>
          <w:color w:val="326ABD"/>
        </w:rPr>
        <w:t>person, every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E98300"/>
        </w:rPr>
        <w:t xml:space="preserve">ELEVATE </w:t>
      </w:r>
      <w:r>
        <w:rPr>
          <w:rFonts w:ascii="Arial" w:cs="Arial" w:eastAsia="Arial" w:hAnsi="Arial"/>
          <w:sz w:val="18"/>
          <w:szCs w:val="18"/>
          <w:b w:val="1"/>
          <w:bCs w:val="1"/>
          <w:color w:val="0046AD"/>
        </w:rPr>
        <w:t>Strategy</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In December 2021, we announced our multiyear strategic plan called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The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is designed to strengthen our industry leadership position through end-market repositioning and build on our core services, which we expect will drive significant long-term value for our stakeholders.</w:t>
      </w:r>
    </w:p>
    <w:p>
      <w:pPr>
        <w:spacing w:after="0" w:line="1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 xml:space="preserve">We will continue to make significant investments over the life of the program, which are expected to total $200 - $215 million, and we will continue to implement various measures with the aim to </w:t>
      </w:r>
      <w:r>
        <w:rPr>
          <w:rFonts w:ascii="Arial" w:cs="Arial" w:eastAsia="Arial" w:hAnsi="Arial"/>
          <w:sz w:val="18"/>
          <w:szCs w:val="18"/>
          <w:b w:val="1"/>
          <w:bCs w:val="1"/>
          <w:color w:val="E98300"/>
        </w:rPr>
        <w:t>ELEVATE</w:t>
      </w:r>
      <w:r>
        <w:rPr>
          <w:rFonts w:ascii="Arial" w:cs="Arial" w:eastAsia="Arial" w:hAnsi="Arial"/>
          <w:sz w:val="18"/>
          <w:szCs w:val="18"/>
          <w:color w:val="auto"/>
        </w:rPr>
        <w:t>:</w:t>
      </w:r>
    </w:p>
    <w:p>
      <w:pPr>
        <w:spacing w:after="0" w:line="83" w:lineRule="exact"/>
        <w:rPr>
          <w:sz w:val="20"/>
          <w:szCs w:val="20"/>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client experience, by serving as a trusted advisor who can provide innovative multiservice solutions and consistent service delivery;</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team member experience, by investing in workforce management, training, developing the next generation of ABM leaders, and building on our inclusive culture; and</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use of technology and data to power client and employee experiences with cutting-edge data and analytics, processes, and tools that will fundamentally change how we operate our business.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Macro-Economic Environment in Commercial Real Estate and Other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actively monitor the economic environment and its potential impact on demand for our services and our financial condition. Largely driven by the lingering effects of the Pandemic, especially the normalization of hybrid work, the commercial real estate industry, particularly multi -tenant and owner-occupied commercial office buildings, is experiencing an increase in vacancy rates. Given that Class A and high-quality commercial office buildings are a key end market for the Company, we expect a decline in demand for janitorial services and work orders in these markets near-term. As a result, we expect our B&amp;I industry to experience muted growth in the near-term. Longer term, we expect the vacancy rates of Class A and high-quality buildings to gradually decrease and our volume of work to stabilize</w:t>
      </w:r>
      <w:r>
        <w:rPr>
          <w:rFonts w:ascii="Arial" w:cs="Arial" w:eastAsia="Arial" w:hAnsi="Arial"/>
          <w:sz w:val="18"/>
          <w:szCs w:val="18"/>
          <w:b w:val="1"/>
          <w:bCs w:val="1"/>
          <w:color w:val="0046AD"/>
        </w:rPr>
        <w:t>.</w:t>
      </w:r>
    </w:p>
    <w:p>
      <w:pPr>
        <w:spacing w:after="0" w:line="11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 large M&amp;D client has completed rebidding and is now rebalancing a portion of its work needs as part of its normal procurement process. We expect M&amp;D’s financial results to be adversely impacted in the near-term.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Insurance</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review our self-insurance liabilities on a regular basis and adjust our accruals accordingly. Actual claims activity or development may vary from our assumptions and estimates, which may result in material losses or gains. As we obtain additional information that affects the assumptions and estimates used in our reserve liability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5" w:name="page26"/>
    <w:bookmarkEnd w:id="25"/>
    <w:p>
      <w:pPr>
        <w:jc w:val="both"/>
        <w:ind w:right="20"/>
        <w:spacing w:after="0" w:line="287" w:lineRule="auto"/>
        <w:rPr>
          <w:sz w:val="20"/>
          <w:szCs w:val="20"/>
          <w:color w:val="auto"/>
        </w:rPr>
      </w:pPr>
      <w:r>
        <w:rPr>
          <w:rFonts w:ascii="Arial" w:cs="Arial" w:eastAsia="Arial" w:hAnsi="Arial"/>
          <w:sz w:val="18"/>
          <w:szCs w:val="18"/>
          <w:color w:val="auto"/>
        </w:rPr>
        <w:t>calculations, we adjust our self-insurance rates and reserves for future periods and, if appropriate, adjust our reserves for claims incurred in prior accounting periods.</w:t>
      </w:r>
    </w:p>
    <w:p>
      <w:pPr>
        <w:spacing w:after="0" w:line="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second quarter of 2024, we performed an interim actuarial update of the majority of our casualty insurance programs that considered changes in claims development and claims payment activity for the period of November 1, 2023, through January 31, 2024 (the “Interim Update”). This Interim Update was abbreviated in nature based on actual versus expected developments during the periods analyzed and relied on the key assumptions in the Actuarial Review (most notably loss development patterns, trend assumptions, and underlying expected loss costs).</w:t>
      </w:r>
    </w:p>
    <w:p>
      <w:pPr>
        <w:spacing w:after="0" w:line="1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Based on the results of the Actuarial Review and Interim Update at April 30, 2024, we increased our total reserves related to prior years for known claims as well as our estimate of the loss amounts associated with IBNR claims by $9.7 million during the six months ended April 30, 2024. During the six months ended April 30, 2023, it was determined that there was no adjustment required for our total reserves related to prior year. We will continue to assess ongoing developments, which may result in further adjustments to reserves.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Segment Reporting</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Our current reportable segments consist of B&amp;I, M&amp;D, Education, Aviation, and Technical Solutions,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40575" cy="3549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0575" cy="3549015"/>
                    </a:xfrm>
                    <a:prstGeom prst="rect">
                      <a:avLst/>
                    </a:prstGeom>
                    <a:noFill/>
                  </pic:spPr>
                </pic:pic>
              </a:graphicData>
            </a:graphic>
          </wp:anchor>
        </w:drawing>
      </w:r>
    </w:p>
    <w:p>
      <w:pPr>
        <w:spacing w:after="0" w:line="156" w:lineRule="exact"/>
        <w:rPr>
          <w:sz w:val="20"/>
          <w:szCs w:val="20"/>
          <w:color w:val="auto"/>
        </w:rPr>
      </w:pPr>
    </w:p>
    <w:p>
      <w:pPr>
        <w:jc w:val="center"/>
        <w:ind w:left="2620"/>
        <w:spacing w:after="0"/>
        <w:rPr>
          <w:sz w:val="20"/>
          <w:szCs w:val="20"/>
          <w:color w:val="auto"/>
        </w:rPr>
      </w:pPr>
      <w:r>
        <w:rPr>
          <w:rFonts w:ascii="Arial" w:cs="Arial" w:eastAsia="Arial" w:hAnsi="Arial"/>
          <w:sz w:val="16"/>
          <w:szCs w:val="16"/>
          <w:b w:val="1"/>
          <w:bCs w:val="1"/>
          <w:color w:val="0046AD"/>
        </w:rPr>
        <w:t>REPORTABLE SEGMENTS AND DESCRIPTIONS</w:t>
      </w:r>
    </w:p>
    <w:p>
      <w:pPr>
        <w:spacing w:after="0" w:line="154" w:lineRule="exact"/>
        <w:rPr>
          <w:sz w:val="20"/>
          <w:szCs w:val="20"/>
          <w:color w:val="auto"/>
        </w:rPr>
      </w:pPr>
    </w:p>
    <w:p>
      <w:pPr>
        <w:jc w:val="both"/>
        <w:ind w:left="2660" w:right="180"/>
        <w:spacing w:after="0" w:line="222" w:lineRule="auto"/>
        <w:rPr>
          <w:sz w:val="20"/>
          <w:szCs w:val="20"/>
          <w:color w:val="auto"/>
        </w:rPr>
      </w:pPr>
      <w:r>
        <w:rPr>
          <w:rFonts w:ascii="Arial" w:cs="Arial" w:eastAsia="Arial" w:hAnsi="Arial"/>
          <w:sz w:val="16"/>
          <w:szCs w:val="16"/>
          <w:color w:val="auto"/>
        </w:rPr>
        <w:t>B&amp;I, our largest reportable segment, encompasses janitorial, facilities engineering, and parking services for commercial real estate properties (including corporate offices for high tech clients), sports and entertainment venues, and traditional hospitals and non-acute healthcare facilities. B&amp;I also provides vehicle maintenance and other services to rental car providers. We typically provide these services pursuant to monthly fixed-price, square-foot, cost-plus, and parking arrangements (i.e., management reimbursement, leased location, or allowance) that are obtained through a competitive bid process as well as pursuant to work orders.</w:t>
      </w:r>
    </w:p>
    <w:p>
      <w:pPr>
        <w:spacing w:after="0" w:line="261" w:lineRule="exact"/>
        <w:rPr>
          <w:sz w:val="20"/>
          <w:szCs w:val="20"/>
          <w:color w:val="auto"/>
        </w:rPr>
      </w:pPr>
    </w:p>
    <w:p>
      <w:pPr>
        <w:jc w:val="both"/>
        <w:ind w:left="2660" w:right="20"/>
        <w:spacing w:after="0"/>
        <w:rPr>
          <w:sz w:val="20"/>
          <w:szCs w:val="20"/>
          <w:color w:val="auto"/>
        </w:rPr>
      </w:pPr>
      <w:r>
        <w:rPr>
          <w:rFonts w:ascii="Arial" w:cs="Arial" w:eastAsia="Arial" w:hAnsi="Arial"/>
          <w:sz w:val="16"/>
          <w:szCs w:val="16"/>
          <w:color w:val="auto"/>
        </w:rPr>
        <w:t>M&amp;D provides integrated facility services, engineering, janitorial, and other specialized services to a variety of manufacturing, distribution, and data center facilities. We typically provide these services pursuant to monthly fixed-price, square-foot, and cost-plus, that are obtained through a competitive bid process as well as pursuant to work orders.</w:t>
      </w:r>
    </w:p>
    <w:p>
      <w:pPr>
        <w:spacing w:after="0" w:line="200" w:lineRule="exact"/>
        <w:rPr>
          <w:sz w:val="20"/>
          <w:szCs w:val="20"/>
          <w:color w:val="auto"/>
        </w:rPr>
      </w:pPr>
    </w:p>
    <w:p>
      <w:pPr>
        <w:spacing w:after="0" w:line="247" w:lineRule="exact"/>
        <w:rPr>
          <w:sz w:val="20"/>
          <w:szCs w:val="20"/>
          <w:color w:val="auto"/>
        </w:rPr>
      </w:pPr>
    </w:p>
    <w:p>
      <w:pPr>
        <w:jc w:val="both"/>
        <w:ind w:left="2660" w:right="20"/>
        <w:spacing w:after="0" w:line="228" w:lineRule="auto"/>
        <w:rPr>
          <w:sz w:val="20"/>
          <w:szCs w:val="20"/>
          <w:color w:val="auto"/>
        </w:rPr>
      </w:pPr>
      <w:r>
        <w:rPr>
          <w:rFonts w:ascii="Arial" w:cs="Arial" w:eastAsia="Arial" w:hAnsi="Arial"/>
          <w:sz w:val="16"/>
          <w:szCs w:val="16"/>
          <w:color w:val="auto"/>
        </w:rPr>
        <w:t>Education delivers janitorial, custodial, landscaping and grounds, facilities engineering, and parking services for public school districts, private schools, colleges, and universities. These services are typically provided pursuant to monthly fixed-price, square-foot, and cost-plus arrangements that are obtained through either a competitive bid process or re-bid upon renewal as well as pursuant to work orders.</w:t>
      </w:r>
    </w:p>
    <w:p>
      <w:pPr>
        <w:spacing w:after="0" w:line="300" w:lineRule="exact"/>
        <w:rPr>
          <w:sz w:val="20"/>
          <w:szCs w:val="20"/>
          <w:color w:val="auto"/>
        </w:rPr>
      </w:pPr>
    </w:p>
    <w:p>
      <w:pPr>
        <w:jc w:val="both"/>
        <w:ind w:left="2660" w:right="20"/>
        <w:spacing w:after="0" w:line="228" w:lineRule="auto"/>
        <w:rPr>
          <w:sz w:val="20"/>
          <w:szCs w:val="20"/>
          <w:color w:val="auto"/>
        </w:rPr>
      </w:pPr>
      <w:r>
        <w:rPr>
          <w:rFonts w:ascii="Arial" w:cs="Arial" w:eastAsia="Arial" w:hAnsi="Arial"/>
          <w:sz w:val="16"/>
          <w:szCs w:val="16"/>
          <w:color w:val="auto"/>
        </w:rPr>
        <w:t>Aviation supports airlines and airports with services ranging from parking and janitorial to passenger assistance, catering logistics, air cabin maintenance, and transportation. We typically provide services to clients in this segment under master services agreements. These agreements are typically re-bid upon renewal and are generally structured as monthly fixed-price, square-foot, cost-plus, parking, transaction-price, and hourly arrangements.</w:t>
      </w:r>
    </w:p>
    <w:p>
      <w:pPr>
        <w:spacing w:after="0" w:line="273" w:lineRule="exact"/>
        <w:rPr>
          <w:sz w:val="20"/>
          <w:szCs w:val="20"/>
          <w:color w:val="auto"/>
        </w:rPr>
      </w:pPr>
    </w:p>
    <w:p>
      <w:pPr>
        <w:jc w:val="both"/>
        <w:ind w:left="2660" w:right="20"/>
        <w:spacing w:after="0" w:line="225" w:lineRule="auto"/>
        <w:rPr>
          <w:sz w:val="20"/>
          <w:szCs w:val="20"/>
          <w:color w:val="auto"/>
        </w:rPr>
      </w:pPr>
      <w:r>
        <w:rPr>
          <w:rFonts w:ascii="Arial" w:cs="Arial" w:eastAsia="Arial" w:hAnsi="Arial"/>
          <w:sz w:val="16"/>
          <w:szCs w:val="16"/>
          <w:color w:val="auto"/>
        </w:rPr>
        <w:t>Technical Solutions specializes in facility infrastructure, mechanical and electrical services, including EV power design, installation and maintenance, as well as microgrid systems design and installation. These services can also be leveraged for cross-selling across all of our industry groups, both domestically and internationally. Contracts for this segment are generally structured as electrical contracting services for energy related products such as the installation of solar solutions, battery storage, distributed generation, and other specialized electric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0046AD"/>
        </w:rPr>
        <w:t>Key Financial Highlights</w:t>
      </w:r>
    </w:p>
    <w:p>
      <w:pPr>
        <w:spacing w:after="0" w:line="171" w:lineRule="exact"/>
        <w:rPr>
          <w:sz w:val="20"/>
          <w:szCs w:val="20"/>
          <w:color w:val="auto"/>
        </w:rPr>
      </w:pPr>
    </w:p>
    <w:p>
      <w:pPr>
        <w:ind w:left="660" w:right="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Revenues increased by $34.2 million, or 1.7%, to $2,018.2 million during the three months ended April 30, 2024, as compared to the prior year period. The increase was due to the net new business and expansion of business with existing customers within Aviation, M&amp;D, and Education and timing of completions of certain energy solutions projects, including microgrid systems and generator installations within Technical Solutions. The increase in revenues was partially offset by soft commercial office market conditions within B&amp;I.</w:t>
      </w:r>
    </w:p>
    <w:p>
      <w:pPr>
        <w:spacing w:after="0" w:line="1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had a decrease in operating profit of $11.4 million, to $81.3 million during the three months ended April 30, 2024, as compared to the prior year period. The decrease was primarily attributed to:</w:t>
      </w:r>
    </w:p>
    <w:p>
      <w:pPr>
        <w:spacing w:after="0" w:line="98" w:lineRule="exact"/>
        <w:rPr>
          <w:rFonts w:ascii="Arial" w:cs="Arial" w:eastAsia="Arial" w:hAnsi="Arial"/>
          <w:sz w:val="18"/>
          <w:szCs w:val="18"/>
          <w:color w:val="auto"/>
        </w:rPr>
      </w:pPr>
    </w:p>
    <w:p>
      <w:pPr>
        <w:ind w:left="1300" w:hanging="320"/>
        <w:spacing w:after="0" w:line="287" w:lineRule="auto"/>
        <w:tabs>
          <w:tab w:leader="none" w:pos="1320" w:val="left"/>
        </w:tabs>
        <w:numPr>
          <w:ilvl w:val="1"/>
          <w:numId w:val="16"/>
        </w:numPr>
        <w:rPr>
          <w:rFonts w:ascii="Arial" w:cs="Arial" w:eastAsia="Arial" w:hAnsi="Arial"/>
          <w:sz w:val="9"/>
          <w:szCs w:val="9"/>
          <w:b w:val="1"/>
          <w:bCs w:val="1"/>
          <w:i w:val="1"/>
          <w:iCs w:val="1"/>
          <w:color w:val="0046AD"/>
        </w:rPr>
      </w:pPr>
      <w:r>
        <w:rPr>
          <w:rFonts w:ascii="Arial" w:cs="Arial" w:eastAsia="Arial" w:hAnsi="Arial"/>
          <w:sz w:val="18"/>
          <w:szCs w:val="18"/>
          <w:color w:val="auto"/>
        </w:rPr>
        <w:t>the $12.6 million in revenue recognized for the Aviation parking project during the three months ended April 30, 2023, whereby all the direct labor and related costs were recognized prior to January 31, 2023;</w:t>
      </w:r>
    </w:p>
    <w:p>
      <w:pPr>
        <w:spacing w:after="0" w:line="98" w:lineRule="exact"/>
        <w:rPr>
          <w:rFonts w:ascii="Arial" w:cs="Arial" w:eastAsia="Arial" w:hAnsi="Arial"/>
          <w:sz w:val="9"/>
          <w:szCs w:val="9"/>
          <w:b w:val="1"/>
          <w:bCs w:val="1"/>
          <w:i w:val="1"/>
          <w:iCs w:val="1"/>
          <w:color w:val="0046AD"/>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 absence of a fair value adjustment to decrease the contingent consideration related to the RavenVolt Acquisition; and</w:t>
      </w:r>
    </w:p>
    <w:p>
      <w:pPr>
        <w:spacing w:after="0" w:line="171" w:lineRule="exact"/>
        <w:rPr>
          <w:rFonts w:ascii="Arial" w:cs="Arial" w:eastAsia="Arial" w:hAnsi="Arial"/>
          <w:sz w:val="18"/>
          <w:szCs w:val="18"/>
          <w:color w:val="auto"/>
        </w:rPr>
      </w:pPr>
    </w:p>
    <w:p>
      <w:pPr>
        <w:ind w:left="1300" w:hanging="320"/>
        <w:spacing w:after="0" w:line="287" w:lineRule="auto"/>
        <w:tabs>
          <w:tab w:leader="none" w:pos="13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 unfavorable self-insurance reserve adjustment related to prior year claims from actuarial evaluations completed in the three months ended April 30, 2024.</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was partially offset by:</w:t>
      </w:r>
    </w:p>
    <w:p>
      <w:pPr>
        <w:spacing w:after="0" w:line="171" w:lineRule="exact"/>
        <w:rPr>
          <w:sz w:val="20"/>
          <w:szCs w:val="20"/>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labor efficiencies across most of our industry groups, as well as contract mix within M&amp;D and Technical Solutions;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decrease in amortization of intangibles related to the RavenVolt Acquisition.</w:t>
      </w:r>
    </w:p>
    <w:p>
      <w:pPr>
        <w:spacing w:after="0" w:line="171"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cash provided by operating activities was $116.9 million during the six months ended April 30, 2024. Our total net cash provided by operating cash flows was higher compared to the prior year period, primarily due to the timing of working capital requirements, including customer payments and absence of a $66.0 million payment of previously deferred payroll taxes made during the three months ended January 31, 2023.</w:t>
      </w:r>
    </w:p>
    <w:p>
      <w:pPr>
        <w:spacing w:after="0" w:line="12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Dividends of $28.3 million were paid to shareholders, and dividends totaling $0.45 per common share were declared during the six months ended April 30, 2024.</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April 30, 2024, total outstanding borrowings under our Amended Credit Facility were $1.3 billion. At April 30, 2024, we had up to $501.1 million of borrowing capacity.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3" w:lineRule="exact"/>
        <w:rPr>
          <w:sz w:val="20"/>
          <w:szCs w:val="20"/>
          <w:color w:val="auto"/>
        </w:rPr>
      </w:pPr>
    </w:p>
    <w:p>
      <w:pPr>
        <w:ind w:right="3480"/>
        <w:spacing w:after="0" w:line="463" w:lineRule="auto"/>
        <w:rPr>
          <w:sz w:val="20"/>
          <w:szCs w:val="20"/>
          <w:color w:val="auto"/>
        </w:rPr>
      </w:pPr>
      <w:r>
        <w:rPr>
          <w:rFonts w:ascii="Arial" w:cs="Arial" w:eastAsia="Arial" w:hAnsi="Arial"/>
          <w:sz w:val="18"/>
          <w:szCs w:val="18"/>
          <w:b w:val="1"/>
          <w:bCs w:val="1"/>
          <w:i w:val="1"/>
          <w:iCs w:val="1"/>
          <w:color w:val="0046AD"/>
        </w:rPr>
        <w:t>Three Months Ended April 30, 2024, Compared with the Three Months Ended April 30, 2023 Consolidated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April 30,</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3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580"/>
              <w:spacing w:after="0" w:line="169"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60"/>
              <w:spacing w:after="0" w:line="169"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2"/>
          </w:tcPr>
          <w:p>
            <w:pPr>
              <w:jc w:val="right"/>
              <w:ind w:right="339"/>
              <w:spacing w:after="0" w:line="169" w:lineRule="exact"/>
              <w:rPr>
                <w:sz w:val="20"/>
                <w:szCs w:val="20"/>
                <w:color w:val="auto"/>
              </w:rPr>
            </w:pPr>
            <w:r>
              <w:rPr>
                <w:rFonts w:ascii="Arial" w:cs="Arial" w:eastAsia="Arial" w:hAnsi="Arial"/>
                <w:sz w:val="16"/>
                <w:szCs w:val="16"/>
                <w:b w:val="1"/>
                <w:bCs w:val="1"/>
                <w:color w:val="auto"/>
              </w:rPr>
              <w:t>Increase / (Decrease)</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2480" w:type="dxa"/>
            <w:vAlign w:val="bottom"/>
            <w:tcBorders>
              <w:top w:val="single" w:sz="8" w:color="auto"/>
              <w:bottom w:val="single" w:sz="8" w:color="DCE2EF"/>
            </w:tcBorders>
          </w:tcPr>
          <w:p>
            <w:pPr>
              <w:spacing w:after="0" w:line="20" w:lineRule="exact"/>
              <w:rPr>
                <w:sz w:val="1"/>
                <w:szCs w:val="1"/>
                <w:color w:val="auto"/>
              </w:rPr>
            </w:pPr>
          </w:p>
        </w:tc>
        <w:tc>
          <w:tcPr>
            <w:tcW w:w="274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DCE2E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2,018.2</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1,984.0</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34.2</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1.7%</w:t>
            </w:r>
          </w:p>
        </w:tc>
      </w:tr>
      <w:tr>
        <w:trPr>
          <w:trHeight w:val="215"/>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1,763.5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1,715.2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48.3</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2.8%</w:t>
            </w:r>
          </w:p>
        </w:tc>
      </w:tr>
      <w:tr>
        <w:trPr>
          <w:trHeight w:val="217"/>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ind w:left="120"/>
              <w:spacing w:after="0"/>
              <w:rPr>
                <w:sz w:val="20"/>
                <w:szCs w:val="20"/>
                <w:color w:val="auto"/>
              </w:rPr>
            </w:pPr>
            <w:r>
              <w:rPr>
                <w:rFonts w:ascii="Arial" w:cs="Arial" w:eastAsia="Arial" w:hAnsi="Arial"/>
                <w:sz w:val="16"/>
                <w:szCs w:val="16"/>
                <w:i w:val="1"/>
                <w:iCs w:val="1"/>
                <w:color w:val="auto"/>
              </w:rPr>
              <w:t>Gross margin</w:t>
            </w:r>
          </w:p>
        </w:tc>
        <w:tc>
          <w:tcPr>
            <w:tcW w:w="34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12.6 %</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13.6 %</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(93) bps</w:t>
            </w:r>
          </w:p>
        </w:tc>
        <w:tc>
          <w:tcPr>
            <w:tcW w:w="1280" w:type="dxa"/>
            <w:vAlign w:val="bottom"/>
            <w:shd w:val="clear" w:color="auto" w:fill="DCE2E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156.6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2.1%</w:t>
            </w:r>
          </w:p>
        </w:tc>
      </w:tr>
      <w:tr>
        <w:trPr>
          <w:trHeight w:val="217"/>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8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DCE2EF"/>
          </w:tcPr>
          <w:p>
            <w:pPr>
              <w:spacing w:after="0"/>
              <w:rPr>
                <w:sz w:val="18"/>
                <w:szCs w:val="18"/>
                <w:color w:val="auto"/>
              </w:rPr>
            </w:pPr>
          </w:p>
        </w:tc>
        <w:tc>
          <w:tcPr>
            <w:tcW w:w="280" w:type="dxa"/>
            <w:vAlign w:val="bottom"/>
            <w:tcBorders>
              <w:bottom w:val="single" w:sz="8" w:color="auto"/>
            </w:tcBorders>
            <w:shd w:val="clear" w:color="auto" w:fill="DCE2EF"/>
          </w:tcPr>
          <w:p>
            <w:pPr>
              <w:spacing w:after="0"/>
              <w:rPr>
                <w:sz w:val="18"/>
                <w:szCs w:val="18"/>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(5.9)</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(30.5)%</w:t>
            </w:r>
          </w:p>
        </w:tc>
      </w:tr>
      <w:tr>
        <w:trPr>
          <w:trHeight w:val="209"/>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Operating profit</w:t>
            </w:r>
          </w:p>
        </w:tc>
        <w:tc>
          <w:tcPr>
            <w:tcW w:w="34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(12.3)%</w:t>
            </w:r>
          </w:p>
        </w:tc>
      </w:tr>
      <w:tr>
        <w:trPr>
          <w:trHeight w:val="216"/>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from unconsolidated affiliates</w:t>
            </w:r>
          </w:p>
        </w:tc>
        <w:tc>
          <w:tcPr>
            <w:tcW w:w="340" w:type="dxa"/>
            <w:vAlign w:val="bottom"/>
            <w:shd w:val="clear" w:color="auto" w:fill="DCE2EF"/>
          </w:tcPr>
          <w:p>
            <w:pPr>
              <w:spacing w:after="0"/>
              <w:rPr>
                <w:sz w:val="18"/>
                <w:szCs w:val="18"/>
                <w:color w:val="auto"/>
              </w:rPr>
            </w:pPr>
          </w:p>
        </w:tc>
        <w:tc>
          <w:tcPr>
            <w:tcW w:w="132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8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0.6</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w:t>
            </w:r>
          </w:p>
        </w:tc>
        <w:tc>
          <w:tcPr>
            <w:tcW w:w="1280" w:type="dxa"/>
            <w:vAlign w:val="bottom"/>
            <w:shd w:val="clear" w:color="auto" w:fill="DCE2EF"/>
          </w:tcPr>
          <w:p>
            <w:pPr>
              <w:jc w:val="right"/>
              <w:ind w:right="339"/>
              <w:spacing w:after="0"/>
              <w:rPr>
                <w:sz w:val="20"/>
                <w:szCs w:val="20"/>
                <w:color w:val="auto"/>
              </w:rPr>
            </w:pPr>
            <w:r>
              <w:rPr>
                <w:rFonts w:ascii="Arial" w:cs="Arial" w:eastAsia="Arial" w:hAnsi="Arial"/>
                <w:sz w:val="16"/>
                <w:szCs w:val="16"/>
                <w:color w:val="auto"/>
              </w:rPr>
              <w:t>NM*</w:t>
            </w:r>
          </w:p>
        </w:tc>
      </w:tr>
      <w:tr>
        <w:trPr>
          <w:trHeight w:val="215"/>
        </w:trPr>
        <w:tc>
          <w:tcPr>
            <w:tcW w:w="20" w:type="dxa"/>
            <w:vAlign w:val="bottom"/>
            <w:tcBorders>
              <w:bottom w:val="single" w:sz="8" w:color="DCE2EF"/>
            </w:tcBorders>
          </w:tcPr>
          <w:p>
            <w:pPr>
              <w:spacing w:after="0"/>
              <w:rPr>
                <w:sz w:val="18"/>
                <w:szCs w:val="18"/>
                <w:color w:val="auto"/>
              </w:rPr>
            </w:pPr>
          </w:p>
        </w:tc>
        <w:tc>
          <w:tcPr>
            <w:tcW w:w="522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DCE2E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rPr>
              <w:t>2.2%</w:t>
            </w:r>
          </w:p>
        </w:tc>
      </w:tr>
      <w:tr>
        <w:trPr>
          <w:trHeight w:val="210"/>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DCE2EF"/>
          </w:tcPr>
          <w:p>
            <w:pPr>
              <w:spacing w:after="0"/>
              <w:rPr>
                <w:sz w:val="18"/>
                <w:szCs w:val="18"/>
                <w:color w:val="auto"/>
              </w:rPr>
            </w:pPr>
          </w:p>
        </w:tc>
        <w:tc>
          <w:tcPr>
            <w:tcW w:w="132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8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(9.9)</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(13.7)%</w:t>
            </w:r>
          </w:p>
        </w:tc>
      </w:tr>
      <w:tr>
        <w:trPr>
          <w:trHeight w:val="215"/>
        </w:trPr>
        <w:tc>
          <w:tcPr>
            <w:tcW w:w="20" w:type="dxa"/>
            <w:vAlign w:val="bottom"/>
            <w:tcBorders>
              <w:bottom w:val="single" w:sz="8" w:color="DCE2EF"/>
            </w:tcBorders>
          </w:tcPr>
          <w:p>
            <w:pPr>
              <w:spacing w:after="0"/>
              <w:rPr>
                <w:sz w:val="18"/>
                <w:szCs w:val="18"/>
                <w:color w:val="auto"/>
              </w:rPr>
            </w:pPr>
          </w:p>
        </w:tc>
        <w:tc>
          <w:tcPr>
            <w:tcW w:w="522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Income tax provision</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DCE2E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rPr>
              <w:t>8.3%</w:t>
            </w:r>
          </w:p>
        </w:tc>
      </w:tr>
      <w:tr>
        <w:trPr>
          <w:trHeight w:val="210"/>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8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DCE2EF"/>
          </w:tcPr>
          <w:p>
            <w:pPr>
              <w:spacing w:after="0"/>
              <w:rPr>
                <w:sz w:val="18"/>
                <w:szCs w:val="18"/>
                <w:color w:val="auto"/>
              </w:rPr>
            </w:pPr>
          </w:p>
        </w:tc>
        <w:tc>
          <w:tcPr>
            <w:tcW w:w="280" w:type="dxa"/>
            <w:vAlign w:val="bottom"/>
            <w:tcBorders>
              <w:bottom w:val="single" w:sz="8" w:color="auto"/>
            </w:tcBorders>
            <w:shd w:val="clear" w:color="auto" w:fill="DCE2EF"/>
          </w:tcPr>
          <w:p>
            <w:pPr>
              <w:spacing w:after="0"/>
              <w:rPr>
                <w:sz w:val="18"/>
                <w:szCs w:val="18"/>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(8.1)</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(15.7)%</w:t>
            </w:r>
          </w:p>
        </w:tc>
      </w:tr>
      <w:tr>
        <w:trPr>
          <w:trHeight w:val="195"/>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Other comprehensive income</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7"/>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Interest rate swaps</w:t>
            </w:r>
          </w:p>
        </w:tc>
        <w:tc>
          <w:tcPr>
            <w:tcW w:w="340" w:type="dxa"/>
            <w:vAlign w:val="bottom"/>
            <w:shd w:val="clear" w:color="auto" w:fill="DCE2EF"/>
          </w:tcPr>
          <w:p>
            <w:pPr>
              <w:spacing w:after="0"/>
              <w:rPr>
                <w:sz w:val="18"/>
                <w:szCs w:val="18"/>
                <w:color w:val="auto"/>
              </w:rPr>
            </w:pPr>
          </w:p>
        </w:tc>
        <w:tc>
          <w:tcPr>
            <w:tcW w:w="132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8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12.8</w:t>
            </w:r>
          </w:p>
        </w:tc>
        <w:tc>
          <w:tcPr>
            <w:tcW w:w="1280" w:type="dxa"/>
            <w:vAlign w:val="bottom"/>
            <w:shd w:val="clear" w:color="auto" w:fill="DCE2EF"/>
          </w:tcPr>
          <w:p>
            <w:pPr>
              <w:jc w:val="right"/>
              <w:ind w:right="339"/>
              <w:spacing w:after="0"/>
              <w:rPr>
                <w:sz w:val="20"/>
                <w:szCs w:val="20"/>
                <w:color w:val="auto"/>
              </w:rPr>
            </w:pPr>
            <w:r>
              <w:rPr>
                <w:rFonts w:ascii="Arial" w:cs="Arial" w:eastAsia="Arial" w:hAnsi="Arial"/>
                <w:sz w:val="16"/>
                <w:szCs w:val="16"/>
                <w:color w:val="auto"/>
              </w:rPr>
              <w:t>NM*</w:t>
            </w:r>
          </w:p>
        </w:tc>
      </w:tr>
      <w:tr>
        <w:trPr>
          <w:trHeight w:val="215"/>
        </w:trPr>
        <w:tc>
          <w:tcPr>
            <w:tcW w:w="20" w:type="dxa"/>
            <w:vAlign w:val="bottom"/>
          </w:tcPr>
          <w:p>
            <w:pPr>
              <w:spacing w:after="0"/>
              <w:rPr>
                <w:sz w:val="18"/>
                <w:szCs w:val="18"/>
                <w:color w:val="auto"/>
              </w:rPr>
            </w:pPr>
          </w:p>
        </w:tc>
        <w:tc>
          <w:tcPr>
            <w:tcW w:w="5220" w:type="dxa"/>
            <w:vAlign w:val="bottom"/>
            <w:gridSpan w:val="2"/>
          </w:tcPr>
          <w:p>
            <w:pPr>
              <w:ind w:left="340"/>
              <w:spacing w:after="0"/>
              <w:rPr>
                <w:sz w:val="20"/>
                <w:szCs w:val="20"/>
                <w:color w:val="auto"/>
              </w:rPr>
            </w:pPr>
            <w:r>
              <w:rPr>
                <w:rFonts w:ascii="Arial" w:cs="Arial" w:eastAsia="Arial" w:hAnsi="Arial"/>
                <w:sz w:val="16"/>
                <w:szCs w:val="16"/>
                <w:color w:val="auto"/>
              </w:rPr>
              <w:t>Foreign currency translation and other</w:t>
            </w:r>
          </w:p>
        </w:tc>
        <w:tc>
          <w:tcPr>
            <w:tcW w:w="340" w:type="dxa"/>
            <w:vAlign w:val="bottom"/>
          </w:tcPr>
          <w:p>
            <w:pPr>
              <w:spacing w:after="0"/>
              <w:rPr>
                <w:sz w:val="18"/>
                <w:szCs w:val="18"/>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NM*</w:t>
            </w:r>
          </w:p>
        </w:tc>
      </w:tr>
      <w:tr>
        <w:trPr>
          <w:trHeight w:val="216"/>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Income tax (provision) benefit</w:t>
            </w:r>
          </w:p>
        </w:tc>
        <w:tc>
          <w:tcPr>
            <w:tcW w:w="34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ind w:right="8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8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0.7</w:t>
            </w:r>
          </w:p>
        </w:tc>
        <w:tc>
          <w:tcPr>
            <w:tcW w:w="100" w:type="dxa"/>
            <w:vAlign w:val="bottom"/>
            <w:shd w:val="clear" w:color="auto" w:fill="DCE2EF"/>
          </w:tcPr>
          <w:p>
            <w:pPr>
              <w:spacing w:after="0"/>
              <w:rPr>
                <w:sz w:val="18"/>
                <w:szCs w:val="18"/>
                <w:color w:val="auto"/>
              </w:rPr>
            </w:pPr>
          </w:p>
        </w:tc>
        <w:tc>
          <w:tcPr>
            <w:tcW w:w="280" w:type="dxa"/>
            <w:vAlign w:val="bottom"/>
            <w:tcBorders>
              <w:bottom w:val="single" w:sz="8" w:color="auto"/>
            </w:tcBorders>
            <w:shd w:val="clear" w:color="auto" w:fill="DCE2EF"/>
          </w:tcPr>
          <w:p>
            <w:pPr>
              <w:spacing w:after="0"/>
              <w:rPr>
                <w:sz w:val="18"/>
                <w:szCs w:val="18"/>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(3.4)</w:t>
            </w:r>
          </w:p>
        </w:tc>
        <w:tc>
          <w:tcPr>
            <w:tcW w:w="1280" w:type="dxa"/>
            <w:vAlign w:val="bottom"/>
            <w:shd w:val="clear" w:color="auto" w:fill="DCE2EF"/>
          </w:tcPr>
          <w:p>
            <w:pPr>
              <w:jc w:val="right"/>
              <w:ind w:right="339"/>
              <w:spacing w:after="0"/>
              <w:rPr>
                <w:sz w:val="20"/>
                <w:szCs w:val="20"/>
                <w:color w:val="auto"/>
              </w:rPr>
            </w:pPr>
            <w:r>
              <w:rPr>
                <w:rFonts w:ascii="Arial" w:cs="Arial" w:eastAsia="Arial" w:hAnsi="Arial"/>
                <w:sz w:val="16"/>
                <w:szCs w:val="16"/>
                <w:color w:val="auto"/>
              </w:rPr>
              <w:t>NM*</w:t>
            </w:r>
          </w:p>
        </w:tc>
      </w:tr>
      <w:tr>
        <w:trPr>
          <w:trHeight w:val="210"/>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Comprehensive income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80" w:type="dxa"/>
            <w:vAlign w:val="bottom"/>
          </w:tcPr>
          <w:p>
            <w:pPr>
              <w:jc w:val="center"/>
              <w:ind w:left="39"/>
              <w:spacing w:after="0"/>
              <w:rPr>
                <w:sz w:val="20"/>
                <w:szCs w:val="20"/>
                <w:color w:val="auto"/>
              </w:rPr>
            </w:pPr>
            <w:r>
              <w:rPr>
                <w:rFonts w:ascii="Arial" w:cs="Arial" w:eastAsia="Arial" w:hAnsi="Arial"/>
                <w:sz w:val="16"/>
                <w:szCs w:val="16"/>
                <w:color w:val="auto"/>
              </w:rPr>
              <w:t>(5.2)%</w:t>
            </w: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Revenues increased by $34.2 million, or 1.7%, to $2,018.2 million during the three months ended April 30, 2024, as compared to the prior year period. The increase was due to the net new business and expansion of business with existing customers within Aviation, M&amp;D, and Education and timing of completions of certain energy solutions projects, including microgrid systems and generator installations within Technical Solutions. The increase in revenues was partially offset by soft commercial office market conditions within B&amp;I.</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Operating expenses increased by $48.3 million, or 2.8%, to $1,763.5 million during the three months ended April 30, 2024, as compared to the prior year period. Gross margin decreased by 93 bps to 12.6% in the three months ended April 30, 2024, from 13.6% in the prior year period. The decrease in gross margin was primarily driven by $ 12.6 million in revenue recognized for the Aviation parking project during the three months ended April 30, 2023, whereby all the direct labor and related costs were recognized prior to January 31, 2023, and a $4.3 million unfavorable self-insurance reserve adjustment related to prior year claims from actuarial evaluations completed in the three months ended April 30, 2024, partially offset by labor efficiencies across most of our industry groups and the contract mix within M&amp;D and Technical Solutions.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Selling, general and administrative expenses increased by $3.3 million to $159.9 million during the three months ended April 30, 2024, as compared to the prior year period. The increase in selling, general and administrative expenses was primarily attributable to:</w:t>
      </w:r>
    </w:p>
    <w:p>
      <w:pPr>
        <w:spacing w:after="0" w:line="99" w:lineRule="exact"/>
        <w:rPr>
          <w:sz w:val="20"/>
          <w:szCs w:val="20"/>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absence of an $8.4 million fair value adjustment to decrease the contingent consideration related to the RavenVolt Acquisition;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$5.8 million increase in costs associated with the systems’ go-live.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 $3.7 million decrease in certain discrete transformational costs under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for developing the new ERP system, client-facing technology, workforce management tools, and data analytics;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absence of a $3.5 million unfavorable medical and dental self-insurance adjustment related to prior year claims as the result of actuarial evaluations completed in the three months ended April 30, 2023; and</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$2.8 million decrease in compensation and related expenses primarily due to headcount reduction at the end of October 2023, partially offset by an increase in compensation under certain incentive plans.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Amortization of Intangible Assets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Amortization of intangible assets decreased by $ 5.9 million, or 30.5%, to $13.6 million during the three months ended April 30, 2024, as compared to the prior year period. The decrease was primarily due to the lower amortization of intangibles, primarily intangibles acquired as part of the RavenVolt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Expense</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Interest expense decreased by $0.5 million to $20.6 million during the three months ended April 30, 2024, as compared to the prior year period, and was driven by lower borrowings from our Amended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 from Operations</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Our effective tax rates from income on operations for the three months ended April 30, 2024, and April 30, 2023, were 29.9% and 28.2%, respectively, resulting in provisions for taxes of $18.7 million and $20.4 million, respectively.</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effective tax rates for the three months ended April 30, 2024, and April 30, 2023, were not impacted by any significant discrete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items.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Rate Swaps</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had a gain of $10.3 million on interest rate swaps during the three months ended April 30, 2024, as compared to a loss of $2.5 million during the three months ended April 30, 2023, primarily due to underlying changes in the fair value of our interest rate swaps.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had a foreign currency translation loss of $1.7 million during the three months ended April 30, 2024, as compared to a foreign currency translation gain of $2.3 million during the three months ended April 30, 2023. This change was due to fluctuations in the exchange rate between the U.S. dollar (“USD”) and the British pound sterling (“GBP”). Future gains and losses on foreign currency translation will be dependent upon changes in the relative value of foreign currencies to the USD and the extent of our foreign assets and liabilities.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6"/>
                <w:szCs w:val="16"/>
                <w:b w:val="1"/>
                <w:bCs w:val="1"/>
                <w:color w:val="auto"/>
              </w:rPr>
              <w:t>Three Months Ended April 30,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8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581"/>
              <w:spacing w:after="0" w:line="169"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2"/>
          </w:tcPr>
          <w:p>
            <w:pPr>
              <w:jc w:val="right"/>
              <w:ind w:right="559"/>
              <w:spacing w:after="0" w:line="169" w:lineRule="exact"/>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2"/>
          </w:tcPr>
          <w:p>
            <w:pPr>
              <w:jc w:val="right"/>
              <w:ind w:right="339"/>
              <w:spacing w:after="0" w:line="169" w:lineRule="exact"/>
              <w:rPr>
                <w:sz w:val="20"/>
                <w:szCs w:val="20"/>
                <w:color w:val="auto"/>
              </w:rPr>
            </w:pPr>
            <w:r>
              <w:rPr>
                <w:rFonts w:ascii="Arial" w:cs="Arial" w:eastAsia="Arial" w:hAnsi="Arial"/>
                <w:sz w:val="16"/>
                <w:szCs w:val="16"/>
                <w:b w:val="1"/>
                <w:bCs w:val="1"/>
                <w:color w:val="auto"/>
              </w:rPr>
              <w:t>Increase / (Decrease)</w:t>
            </w: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40" w:type="dxa"/>
            <w:vAlign w:val="bottom"/>
            <w:tcBorders>
              <w:top w:val="single" w:sz="8" w:color="auto"/>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96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DCE2EF"/>
            </w:tcBorders>
          </w:tcPr>
          <w:p>
            <w:pPr>
              <w:spacing w:after="0" w:line="20" w:lineRule="exact"/>
              <w:rPr>
                <w:sz w:val="1"/>
                <w:szCs w:val="1"/>
                <w:color w:val="auto"/>
              </w:rPr>
            </w:pPr>
          </w:p>
        </w:tc>
        <w:tc>
          <w:tcPr>
            <w:tcW w:w="98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DCE2EF"/>
          </w:tcPr>
          <w:p>
            <w:pPr>
              <w:spacing w:after="0"/>
              <w:rPr>
                <w:sz w:val="17"/>
                <w:szCs w:val="17"/>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420" w:type="dxa"/>
            <w:vAlign w:val="bottom"/>
            <w:shd w:val="clear" w:color="auto" w:fill="DCE2EF"/>
          </w:tcPr>
          <w:p>
            <w:pPr>
              <w:spacing w:after="0"/>
              <w:rPr>
                <w:sz w:val="17"/>
                <w:szCs w:val="17"/>
                <w:color w:val="auto"/>
              </w:rPr>
            </w:pPr>
          </w:p>
        </w:tc>
        <w:tc>
          <w:tcPr>
            <w:tcW w:w="980" w:type="dxa"/>
            <w:vAlign w:val="bottom"/>
            <w:shd w:val="clear" w:color="auto" w:fill="DCE2EF"/>
          </w:tcPr>
          <w:p>
            <w:pPr>
              <w:spacing w:after="0"/>
              <w:rPr>
                <w:sz w:val="17"/>
                <w:szCs w:val="17"/>
                <w:color w:val="auto"/>
              </w:rPr>
            </w:pPr>
          </w:p>
        </w:tc>
        <w:tc>
          <w:tcPr>
            <w:tcW w:w="4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1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6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96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12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6"/>
                <w:szCs w:val="16"/>
                <w:color w:val="auto"/>
              </w:rPr>
              <w:t>Business &amp; Industry</w:t>
            </w:r>
          </w:p>
        </w:tc>
        <w:tc>
          <w:tcPr>
            <w:tcW w:w="420" w:type="dxa"/>
            <w:vAlign w:val="bottom"/>
          </w:tcPr>
          <w:p>
            <w:pPr>
              <w:spacing w:after="0"/>
              <w:rPr>
                <w:sz w:val="18"/>
                <w:szCs w:val="18"/>
                <w:color w:val="auto"/>
              </w:rPr>
            </w:pPr>
          </w:p>
        </w:tc>
        <w:tc>
          <w:tcPr>
            <w:tcW w:w="142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989.6</w:t>
            </w:r>
          </w:p>
        </w:tc>
        <w:tc>
          <w:tcPr>
            <w:tcW w:w="700" w:type="dxa"/>
            <w:vAlign w:val="bottom"/>
            <w:gridSpan w:val="2"/>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99"/>
              <w:spacing w:after="0"/>
              <w:rPr>
                <w:sz w:val="20"/>
                <w:szCs w:val="20"/>
                <w:color w:val="auto"/>
              </w:rPr>
            </w:pPr>
            <w:r>
              <w:rPr>
                <w:rFonts w:ascii="Arial" w:cs="Arial" w:eastAsia="Arial" w:hAnsi="Arial"/>
                <w:sz w:val="16"/>
                <w:szCs w:val="16"/>
                <w:color w:val="auto"/>
              </w:rPr>
              <w:t>998.5</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(8.9)</w:t>
            </w:r>
          </w:p>
        </w:tc>
        <w:tc>
          <w:tcPr>
            <w:tcW w:w="1280" w:type="dxa"/>
            <w:vAlign w:val="bottom"/>
          </w:tcPr>
          <w:p>
            <w:pPr>
              <w:jc w:val="center"/>
              <w:ind w:left="3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Manufacturing &amp; Distribution</w:t>
            </w:r>
          </w:p>
        </w:tc>
        <w:tc>
          <w:tcPr>
            <w:tcW w:w="420" w:type="dxa"/>
            <w:vAlign w:val="bottom"/>
            <w:shd w:val="clear" w:color="auto" w:fill="DCE2EF"/>
          </w:tcPr>
          <w:p>
            <w:pPr>
              <w:spacing w:after="0"/>
              <w:rPr>
                <w:sz w:val="18"/>
                <w:szCs w:val="18"/>
                <w:color w:val="auto"/>
              </w:rPr>
            </w:pPr>
          </w:p>
        </w:tc>
        <w:tc>
          <w:tcPr>
            <w:tcW w:w="980" w:type="dxa"/>
            <w:vAlign w:val="bottom"/>
            <w:shd w:val="clear" w:color="auto" w:fill="DCE2EF"/>
          </w:tcPr>
          <w:p>
            <w:pPr>
              <w:spacing w:after="0"/>
              <w:rPr>
                <w:sz w:val="18"/>
                <w:szCs w:val="18"/>
                <w:color w:val="auto"/>
              </w:rPr>
            </w:pPr>
          </w:p>
        </w:tc>
        <w:tc>
          <w:tcPr>
            <w:tcW w:w="4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388.6</w:t>
            </w:r>
          </w:p>
        </w:tc>
        <w:tc>
          <w:tcPr>
            <w:tcW w:w="100" w:type="dxa"/>
            <w:vAlign w:val="bottom"/>
            <w:shd w:val="clear" w:color="auto" w:fill="DCE2EF"/>
          </w:tcPr>
          <w:p>
            <w:pPr>
              <w:spacing w:after="0"/>
              <w:rPr>
                <w:sz w:val="18"/>
                <w:szCs w:val="18"/>
                <w:color w:val="auto"/>
              </w:rPr>
            </w:pPr>
          </w:p>
        </w:tc>
        <w:tc>
          <w:tcPr>
            <w:tcW w:w="60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99"/>
              <w:spacing w:after="0"/>
              <w:rPr>
                <w:sz w:val="20"/>
                <w:szCs w:val="20"/>
                <w:color w:val="auto"/>
              </w:rPr>
            </w:pPr>
            <w:r>
              <w:rPr>
                <w:rFonts w:ascii="Arial" w:cs="Arial" w:eastAsia="Arial" w:hAnsi="Arial"/>
                <w:sz w:val="16"/>
                <w:szCs w:val="16"/>
                <w:color w:val="auto"/>
              </w:rPr>
              <w:t>373.2</w:t>
            </w: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15.4</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6"/>
                <w:szCs w:val="16"/>
                <w:color w:val="auto"/>
              </w:rPr>
              <w:t>Education</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225.6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99"/>
              <w:spacing w:after="0"/>
              <w:rPr>
                <w:sz w:val="20"/>
                <w:szCs w:val="20"/>
                <w:color w:val="auto"/>
              </w:rPr>
            </w:pPr>
            <w:r>
              <w:rPr>
                <w:rFonts w:ascii="Arial" w:cs="Arial" w:eastAsia="Arial" w:hAnsi="Arial"/>
                <w:sz w:val="16"/>
                <w:szCs w:val="16"/>
                <w:color w:val="auto"/>
              </w:rPr>
              <w:t>216.7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8.9</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DCE2EF"/>
          </w:tcPr>
          <w:p>
            <w:pPr>
              <w:spacing w:after="0"/>
              <w:rPr>
                <w:sz w:val="18"/>
                <w:szCs w:val="18"/>
                <w:color w:val="auto"/>
              </w:rPr>
            </w:pPr>
          </w:p>
        </w:tc>
        <w:tc>
          <w:tcPr>
            <w:tcW w:w="980" w:type="dxa"/>
            <w:vAlign w:val="bottom"/>
            <w:shd w:val="clear" w:color="auto" w:fill="DCE2EF"/>
          </w:tcPr>
          <w:p>
            <w:pPr>
              <w:spacing w:after="0"/>
              <w:rPr>
                <w:sz w:val="18"/>
                <w:szCs w:val="18"/>
                <w:color w:val="auto"/>
              </w:rPr>
            </w:pPr>
          </w:p>
        </w:tc>
        <w:tc>
          <w:tcPr>
            <w:tcW w:w="4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238.2</w:t>
            </w:r>
          </w:p>
        </w:tc>
        <w:tc>
          <w:tcPr>
            <w:tcW w:w="100" w:type="dxa"/>
            <w:vAlign w:val="bottom"/>
            <w:shd w:val="clear" w:color="auto" w:fill="DCE2EF"/>
          </w:tcPr>
          <w:p>
            <w:pPr>
              <w:spacing w:after="0"/>
              <w:rPr>
                <w:sz w:val="18"/>
                <w:szCs w:val="18"/>
                <w:color w:val="auto"/>
              </w:rPr>
            </w:pPr>
          </w:p>
        </w:tc>
        <w:tc>
          <w:tcPr>
            <w:tcW w:w="60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99"/>
              <w:spacing w:after="0"/>
              <w:rPr>
                <w:sz w:val="20"/>
                <w:szCs w:val="20"/>
                <w:color w:val="auto"/>
              </w:rPr>
            </w:pPr>
            <w:r>
              <w:rPr>
                <w:rFonts w:ascii="Arial" w:cs="Arial" w:eastAsia="Arial" w:hAnsi="Arial"/>
                <w:sz w:val="16"/>
                <w:szCs w:val="16"/>
                <w:color w:val="auto"/>
              </w:rPr>
              <w:t>227.2</w:t>
            </w: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11.0</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5"/>
        </w:trPr>
        <w:tc>
          <w:tcPr>
            <w:tcW w:w="20" w:type="dxa"/>
            <w:vAlign w:val="bottom"/>
            <w:tcBorders>
              <w:bottom w:val="single" w:sz="8" w:color="DCE2EF"/>
            </w:tcBorders>
          </w:tcPr>
          <w:p>
            <w:pPr>
              <w:spacing w:after="0"/>
              <w:rPr>
                <w:sz w:val="18"/>
                <w:szCs w:val="18"/>
                <w:color w:val="auto"/>
              </w:rPr>
            </w:pPr>
          </w:p>
        </w:tc>
        <w:tc>
          <w:tcPr>
            <w:tcW w:w="3780" w:type="dxa"/>
            <w:vAlign w:val="bottom"/>
            <w:tcBorders>
              <w:bottom w:val="single" w:sz="8" w:color="DCE2EF"/>
            </w:tcBorders>
            <w:gridSpan w:val="3"/>
          </w:tcPr>
          <w:p>
            <w:pPr>
              <w:spacing w:after="0"/>
              <w:rPr>
                <w:sz w:val="20"/>
                <w:szCs w:val="20"/>
                <w:color w:val="auto"/>
              </w:rPr>
            </w:pPr>
            <w:r>
              <w:rPr>
                <w:rFonts w:ascii="Arial" w:cs="Arial" w:eastAsia="Arial" w:hAnsi="Arial"/>
                <w:sz w:val="16"/>
                <w:szCs w:val="16"/>
                <w:color w:val="auto"/>
              </w:rPr>
              <w:t>Technical Solutions</w:t>
            </w:r>
          </w:p>
        </w:tc>
        <w:tc>
          <w:tcPr>
            <w:tcW w:w="420" w:type="dxa"/>
            <w:vAlign w:val="bottom"/>
            <w:tcBorders>
              <w:bottom w:val="single" w:sz="8" w:color="DCE2EF"/>
            </w:tcBorders>
          </w:tcPr>
          <w:p>
            <w:pPr>
              <w:spacing w:after="0"/>
              <w:rPr>
                <w:sz w:val="18"/>
                <w:szCs w:val="18"/>
                <w:color w:val="auto"/>
              </w:rPr>
            </w:pPr>
          </w:p>
        </w:tc>
        <w:tc>
          <w:tcPr>
            <w:tcW w:w="980" w:type="dxa"/>
            <w:vAlign w:val="bottom"/>
            <w:tcBorders>
              <w:bottom w:val="single" w:sz="8" w:color="DCE2E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176.2</w:t>
            </w:r>
          </w:p>
        </w:tc>
        <w:tc>
          <w:tcPr>
            <w:tcW w:w="100" w:type="dxa"/>
            <w:vAlign w:val="bottom"/>
            <w:tcBorders>
              <w:bottom w:val="single" w:sz="8" w:color="DCE2E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168.4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w:t>
            </w:r>
          </w:p>
        </w:tc>
        <w:tc>
          <w:tcPr>
            <w:tcW w:w="12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5"/>
        </w:trPr>
        <w:tc>
          <w:tcPr>
            <w:tcW w:w="20" w:type="dxa"/>
            <w:vAlign w:val="bottom"/>
            <w:tcBorders>
              <w:bottom w:val="single" w:sz="8" w:color="DCE2EF"/>
            </w:tcBorders>
            <w:shd w:val="clear" w:color="auto" w:fill="DCE2EF"/>
          </w:tcPr>
          <w:p>
            <w:pPr>
              <w:spacing w:after="0"/>
              <w:rPr>
                <w:sz w:val="20"/>
                <w:szCs w:val="20"/>
                <w:color w:val="auto"/>
              </w:rPr>
            </w:pPr>
          </w:p>
        </w:tc>
        <w:tc>
          <w:tcPr>
            <w:tcW w:w="740" w:type="dxa"/>
            <w:vAlign w:val="bottom"/>
            <w:tcBorders>
              <w:bottom w:val="single" w:sz="8" w:color="DCE2EF"/>
            </w:tcBorders>
            <w:shd w:val="clear" w:color="auto" w:fill="DCE2EF"/>
          </w:tcPr>
          <w:p>
            <w:pPr>
              <w:spacing w:after="0"/>
              <w:rPr>
                <w:sz w:val="20"/>
                <w:szCs w:val="20"/>
                <w:color w:val="auto"/>
              </w:rPr>
            </w:pPr>
          </w:p>
        </w:tc>
        <w:tc>
          <w:tcPr>
            <w:tcW w:w="80" w:type="dxa"/>
            <w:vAlign w:val="bottom"/>
            <w:tcBorders>
              <w:bottom w:val="single" w:sz="8" w:color="DCE2EF"/>
            </w:tcBorders>
            <w:shd w:val="clear" w:color="auto" w:fill="DCE2EF"/>
          </w:tcPr>
          <w:p>
            <w:pPr>
              <w:spacing w:after="0"/>
              <w:rPr>
                <w:sz w:val="20"/>
                <w:szCs w:val="20"/>
                <w:color w:val="auto"/>
              </w:rPr>
            </w:pPr>
          </w:p>
        </w:tc>
        <w:tc>
          <w:tcPr>
            <w:tcW w:w="2960" w:type="dxa"/>
            <w:vAlign w:val="bottom"/>
            <w:tcBorders>
              <w:bottom w:val="single" w:sz="8" w:color="DCE2EF"/>
            </w:tcBorders>
            <w:shd w:val="clear" w:color="auto" w:fill="DCE2EF"/>
          </w:tcPr>
          <w:p>
            <w:pPr>
              <w:spacing w:after="0"/>
              <w:rPr>
                <w:sz w:val="20"/>
                <w:szCs w:val="20"/>
                <w:color w:val="auto"/>
              </w:rPr>
            </w:pPr>
          </w:p>
        </w:tc>
        <w:tc>
          <w:tcPr>
            <w:tcW w:w="42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DCE2EF"/>
            </w:tcBorders>
            <w:shd w:val="clear" w:color="auto" w:fill="DCE2EF"/>
          </w:tcPr>
          <w:p>
            <w:pPr>
              <w:spacing w:after="0"/>
              <w:rPr>
                <w:sz w:val="20"/>
                <w:szCs w:val="20"/>
                <w:color w:val="auto"/>
              </w:rPr>
            </w:pPr>
          </w:p>
        </w:tc>
        <w:tc>
          <w:tcPr>
            <w:tcW w:w="440" w:type="dxa"/>
            <w:vAlign w:val="bottom"/>
            <w:tcBorders>
              <w:bottom w:val="single" w:sz="8" w:color="auto"/>
            </w:tcBorders>
            <w:shd w:val="clear" w:color="auto" w:fill="DCE2EF"/>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DCE2EF"/>
          </w:tcPr>
          <w:p>
            <w:pPr>
              <w:spacing w:after="0"/>
              <w:rPr>
                <w:sz w:val="20"/>
                <w:szCs w:val="20"/>
                <w:color w:val="auto"/>
              </w:rPr>
            </w:pPr>
          </w:p>
        </w:tc>
        <w:tc>
          <w:tcPr>
            <w:tcW w:w="1140" w:type="dxa"/>
            <w:vAlign w:val="bottom"/>
            <w:tcBorders>
              <w:bottom w:val="single" w:sz="8" w:color="auto"/>
            </w:tcBorders>
            <w:shd w:val="clear" w:color="auto" w:fill="DCE2EF"/>
          </w:tcPr>
          <w:p>
            <w:pPr>
              <w:jc w:val="right"/>
              <w:ind w:right="121"/>
              <w:spacing w:after="0"/>
              <w:rPr>
                <w:sz w:val="20"/>
                <w:szCs w:val="20"/>
                <w:color w:val="auto"/>
              </w:rPr>
            </w:pPr>
            <w:r>
              <w:rPr>
                <w:rFonts w:ascii="Arial" w:cs="Arial" w:eastAsia="Arial" w:hAnsi="Arial"/>
                <w:sz w:val="16"/>
                <w:szCs w:val="16"/>
                <w:color w:val="auto"/>
              </w:rPr>
              <w:t>2,018.2</w:t>
            </w:r>
          </w:p>
        </w:tc>
        <w:tc>
          <w:tcPr>
            <w:tcW w:w="100" w:type="dxa"/>
            <w:vAlign w:val="bottom"/>
            <w:tcBorders>
              <w:bottom w:val="single" w:sz="8" w:color="DCE2EF"/>
            </w:tcBorders>
            <w:shd w:val="clear" w:color="auto" w:fill="DCE2EF"/>
          </w:tcPr>
          <w:p>
            <w:pPr>
              <w:spacing w:after="0"/>
              <w:rPr>
                <w:sz w:val="20"/>
                <w:szCs w:val="20"/>
                <w:color w:val="auto"/>
              </w:rPr>
            </w:pPr>
          </w:p>
        </w:tc>
        <w:tc>
          <w:tcPr>
            <w:tcW w:w="600" w:type="dxa"/>
            <w:vAlign w:val="bottom"/>
            <w:tcBorders>
              <w:bottom w:val="single" w:sz="8" w:color="auto"/>
            </w:tcBorders>
            <w:shd w:val="clear" w:color="auto" w:fill="DCE2E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gridSpan w:val="2"/>
            <w:shd w:val="clear" w:color="auto" w:fill="DCE2EF"/>
          </w:tcPr>
          <w:p>
            <w:pPr>
              <w:jc w:val="right"/>
              <w:ind w:right="99"/>
              <w:spacing w:after="0"/>
              <w:rPr>
                <w:sz w:val="20"/>
                <w:szCs w:val="20"/>
                <w:color w:val="auto"/>
              </w:rPr>
            </w:pPr>
            <w:r>
              <w:rPr>
                <w:rFonts w:ascii="Arial" w:cs="Arial" w:eastAsia="Arial" w:hAnsi="Arial"/>
                <w:sz w:val="16"/>
                <w:szCs w:val="16"/>
                <w:color w:val="auto"/>
              </w:rPr>
              <w:t>1,984.0</w:t>
            </w:r>
          </w:p>
        </w:tc>
        <w:tc>
          <w:tcPr>
            <w:tcW w:w="20" w:type="dxa"/>
            <w:vAlign w:val="bottom"/>
            <w:tcBorders>
              <w:bottom w:val="single" w:sz="8" w:color="auto"/>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CE2EF"/>
          </w:tcPr>
          <w:p>
            <w:pPr>
              <w:jc w:val="right"/>
              <w:ind w:right="1"/>
              <w:spacing w:after="0"/>
              <w:rPr>
                <w:sz w:val="20"/>
                <w:szCs w:val="20"/>
                <w:color w:val="auto"/>
              </w:rPr>
            </w:pPr>
            <w:r>
              <w:rPr>
                <w:rFonts w:ascii="Arial" w:cs="Arial" w:eastAsia="Arial" w:hAnsi="Arial"/>
                <w:sz w:val="16"/>
                <w:szCs w:val="16"/>
                <w:color w:val="auto"/>
              </w:rPr>
              <w:t>34.2</w:t>
            </w:r>
          </w:p>
        </w:tc>
        <w:tc>
          <w:tcPr>
            <w:tcW w:w="128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bottom w:val="single" w:sz="8" w:color="DCE2EF"/>
            </w:tcBorders>
            <w:vMerge w:val="restart"/>
          </w:tcPr>
          <w:p>
            <w:pPr>
              <w:spacing w:after="0" w:line="20" w:lineRule="exact"/>
              <w:rPr>
                <w:sz w:val="1"/>
                <w:szCs w:val="1"/>
                <w:color w:val="auto"/>
              </w:rPr>
            </w:pPr>
          </w:p>
        </w:tc>
        <w:tc>
          <w:tcPr>
            <w:tcW w:w="3780" w:type="dxa"/>
            <w:vAlign w:val="bottom"/>
            <w:tcBorders>
              <w:top w:val="single" w:sz="8" w:color="DCE2EF"/>
              <w:bottom w:val="single" w:sz="8" w:color="DCE2EF"/>
            </w:tcBorders>
            <w:gridSpan w:val="3"/>
            <w:vMerge w:val="restart"/>
          </w:tcPr>
          <w:p>
            <w:pPr>
              <w:spacing w:after="0"/>
              <w:rPr>
                <w:sz w:val="20"/>
                <w:szCs w:val="20"/>
                <w:color w:val="auto"/>
              </w:rPr>
            </w:pPr>
            <w:r>
              <w:rPr>
                <w:rFonts w:ascii="Arial" w:cs="Arial" w:eastAsia="Arial" w:hAnsi="Arial"/>
                <w:sz w:val="16"/>
                <w:szCs w:val="16"/>
                <w:b w:val="1"/>
                <w:bCs w:val="1"/>
                <w:color w:val="auto"/>
              </w:rPr>
              <w:t>Operating profit</w:t>
            </w:r>
          </w:p>
        </w:tc>
        <w:tc>
          <w:tcPr>
            <w:tcW w:w="420" w:type="dxa"/>
            <w:vAlign w:val="bottom"/>
            <w:tcBorders>
              <w:top w:val="single" w:sz="8" w:color="DCE2EF"/>
            </w:tcBorders>
          </w:tcPr>
          <w:p>
            <w:pPr>
              <w:spacing w:after="0" w:line="20" w:lineRule="exact"/>
              <w:rPr>
                <w:sz w:val="1"/>
                <w:szCs w:val="1"/>
                <w:color w:val="auto"/>
              </w:rPr>
            </w:pPr>
          </w:p>
        </w:tc>
        <w:tc>
          <w:tcPr>
            <w:tcW w:w="980" w:type="dxa"/>
            <w:vAlign w:val="bottom"/>
            <w:tcBorders>
              <w:top w:val="single" w:sz="8" w:color="DCE2EF"/>
            </w:tcBorders>
          </w:tcPr>
          <w:p>
            <w:pPr>
              <w:spacing w:after="0" w:line="20" w:lineRule="exact"/>
              <w:rPr>
                <w:sz w:val="1"/>
                <w:szCs w:val="1"/>
                <w:color w:val="auto"/>
              </w:rPr>
            </w:pPr>
          </w:p>
        </w:tc>
        <w:tc>
          <w:tcPr>
            <w:tcW w:w="4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11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6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96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1040" w:type="dxa"/>
            <w:vAlign w:val="bottom"/>
            <w:tcBorders>
              <w:top w:val="single" w:sz="8" w:color="DCE2EF"/>
              <w:bottom w:val="single" w:sz="8" w:color="auto"/>
            </w:tcBorders>
          </w:tcPr>
          <w:p>
            <w:pPr>
              <w:spacing w:after="0" w:line="20" w:lineRule="exact"/>
              <w:rPr>
                <w:sz w:val="1"/>
                <w:szCs w:val="1"/>
                <w:color w:val="auto"/>
              </w:rPr>
            </w:pPr>
          </w:p>
        </w:tc>
        <w:tc>
          <w:tcPr>
            <w:tcW w:w="12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7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Business &amp; Industry</w:t>
            </w:r>
          </w:p>
        </w:tc>
        <w:tc>
          <w:tcPr>
            <w:tcW w:w="420" w:type="dxa"/>
            <w:vAlign w:val="bottom"/>
            <w:shd w:val="clear" w:color="auto" w:fill="DCE2EF"/>
          </w:tcPr>
          <w:p>
            <w:pPr>
              <w:spacing w:after="0"/>
              <w:rPr>
                <w:sz w:val="18"/>
                <w:szCs w:val="18"/>
                <w:color w:val="auto"/>
              </w:rPr>
            </w:pPr>
          </w:p>
        </w:tc>
        <w:tc>
          <w:tcPr>
            <w:tcW w:w="1420" w:type="dxa"/>
            <w:vAlign w:val="bottom"/>
            <w:gridSpan w:val="2"/>
            <w:shd w:val="clear" w:color="auto" w:fill="DCE2EF"/>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77.6</w:t>
            </w:r>
          </w:p>
        </w:tc>
        <w:tc>
          <w:tcPr>
            <w:tcW w:w="700" w:type="dxa"/>
            <w:vAlign w:val="bottom"/>
            <w:gridSpan w:val="2"/>
            <w:shd w:val="clear" w:color="auto" w:fill="DCE2E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DCE2EF"/>
          </w:tcPr>
          <w:p>
            <w:pPr>
              <w:jc w:val="right"/>
              <w:ind w:right="99"/>
              <w:spacing w:after="0"/>
              <w:rPr>
                <w:sz w:val="20"/>
                <w:szCs w:val="20"/>
                <w:color w:val="auto"/>
              </w:rPr>
            </w:pPr>
            <w:r>
              <w:rPr>
                <w:rFonts w:ascii="Arial" w:cs="Arial" w:eastAsia="Arial" w:hAnsi="Arial"/>
                <w:sz w:val="16"/>
                <w:szCs w:val="16"/>
                <w:color w:val="auto"/>
              </w:rPr>
              <w:t>76.2</w:t>
            </w:r>
          </w:p>
        </w:tc>
        <w:tc>
          <w:tcPr>
            <w:tcW w:w="280" w:type="dxa"/>
            <w:vAlign w:val="bottom"/>
            <w:gridSpan w:val="3"/>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1.4</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7.8 %</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i w:val="1"/>
                <w:iCs w:val="1"/>
                <w:color w:val="auto"/>
              </w:rPr>
              <w:t>7.6 %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21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Manufacturing &amp; Distribution</w:t>
            </w:r>
          </w:p>
        </w:tc>
        <w:tc>
          <w:tcPr>
            <w:tcW w:w="420" w:type="dxa"/>
            <w:vAlign w:val="bottom"/>
            <w:shd w:val="clear" w:color="auto" w:fill="DCE2EF"/>
          </w:tcPr>
          <w:p>
            <w:pPr>
              <w:spacing w:after="0"/>
              <w:rPr>
                <w:sz w:val="19"/>
                <w:szCs w:val="19"/>
                <w:color w:val="auto"/>
              </w:rPr>
            </w:pPr>
          </w:p>
        </w:tc>
        <w:tc>
          <w:tcPr>
            <w:tcW w:w="98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14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DCE2EF"/>
          </w:tcPr>
          <w:p>
            <w:pPr>
              <w:spacing w:after="0"/>
              <w:rPr>
                <w:sz w:val="19"/>
                <w:szCs w:val="19"/>
                <w:color w:val="auto"/>
              </w:rPr>
            </w:pPr>
          </w:p>
        </w:tc>
        <w:tc>
          <w:tcPr>
            <w:tcW w:w="600" w:type="dxa"/>
            <w:vAlign w:val="bottom"/>
            <w:shd w:val="clear" w:color="auto" w:fill="DCE2EF"/>
          </w:tcPr>
          <w:p>
            <w:pPr>
              <w:spacing w:after="0"/>
              <w:rPr>
                <w:sz w:val="19"/>
                <w:szCs w:val="19"/>
                <w:color w:val="auto"/>
              </w:rPr>
            </w:pPr>
          </w:p>
        </w:tc>
        <w:tc>
          <w:tcPr>
            <w:tcW w:w="1060" w:type="dxa"/>
            <w:vAlign w:val="bottom"/>
            <w:gridSpan w:val="2"/>
            <w:shd w:val="clear" w:color="auto" w:fill="DCE2EF"/>
          </w:tcPr>
          <w:p>
            <w:pPr>
              <w:jc w:val="right"/>
              <w:ind w:right="99"/>
              <w:spacing w:after="0"/>
              <w:rPr>
                <w:sz w:val="20"/>
                <w:szCs w:val="20"/>
                <w:color w:val="auto"/>
              </w:rPr>
            </w:pPr>
            <w:r>
              <w:rPr>
                <w:rFonts w:ascii="Arial" w:cs="Arial" w:eastAsia="Arial" w:hAnsi="Arial"/>
                <w:sz w:val="16"/>
                <w:szCs w:val="16"/>
                <w:color w:val="auto"/>
              </w:rPr>
              <w:t>40.8</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2.8</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11.2 %</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i w:val="1"/>
                <w:iCs w:val="1"/>
                <w:color w:val="auto"/>
              </w:rPr>
              <w:t>10.9 %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29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Education</w:t>
            </w:r>
          </w:p>
        </w:tc>
        <w:tc>
          <w:tcPr>
            <w:tcW w:w="420" w:type="dxa"/>
            <w:vAlign w:val="bottom"/>
            <w:shd w:val="clear" w:color="auto" w:fill="DCE2EF"/>
          </w:tcPr>
          <w:p>
            <w:pPr>
              <w:spacing w:after="0"/>
              <w:rPr>
                <w:sz w:val="19"/>
                <w:szCs w:val="19"/>
                <w:color w:val="auto"/>
              </w:rPr>
            </w:pPr>
          </w:p>
        </w:tc>
        <w:tc>
          <w:tcPr>
            <w:tcW w:w="98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14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DCE2EF"/>
          </w:tcPr>
          <w:p>
            <w:pPr>
              <w:spacing w:after="0"/>
              <w:rPr>
                <w:sz w:val="19"/>
                <w:szCs w:val="19"/>
                <w:color w:val="auto"/>
              </w:rPr>
            </w:pPr>
          </w:p>
        </w:tc>
        <w:tc>
          <w:tcPr>
            <w:tcW w:w="600" w:type="dxa"/>
            <w:vAlign w:val="bottom"/>
            <w:shd w:val="clear" w:color="auto" w:fill="DCE2EF"/>
          </w:tcPr>
          <w:p>
            <w:pPr>
              <w:spacing w:after="0"/>
              <w:rPr>
                <w:sz w:val="19"/>
                <w:szCs w:val="19"/>
                <w:color w:val="auto"/>
              </w:rPr>
            </w:pPr>
          </w:p>
        </w:tc>
        <w:tc>
          <w:tcPr>
            <w:tcW w:w="1060" w:type="dxa"/>
            <w:vAlign w:val="bottom"/>
            <w:gridSpan w:val="2"/>
            <w:shd w:val="clear" w:color="auto" w:fill="DCE2EF"/>
          </w:tcPr>
          <w:p>
            <w:pPr>
              <w:jc w:val="right"/>
              <w:ind w:right="99"/>
              <w:spacing w:after="0"/>
              <w:rPr>
                <w:sz w:val="20"/>
                <w:szCs w:val="20"/>
                <w:color w:val="auto"/>
              </w:rPr>
            </w:pPr>
            <w:r>
              <w:rPr>
                <w:rFonts w:ascii="Arial" w:cs="Arial" w:eastAsia="Arial" w:hAnsi="Arial"/>
                <w:sz w:val="16"/>
                <w:szCs w:val="16"/>
                <w:color w:val="auto"/>
              </w:rPr>
              <w:t>11.8</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(0.3)</w:t>
            </w:r>
          </w:p>
        </w:tc>
        <w:tc>
          <w:tcPr>
            <w:tcW w:w="128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5.1 %</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i w:val="1"/>
                <w:iCs w:val="1"/>
                <w:color w:val="auto"/>
              </w:rPr>
              <w:t>5.4 %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(31)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DCE2EF"/>
          </w:tcPr>
          <w:p>
            <w:pPr>
              <w:spacing w:after="0"/>
              <w:rPr>
                <w:sz w:val="19"/>
                <w:szCs w:val="19"/>
                <w:color w:val="auto"/>
              </w:rPr>
            </w:pPr>
          </w:p>
        </w:tc>
        <w:tc>
          <w:tcPr>
            <w:tcW w:w="98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14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DCE2EF"/>
          </w:tcPr>
          <w:p>
            <w:pPr>
              <w:spacing w:after="0"/>
              <w:rPr>
                <w:sz w:val="19"/>
                <w:szCs w:val="19"/>
                <w:color w:val="auto"/>
              </w:rPr>
            </w:pPr>
          </w:p>
        </w:tc>
        <w:tc>
          <w:tcPr>
            <w:tcW w:w="600" w:type="dxa"/>
            <w:vAlign w:val="bottom"/>
            <w:shd w:val="clear" w:color="auto" w:fill="DCE2EF"/>
          </w:tcPr>
          <w:p>
            <w:pPr>
              <w:spacing w:after="0"/>
              <w:rPr>
                <w:sz w:val="19"/>
                <w:szCs w:val="19"/>
                <w:color w:val="auto"/>
              </w:rPr>
            </w:pPr>
          </w:p>
        </w:tc>
        <w:tc>
          <w:tcPr>
            <w:tcW w:w="1060" w:type="dxa"/>
            <w:vAlign w:val="bottom"/>
            <w:gridSpan w:val="2"/>
            <w:shd w:val="clear" w:color="auto" w:fill="DCE2EF"/>
          </w:tcPr>
          <w:p>
            <w:pPr>
              <w:jc w:val="right"/>
              <w:ind w:right="99"/>
              <w:spacing w:after="0"/>
              <w:rPr>
                <w:sz w:val="20"/>
                <w:szCs w:val="20"/>
                <w:color w:val="auto"/>
              </w:rPr>
            </w:pPr>
            <w:r>
              <w:rPr>
                <w:rFonts w:ascii="Arial" w:cs="Arial" w:eastAsia="Arial" w:hAnsi="Arial"/>
                <w:sz w:val="16"/>
                <w:szCs w:val="16"/>
                <w:color w:val="auto"/>
              </w:rPr>
              <w:t>23.6</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(10.5)</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5.5 %</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i w:val="1"/>
                <w:iCs w:val="1"/>
                <w:color w:val="auto"/>
              </w:rPr>
              <w:t>10.4 %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(492)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Technical Solutions</w:t>
            </w:r>
          </w:p>
        </w:tc>
        <w:tc>
          <w:tcPr>
            <w:tcW w:w="420" w:type="dxa"/>
            <w:vAlign w:val="bottom"/>
            <w:shd w:val="clear" w:color="auto" w:fill="DCE2EF"/>
          </w:tcPr>
          <w:p>
            <w:pPr>
              <w:spacing w:after="0"/>
              <w:rPr>
                <w:sz w:val="19"/>
                <w:szCs w:val="19"/>
                <w:color w:val="auto"/>
              </w:rPr>
            </w:pPr>
          </w:p>
        </w:tc>
        <w:tc>
          <w:tcPr>
            <w:tcW w:w="98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14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DCE2EF"/>
          </w:tcPr>
          <w:p>
            <w:pPr>
              <w:spacing w:after="0"/>
              <w:rPr>
                <w:sz w:val="19"/>
                <w:szCs w:val="19"/>
                <w:color w:val="auto"/>
              </w:rPr>
            </w:pPr>
          </w:p>
        </w:tc>
        <w:tc>
          <w:tcPr>
            <w:tcW w:w="600" w:type="dxa"/>
            <w:vAlign w:val="bottom"/>
            <w:shd w:val="clear" w:color="auto" w:fill="DCE2EF"/>
          </w:tcPr>
          <w:p>
            <w:pPr>
              <w:spacing w:after="0"/>
              <w:rPr>
                <w:sz w:val="19"/>
                <w:szCs w:val="19"/>
                <w:color w:val="auto"/>
              </w:rPr>
            </w:pPr>
          </w:p>
        </w:tc>
        <w:tc>
          <w:tcPr>
            <w:tcW w:w="1060" w:type="dxa"/>
            <w:vAlign w:val="bottom"/>
            <w:gridSpan w:val="2"/>
            <w:shd w:val="clear" w:color="auto" w:fill="DCE2EF"/>
          </w:tcPr>
          <w:p>
            <w:pPr>
              <w:jc w:val="right"/>
              <w:ind w:right="99"/>
              <w:spacing w:after="0"/>
              <w:rPr>
                <w:sz w:val="20"/>
                <w:szCs w:val="20"/>
                <w:color w:val="auto"/>
              </w:rPr>
            </w:pPr>
            <w:r>
              <w:rPr>
                <w:rFonts w:ascii="Arial" w:cs="Arial" w:eastAsia="Arial" w:hAnsi="Arial"/>
                <w:sz w:val="16"/>
                <w:szCs w:val="16"/>
                <w:color w:val="auto"/>
              </w:rPr>
              <w:t>10.2</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6.8</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9.6 %</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i w:val="1"/>
                <w:iCs w:val="1"/>
                <w:color w:val="auto"/>
              </w:rPr>
              <w:t>6.0 %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358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Corporate</w:t>
            </w:r>
          </w:p>
        </w:tc>
        <w:tc>
          <w:tcPr>
            <w:tcW w:w="420" w:type="dxa"/>
            <w:vAlign w:val="bottom"/>
            <w:shd w:val="clear" w:color="auto" w:fill="DCE2EF"/>
          </w:tcPr>
          <w:p>
            <w:pPr>
              <w:spacing w:after="0"/>
              <w:rPr>
                <w:sz w:val="19"/>
                <w:szCs w:val="19"/>
                <w:color w:val="auto"/>
              </w:rPr>
            </w:pPr>
          </w:p>
        </w:tc>
        <w:tc>
          <w:tcPr>
            <w:tcW w:w="98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140" w:type="dxa"/>
            <w:vAlign w:val="bottom"/>
            <w:shd w:val="clear" w:color="auto" w:fill="DCE2EF"/>
          </w:tcPr>
          <w:p>
            <w:pPr>
              <w:jc w:val="right"/>
              <w:ind w:right="61"/>
              <w:spacing w:after="0"/>
              <w:rPr>
                <w:sz w:val="20"/>
                <w:szCs w:val="20"/>
                <w:color w:val="auto"/>
              </w:rPr>
            </w:pPr>
            <w:r>
              <w:rPr>
                <w:rFonts w:ascii="Arial" w:cs="Arial" w:eastAsia="Arial" w:hAnsi="Arial"/>
                <w:sz w:val="16"/>
                <w:szCs w:val="16"/>
                <w:color w:val="auto"/>
              </w:rPr>
              <w:t>(79.7)</w:t>
            </w:r>
          </w:p>
        </w:tc>
        <w:tc>
          <w:tcPr>
            <w:tcW w:w="100" w:type="dxa"/>
            <w:vAlign w:val="bottom"/>
            <w:shd w:val="clear" w:color="auto" w:fill="DCE2EF"/>
          </w:tcPr>
          <w:p>
            <w:pPr>
              <w:spacing w:after="0"/>
              <w:rPr>
                <w:sz w:val="19"/>
                <w:szCs w:val="19"/>
                <w:color w:val="auto"/>
              </w:rPr>
            </w:pPr>
          </w:p>
        </w:tc>
        <w:tc>
          <w:tcPr>
            <w:tcW w:w="600" w:type="dxa"/>
            <w:vAlign w:val="bottom"/>
            <w:shd w:val="clear" w:color="auto" w:fill="DCE2EF"/>
          </w:tcPr>
          <w:p>
            <w:pPr>
              <w:spacing w:after="0"/>
              <w:rPr>
                <w:sz w:val="19"/>
                <w:szCs w:val="19"/>
                <w:color w:val="auto"/>
              </w:rPr>
            </w:pPr>
          </w:p>
        </w:tc>
        <w:tc>
          <w:tcPr>
            <w:tcW w:w="1060" w:type="dxa"/>
            <w:vAlign w:val="bottom"/>
            <w:gridSpan w:val="2"/>
            <w:shd w:val="clear" w:color="auto" w:fill="DCE2EF"/>
          </w:tcPr>
          <w:p>
            <w:pPr>
              <w:jc w:val="right"/>
              <w:ind w:right="39"/>
              <w:spacing w:after="0"/>
              <w:rPr>
                <w:sz w:val="20"/>
                <w:szCs w:val="20"/>
                <w:color w:val="auto"/>
              </w:rPr>
            </w:pPr>
            <w:r>
              <w:rPr>
                <w:rFonts w:ascii="Arial" w:cs="Arial" w:eastAsia="Arial" w:hAnsi="Arial"/>
                <w:sz w:val="16"/>
                <w:szCs w:val="16"/>
                <w:color w:val="auto"/>
              </w:rPr>
              <w:t>(69.2)</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(10.5)</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20" w:type="dxa"/>
            <w:vAlign w:val="bottom"/>
            <w:gridSpan w:val="7"/>
          </w:tcPr>
          <w:p>
            <w:pPr>
              <w:spacing w:after="0" w:line="162" w:lineRule="exact"/>
              <w:rPr>
                <w:sz w:val="20"/>
                <w:szCs w:val="20"/>
                <w:color w:val="auto"/>
              </w:rPr>
            </w:pPr>
            <w:r>
              <w:rPr>
                <w:rFonts w:ascii="Arial" w:cs="Arial" w:eastAsia="Arial" w:hAnsi="Arial"/>
                <w:sz w:val="16"/>
                <w:szCs w:val="16"/>
                <w:color w:val="auto"/>
              </w:rPr>
              <w:t>Adjustment for income from unconsolidated affiliates, included in</w:t>
            </w:r>
          </w:p>
        </w:tc>
        <w:tc>
          <w:tcPr>
            <w:tcW w:w="1140" w:type="dxa"/>
            <w:vAlign w:val="bottom"/>
            <w:vMerge w:val="restart"/>
          </w:tcPr>
          <w:p>
            <w:pPr>
              <w:jc w:val="right"/>
              <w:ind w:right="6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280" w:type="dxa"/>
            <w:vAlign w:val="bottom"/>
            <w:vMerge w:val="restart"/>
          </w:tcPr>
          <w:p>
            <w:pPr>
              <w:jc w:val="right"/>
              <w:ind w:right="3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20" w:type="dxa"/>
            <w:vAlign w:val="bottom"/>
            <w:tcBorders>
              <w:bottom w:val="single" w:sz="8" w:color="DCE2EF"/>
            </w:tcBorders>
          </w:tcPr>
          <w:p>
            <w:pPr>
              <w:spacing w:after="0"/>
              <w:rPr>
                <w:sz w:val="18"/>
                <w:szCs w:val="18"/>
                <w:color w:val="auto"/>
              </w:rPr>
            </w:pPr>
          </w:p>
        </w:tc>
        <w:tc>
          <w:tcPr>
            <w:tcW w:w="3780" w:type="dxa"/>
            <w:vAlign w:val="bottom"/>
            <w:tcBorders>
              <w:bottom w:val="single" w:sz="8" w:color="DCE2EF"/>
            </w:tcBorders>
            <w:gridSpan w:val="3"/>
          </w:tcPr>
          <w:p>
            <w:pPr>
              <w:ind w:left="160"/>
              <w:spacing w:after="0"/>
              <w:rPr>
                <w:sz w:val="20"/>
                <w:szCs w:val="20"/>
                <w:color w:val="auto"/>
              </w:rPr>
            </w:pPr>
            <w:r>
              <w:rPr>
                <w:rFonts w:ascii="Arial" w:cs="Arial" w:eastAsia="Arial" w:hAnsi="Arial"/>
                <w:sz w:val="16"/>
                <w:szCs w:val="16"/>
                <w:color w:val="auto"/>
              </w:rPr>
              <w:t>Aviation and Technical Solutions</w:t>
            </w:r>
          </w:p>
        </w:tc>
        <w:tc>
          <w:tcPr>
            <w:tcW w:w="420" w:type="dxa"/>
            <w:vAlign w:val="bottom"/>
            <w:tcBorders>
              <w:bottom w:val="single" w:sz="8" w:color="DCE2EF"/>
            </w:tcBorders>
          </w:tcPr>
          <w:p>
            <w:pPr>
              <w:spacing w:after="0"/>
              <w:rPr>
                <w:sz w:val="18"/>
                <w:szCs w:val="18"/>
                <w:color w:val="auto"/>
              </w:rPr>
            </w:pPr>
          </w:p>
        </w:tc>
        <w:tc>
          <w:tcPr>
            <w:tcW w:w="980" w:type="dxa"/>
            <w:vAlign w:val="bottom"/>
            <w:tcBorders>
              <w:bottom w:val="single" w:sz="8" w:color="DCE2E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DCE2E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DCE2EF"/>
            </w:tcBorders>
            <w:shd w:val="clear" w:color="auto" w:fill="DCE2EF"/>
          </w:tcPr>
          <w:p>
            <w:pPr>
              <w:spacing w:after="0"/>
              <w:rPr>
                <w:sz w:val="20"/>
                <w:szCs w:val="20"/>
                <w:color w:val="auto"/>
              </w:rPr>
            </w:pPr>
          </w:p>
        </w:tc>
        <w:tc>
          <w:tcPr>
            <w:tcW w:w="740" w:type="dxa"/>
            <w:vAlign w:val="bottom"/>
            <w:tcBorders>
              <w:bottom w:val="single" w:sz="8" w:color="DCE2EF"/>
            </w:tcBorders>
            <w:shd w:val="clear" w:color="auto" w:fill="DCE2EF"/>
          </w:tcPr>
          <w:p>
            <w:pPr>
              <w:spacing w:after="0"/>
              <w:rPr>
                <w:sz w:val="20"/>
                <w:szCs w:val="20"/>
                <w:color w:val="auto"/>
              </w:rPr>
            </w:pPr>
          </w:p>
        </w:tc>
        <w:tc>
          <w:tcPr>
            <w:tcW w:w="80" w:type="dxa"/>
            <w:vAlign w:val="bottom"/>
            <w:tcBorders>
              <w:bottom w:val="single" w:sz="8" w:color="DCE2EF"/>
            </w:tcBorders>
            <w:shd w:val="clear" w:color="auto" w:fill="DCE2EF"/>
          </w:tcPr>
          <w:p>
            <w:pPr>
              <w:spacing w:after="0"/>
              <w:rPr>
                <w:sz w:val="20"/>
                <w:szCs w:val="20"/>
                <w:color w:val="auto"/>
              </w:rPr>
            </w:pPr>
          </w:p>
        </w:tc>
        <w:tc>
          <w:tcPr>
            <w:tcW w:w="2960" w:type="dxa"/>
            <w:vAlign w:val="bottom"/>
            <w:tcBorders>
              <w:bottom w:val="single" w:sz="8" w:color="DCE2EF"/>
            </w:tcBorders>
            <w:shd w:val="clear" w:color="auto" w:fill="DCE2EF"/>
          </w:tcPr>
          <w:p>
            <w:pPr>
              <w:spacing w:after="0"/>
              <w:rPr>
                <w:sz w:val="20"/>
                <w:szCs w:val="20"/>
                <w:color w:val="auto"/>
              </w:rPr>
            </w:pPr>
          </w:p>
        </w:tc>
        <w:tc>
          <w:tcPr>
            <w:tcW w:w="42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DCE2EF"/>
            </w:tcBorders>
            <w:shd w:val="clear" w:color="auto" w:fill="DCE2EF"/>
          </w:tcPr>
          <w:p>
            <w:pPr>
              <w:spacing w:after="0"/>
              <w:rPr>
                <w:sz w:val="20"/>
                <w:szCs w:val="20"/>
                <w:color w:val="auto"/>
              </w:rPr>
            </w:pPr>
          </w:p>
        </w:tc>
        <w:tc>
          <w:tcPr>
            <w:tcW w:w="440" w:type="dxa"/>
            <w:vAlign w:val="bottom"/>
            <w:tcBorders>
              <w:bottom w:val="single" w:sz="8" w:color="auto"/>
            </w:tcBorders>
            <w:shd w:val="clear" w:color="auto" w:fill="DCE2EF"/>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DCE2EF"/>
          </w:tcPr>
          <w:p>
            <w:pPr>
              <w:spacing w:after="0"/>
              <w:rPr>
                <w:sz w:val="20"/>
                <w:szCs w:val="20"/>
                <w:color w:val="auto"/>
              </w:rPr>
            </w:pPr>
          </w:p>
        </w:tc>
        <w:tc>
          <w:tcPr>
            <w:tcW w:w="1140" w:type="dxa"/>
            <w:vAlign w:val="bottom"/>
            <w:tcBorders>
              <w:bottom w:val="single" w:sz="8" w:color="auto"/>
            </w:tcBorders>
            <w:shd w:val="clear" w:color="auto" w:fill="DCE2EF"/>
          </w:tcPr>
          <w:p>
            <w:pPr>
              <w:jc w:val="right"/>
              <w:ind w:right="121"/>
              <w:spacing w:after="0"/>
              <w:rPr>
                <w:sz w:val="20"/>
                <w:szCs w:val="20"/>
                <w:color w:val="auto"/>
              </w:rPr>
            </w:pPr>
            <w:r>
              <w:rPr>
                <w:rFonts w:ascii="Arial" w:cs="Arial" w:eastAsia="Arial" w:hAnsi="Arial"/>
                <w:sz w:val="16"/>
                <w:szCs w:val="16"/>
                <w:color w:val="auto"/>
              </w:rPr>
              <w:t>81.3</w:t>
            </w:r>
          </w:p>
        </w:tc>
        <w:tc>
          <w:tcPr>
            <w:tcW w:w="100" w:type="dxa"/>
            <w:vAlign w:val="bottom"/>
            <w:tcBorders>
              <w:bottom w:val="single" w:sz="8" w:color="DCE2EF"/>
            </w:tcBorders>
            <w:shd w:val="clear" w:color="auto" w:fill="DCE2EF"/>
          </w:tcPr>
          <w:p>
            <w:pPr>
              <w:spacing w:after="0"/>
              <w:rPr>
                <w:sz w:val="20"/>
                <w:szCs w:val="20"/>
                <w:color w:val="auto"/>
              </w:rPr>
            </w:pPr>
          </w:p>
        </w:tc>
        <w:tc>
          <w:tcPr>
            <w:tcW w:w="600" w:type="dxa"/>
            <w:vAlign w:val="bottom"/>
            <w:tcBorders>
              <w:bottom w:val="single" w:sz="8" w:color="auto"/>
            </w:tcBorders>
            <w:shd w:val="clear" w:color="auto" w:fill="DCE2E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gridSpan w:val="2"/>
            <w:shd w:val="clear" w:color="auto" w:fill="DCE2EF"/>
          </w:tcPr>
          <w:p>
            <w:pPr>
              <w:jc w:val="right"/>
              <w:ind w:right="99"/>
              <w:spacing w:after="0"/>
              <w:rPr>
                <w:sz w:val="20"/>
                <w:szCs w:val="20"/>
                <w:color w:val="auto"/>
              </w:rPr>
            </w:pPr>
            <w:r>
              <w:rPr>
                <w:rFonts w:ascii="Arial" w:cs="Arial" w:eastAsia="Arial" w:hAnsi="Arial"/>
                <w:sz w:val="16"/>
                <w:szCs w:val="16"/>
                <w:color w:val="auto"/>
              </w:rPr>
              <w:t>92.7</w:t>
            </w:r>
          </w:p>
        </w:tc>
        <w:tc>
          <w:tcPr>
            <w:tcW w:w="20" w:type="dxa"/>
            <w:vAlign w:val="bottom"/>
            <w:tcBorders>
              <w:bottom w:val="single" w:sz="8" w:color="auto"/>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(11.4)</w:t>
            </w:r>
          </w:p>
        </w:tc>
        <w:tc>
          <w:tcPr>
            <w:tcW w:w="128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
        </w:trPr>
        <w:tc>
          <w:tcPr>
            <w:tcW w:w="3800" w:type="dxa"/>
            <w:vAlign w:val="bottom"/>
            <w:tcBorders>
              <w:top w:val="single" w:sz="8" w:color="DCE2EF"/>
              <w:bottom w:val="single" w:sz="8" w:color="DCE2EF"/>
            </w:tcBorders>
            <w:gridSpan w:val="4"/>
            <w:vMerge w:val="restart"/>
          </w:tcPr>
          <w:p>
            <w:pPr>
              <w:spacing w:after="0"/>
              <w:rPr>
                <w:sz w:val="20"/>
                <w:szCs w:val="20"/>
                <w:color w:val="auto"/>
              </w:rPr>
            </w:pPr>
            <w:r>
              <w:rPr>
                <w:rFonts w:ascii="Arial" w:cs="Arial" w:eastAsia="Arial" w:hAnsi="Arial"/>
                <w:sz w:val="16"/>
                <w:szCs w:val="16"/>
                <w:color w:val="auto"/>
              </w:rPr>
              <w:t>*Not meaningful</w:t>
            </w:r>
          </w:p>
        </w:tc>
        <w:tc>
          <w:tcPr>
            <w:tcW w:w="420" w:type="dxa"/>
            <w:vAlign w:val="bottom"/>
            <w:tcBorders>
              <w:top w:val="single" w:sz="8" w:color="DCE2EF"/>
            </w:tcBorders>
          </w:tcPr>
          <w:p>
            <w:pPr>
              <w:spacing w:after="0" w:line="20" w:lineRule="exact"/>
              <w:rPr>
                <w:sz w:val="1"/>
                <w:szCs w:val="1"/>
                <w:color w:val="auto"/>
              </w:rPr>
            </w:pPr>
          </w:p>
        </w:tc>
        <w:tc>
          <w:tcPr>
            <w:tcW w:w="980" w:type="dxa"/>
            <w:vAlign w:val="bottom"/>
            <w:tcBorders>
              <w:top w:val="single" w:sz="8" w:color="DCE2EF"/>
            </w:tcBorders>
          </w:tcPr>
          <w:p>
            <w:pPr>
              <w:spacing w:after="0" w:line="20" w:lineRule="exact"/>
              <w:rPr>
                <w:sz w:val="1"/>
                <w:szCs w:val="1"/>
                <w:color w:val="auto"/>
              </w:rPr>
            </w:pPr>
          </w:p>
        </w:tc>
        <w:tc>
          <w:tcPr>
            <w:tcW w:w="4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11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6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96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1040" w:type="dxa"/>
            <w:vAlign w:val="bottom"/>
            <w:tcBorders>
              <w:top w:val="single" w:sz="8" w:color="DCE2EF"/>
              <w:bottom w:val="single" w:sz="8" w:color="auto"/>
            </w:tcBorders>
          </w:tcPr>
          <w:p>
            <w:pPr>
              <w:spacing w:after="0" w:line="20" w:lineRule="exact"/>
              <w:rPr>
                <w:sz w:val="1"/>
                <w:szCs w:val="1"/>
                <w:color w:val="auto"/>
              </w:rPr>
            </w:pPr>
          </w:p>
        </w:tc>
        <w:tc>
          <w:tcPr>
            <w:tcW w:w="12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80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780" w:type="dxa"/>
            <w:vAlign w:val="bottom"/>
            <w:gridSpan w:val="3"/>
          </w:tcPr>
          <w:p>
            <w:pPr>
              <w:spacing w:after="0"/>
              <w:rPr>
                <w:sz w:val="20"/>
                <w:szCs w:val="20"/>
                <w:color w:val="auto"/>
              </w:rPr>
            </w:pPr>
            <w:r>
              <w:rPr>
                <w:rFonts w:ascii="Arial" w:cs="Arial" w:eastAsia="Arial" w:hAnsi="Arial"/>
                <w:sz w:val="16"/>
                <w:szCs w:val="16"/>
                <w:b w:val="1"/>
                <w:bCs w:val="1"/>
                <w:i w:val="1"/>
                <w:iCs w:val="1"/>
                <w:color w:val="0046AD"/>
              </w:rPr>
              <w:t>Business &amp; Industry</w:t>
            </w:r>
          </w:p>
        </w:tc>
        <w:tc>
          <w:tcPr>
            <w:tcW w:w="420" w:type="dxa"/>
            <w:vAlign w:val="bottom"/>
          </w:tcPr>
          <w:p>
            <w:pPr>
              <w:spacing w:after="0"/>
              <w:rPr>
                <w:sz w:val="24"/>
                <w:szCs w:val="24"/>
                <w:color w:val="auto"/>
              </w:rPr>
            </w:pPr>
          </w:p>
        </w:tc>
        <w:tc>
          <w:tcPr>
            <w:tcW w:w="2660" w:type="dxa"/>
            <w:vAlign w:val="bottom"/>
            <w:gridSpan w:val="4"/>
            <w:vMerge w:val="restart"/>
          </w:tcPr>
          <w:p>
            <w:pPr>
              <w:ind w:left="320"/>
              <w:spacing w:after="0"/>
              <w:rPr>
                <w:sz w:val="20"/>
                <w:szCs w:val="20"/>
                <w:color w:val="auto"/>
              </w:rPr>
            </w:pPr>
            <w:r>
              <w:rPr>
                <w:rFonts w:ascii="Arial" w:cs="Arial" w:eastAsia="Arial" w:hAnsi="Arial"/>
                <w:sz w:val="16"/>
                <w:szCs w:val="16"/>
                <w:b w:val="1"/>
                <w:bCs w:val="1"/>
                <w:color w:val="auto"/>
              </w:rPr>
              <w:t>Three Months Ended April 30,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Pr>
          <w:p>
            <w:pPr>
              <w:spacing w:after="0"/>
              <w:rPr>
                <w:sz w:val="13"/>
                <w:szCs w:val="13"/>
                <w:color w:val="auto"/>
              </w:rPr>
            </w:pPr>
          </w:p>
        </w:tc>
        <w:tc>
          <w:tcPr>
            <w:tcW w:w="980" w:type="dxa"/>
            <w:vAlign w:val="bottom"/>
          </w:tcPr>
          <w:p>
            <w:pPr>
              <w:ind w:left="320"/>
              <w:spacing w:after="0" w:line="142" w:lineRule="exact"/>
              <w:rPr>
                <w:sz w:val="20"/>
                <w:szCs w:val="20"/>
                <w:color w:val="auto"/>
              </w:rPr>
            </w:pPr>
            <w:r>
              <w:rPr>
                <w:rFonts w:ascii="Arial" w:cs="Arial" w:eastAsia="Arial" w:hAnsi="Arial"/>
                <w:sz w:val="16"/>
                <w:szCs w:val="16"/>
                <w:b w:val="1"/>
                <w:bCs w:val="1"/>
                <w:color w:val="auto"/>
              </w:rPr>
              <w:t>2024</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0" w:type="dxa"/>
            <w:vAlign w:val="bottom"/>
            <w:gridSpan w:val="5"/>
          </w:tcPr>
          <w:p>
            <w:pPr>
              <w:jc w:val="right"/>
              <w:ind w:right="879"/>
              <w:spacing w:after="0" w:line="136" w:lineRule="exact"/>
              <w:rPr>
                <w:sz w:val="20"/>
                <w:szCs w:val="20"/>
                <w:color w:val="auto"/>
              </w:rPr>
            </w:pPr>
            <w:r>
              <w:rPr>
                <w:rFonts w:ascii="Arial" w:cs="Arial" w:eastAsia="Arial" w:hAnsi="Arial"/>
                <w:sz w:val="15"/>
                <w:szCs w:val="15"/>
                <w:b w:val="1"/>
                <w:bCs w:val="1"/>
                <w:color w:val="auto"/>
              </w:rPr>
              <w:t>(Decrease) / Increase</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740" w:type="dxa"/>
            <w:vAlign w:val="bottom"/>
            <w:tcBorders>
              <w:top w:val="single" w:sz="8" w:color="auto"/>
              <w:bottom w:val="single" w:sz="8" w:color="DCE2EF"/>
            </w:tcBorders>
          </w:tcPr>
          <w:p>
            <w:pPr>
              <w:spacing w:after="0"/>
              <w:rPr>
                <w:sz w:val="2"/>
                <w:szCs w:val="2"/>
                <w:color w:val="auto"/>
              </w:rPr>
            </w:pPr>
          </w:p>
        </w:tc>
        <w:tc>
          <w:tcPr>
            <w:tcW w:w="80" w:type="dxa"/>
            <w:vAlign w:val="bottom"/>
            <w:tcBorders>
              <w:top w:val="single" w:sz="8" w:color="auto"/>
              <w:bottom w:val="single" w:sz="8" w:color="DCE2EF"/>
            </w:tcBorders>
          </w:tcPr>
          <w:p>
            <w:pPr>
              <w:spacing w:after="0"/>
              <w:rPr>
                <w:sz w:val="2"/>
                <w:szCs w:val="2"/>
                <w:color w:val="auto"/>
              </w:rPr>
            </w:pPr>
          </w:p>
        </w:tc>
        <w:tc>
          <w:tcPr>
            <w:tcW w:w="296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DCE2EF"/>
          </w:tcPr>
          <w:p>
            <w:pPr>
              <w:jc w:val="right"/>
              <w:ind w:right="119"/>
              <w:spacing w:after="0"/>
              <w:rPr>
                <w:sz w:val="20"/>
                <w:szCs w:val="20"/>
                <w:color w:val="auto"/>
              </w:rPr>
            </w:pPr>
            <w:r>
              <w:rPr>
                <w:rFonts w:ascii="Arial" w:cs="Arial" w:eastAsia="Arial" w:hAnsi="Arial"/>
                <w:sz w:val="16"/>
                <w:szCs w:val="16"/>
                <w:color w:val="auto"/>
              </w:rPr>
              <w:t>989.6</w:t>
            </w:r>
          </w:p>
        </w:tc>
        <w:tc>
          <w:tcPr>
            <w:tcW w:w="1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941"/>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DCE2EF"/>
          </w:tcPr>
          <w:p>
            <w:pPr>
              <w:jc w:val="right"/>
              <w:ind w:right="119"/>
              <w:spacing w:after="0"/>
              <w:rPr>
                <w:sz w:val="20"/>
                <w:szCs w:val="20"/>
                <w:color w:val="auto"/>
              </w:rPr>
            </w:pPr>
            <w:r>
              <w:rPr>
                <w:rFonts w:ascii="Arial" w:cs="Arial" w:eastAsia="Arial" w:hAnsi="Arial"/>
                <w:sz w:val="16"/>
                <w:szCs w:val="16"/>
                <w:color w:val="auto"/>
              </w:rPr>
              <w:t>998.5</w:t>
            </w:r>
          </w:p>
        </w:tc>
        <w:tc>
          <w:tcPr>
            <w:tcW w:w="100" w:type="dxa"/>
            <w:vAlign w:val="bottom"/>
            <w:shd w:val="clear" w:color="auto" w:fill="DCE2EF"/>
          </w:tcPr>
          <w:p>
            <w:pPr>
              <w:spacing w:after="0"/>
              <w:rPr>
                <w:sz w:val="18"/>
                <w:szCs w:val="18"/>
                <w:color w:val="auto"/>
              </w:rPr>
            </w:pPr>
          </w:p>
        </w:tc>
        <w:tc>
          <w:tcPr>
            <w:tcW w:w="960" w:type="dxa"/>
            <w:vAlign w:val="bottom"/>
            <w:shd w:val="clear" w:color="auto" w:fill="DCE2EF"/>
          </w:tcPr>
          <w:p>
            <w:pPr>
              <w:jc w:val="right"/>
              <w:ind w:right="759"/>
              <w:spacing w:after="0"/>
              <w:rPr>
                <w:sz w:val="20"/>
                <w:szCs w:val="20"/>
                <w:color w:val="auto"/>
              </w:rPr>
            </w:pPr>
            <w:r>
              <w:rPr>
                <w:rFonts w:ascii="Arial" w:cs="Arial" w:eastAsia="Arial" w:hAnsi="Arial"/>
                <w:sz w:val="16"/>
                <w:szCs w:val="16"/>
                <w:color w:val="auto"/>
              </w:rPr>
              <w:t>$</w:t>
            </w: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501"/>
              <w:spacing w:after="0"/>
              <w:rPr>
                <w:sz w:val="20"/>
                <w:szCs w:val="20"/>
                <w:color w:val="auto"/>
              </w:rPr>
            </w:pPr>
            <w:r>
              <w:rPr>
                <w:rFonts w:ascii="Arial" w:cs="Arial" w:eastAsia="Arial" w:hAnsi="Arial"/>
                <w:sz w:val="16"/>
                <w:szCs w:val="16"/>
                <w:color w:val="auto"/>
              </w:rPr>
              <w:t>(8.9)</w:t>
            </w:r>
          </w:p>
        </w:tc>
        <w:tc>
          <w:tcPr>
            <w:tcW w:w="1280" w:type="dxa"/>
            <w:vAlign w:val="bottom"/>
            <w:shd w:val="clear" w:color="auto" w:fill="DCE2EF"/>
          </w:tcPr>
          <w:p>
            <w:pPr>
              <w:jc w:val="right"/>
              <w:ind w:right="53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18"/>
                <w:szCs w:val="18"/>
                <w:color w:val="auto"/>
              </w:rPr>
            </w:pPr>
          </w:p>
        </w:tc>
        <w:tc>
          <w:tcPr>
            <w:tcW w:w="1420" w:type="dxa"/>
            <w:vAlign w:val="bottom"/>
            <w:gridSpan w:val="2"/>
          </w:tcPr>
          <w:p>
            <w:pPr>
              <w:jc w:val="right"/>
              <w:ind w:right="119"/>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gridSpan w:val="2"/>
          </w:tcPr>
          <w:p>
            <w:pPr>
              <w:jc w:val="right"/>
              <w:ind w:right="119"/>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541"/>
              <w:spacing w:after="0"/>
              <w:rPr>
                <w:sz w:val="20"/>
                <w:szCs w:val="20"/>
                <w:color w:val="auto"/>
              </w:rPr>
            </w:pPr>
            <w:r>
              <w:rPr>
                <w:rFonts w:ascii="Arial" w:cs="Arial" w:eastAsia="Arial" w:hAnsi="Arial"/>
                <w:sz w:val="16"/>
                <w:szCs w:val="16"/>
                <w:color w:val="auto"/>
              </w:rPr>
              <w:t>1.4</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3780" w:type="dxa"/>
            <w:vAlign w:val="bottom"/>
            <w:gridSpan w:val="3"/>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7"/>
                <w:szCs w:val="17"/>
                <w:color w:val="auto"/>
              </w:rPr>
            </w:pPr>
          </w:p>
        </w:tc>
        <w:tc>
          <w:tcPr>
            <w:tcW w:w="1420" w:type="dxa"/>
            <w:vAlign w:val="bottom"/>
            <w:gridSpan w:val="2"/>
            <w:shd w:val="clear" w:color="auto" w:fill="DCE2EF"/>
          </w:tcPr>
          <w:p>
            <w:pPr>
              <w:jc w:val="right"/>
              <w:spacing w:after="0"/>
              <w:rPr>
                <w:sz w:val="20"/>
                <w:szCs w:val="20"/>
                <w:color w:val="auto"/>
              </w:rPr>
            </w:pPr>
            <w:r>
              <w:rPr>
                <w:rFonts w:ascii="Arial" w:cs="Arial" w:eastAsia="Arial" w:hAnsi="Arial"/>
                <w:sz w:val="14"/>
                <w:szCs w:val="14"/>
                <w:i w:val="1"/>
                <w:iCs w:val="1"/>
                <w:color w:val="auto"/>
              </w:rPr>
              <w:t>7.8 %</w:t>
            </w:r>
          </w:p>
        </w:tc>
        <w:tc>
          <w:tcPr>
            <w:tcW w:w="100" w:type="dxa"/>
            <w:vAlign w:val="bottom"/>
            <w:shd w:val="clear" w:color="auto" w:fill="DCE2EF"/>
          </w:tcPr>
          <w:p>
            <w:pPr>
              <w:spacing w:after="0"/>
              <w:rPr>
                <w:sz w:val="17"/>
                <w:szCs w:val="17"/>
                <w:color w:val="auto"/>
              </w:rPr>
            </w:pPr>
          </w:p>
        </w:tc>
        <w:tc>
          <w:tcPr>
            <w:tcW w:w="1140" w:type="dxa"/>
            <w:vAlign w:val="bottom"/>
            <w:shd w:val="clear" w:color="auto" w:fill="DCE2EF"/>
          </w:tcPr>
          <w:p>
            <w:pPr>
              <w:spacing w:after="0"/>
              <w:rPr>
                <w:sz w:val="17"/>
                <w:szCs w:val="17"/>
                <w:color w:val="auto"/>
              </w:rPr>
            </w:pPr>
          </w:p>
        </w:tc>
        <w:tc>
          <w:tcPr>
            <w:tcW w:w="700" w:type="dxa"/>
            <w:vAlign w:val="bottom"/>
            <w:gridSpan w:val="2"/>
            <w:shd w:val="clear" w:color="auto" w:fill="DCE2EF"/>
          </w:tcPr>
          <w:p>
            <w:pPr>
              <w:jc w:val="right"/>
              <w:spacing w:after="0"/>
              <w:rPr>
                <w:sz w:val="20"/>
                <w:szCs w:val="20"/>
                <w:color w:val="auto"/>
              </w:rPr>
            </w:pPr>
            <w:r>
              <w:rPr>
                <w:rFonts w:ascii="Arial" w:cs="Arial" w:eastAsia="Arial" w:hAnsi="Arial"/>
                <w:sz w:val="14"/>
                <w:szCs w:val="14"/>
                <w:i w:val="1"/>
                <w:iCs w:val="1"/>
                <w:color w:val="auto"/>
              </w:rPr>
              <w:t>7.6 %</w:t>
            </w:r>
          </w:p>
        </w:tc>
        <w:tc>
          <w:tcPr>
            <w:tcW w:w="100" w:type="dxa"/>
            <w:vAlign w:val="bottom"/>
            <w:shd w:val="clear" w:color="auto" w:fill="DCE2EF"/>
          </w:tcPr>
          <w:p>
            <w:pPr>
              <w:spacing w:after="0"/>
              <w:rPr>
                <w:sz w:val="17"/>
                <w:szCs w:val="17"/>
                <w:color w:val="auto"/>
              </w:rPr>
            </w:pPr>
          </w:p>
        </w:tc>
        <w:tc>
          <w:tcPr>
            <w:tcW w:w="96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040" w:type="dxa"/>
            <w:vAlign w:val="bottom"/>
            <w:shd w:val="clear" w:color="auto" w:fill="DCE2EF"/>
          </w:tcPr>
          <w:p>
            <w:pPr>
              <w:jc w:val="right"/>
              <w:ind w:right="501"/>
              <w:spacing w:after="0"/>
              <w:rPr>
                <w:sz w:val="20"/>
                <w:szCs w:val="20"/>
                <w:color w:val="auto"/>
              </w:rPr>
            </w:pPr>
            <w:r>
              <w:rPr>
                <w:rFonts w:ascii="Arial" w:cs="Arial" w:eastAsia="Arial" w:hAnsi="Arial"/>
                <w:sz w:val="14"/>
                <w:szCs w:val="14"/>
                <w:i w:val="1"/>
                <w:iCs w:val="1"/>
                <w:color w:val="auto"/>
              </w:rPr>
              <w:t>21 bps</w:t>
            </w:r>
          </w:p>
        </w:tc>
        <w:tc>
          <w:tcPr>
            <w:tcW w:w="12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B&amp;I revenues decreased by $8.9 million, or 0.9%, to $989.6 million during the three months ended April 30, 2024, as compared to the prior year period. The revenue decrease was primarily driven by the soft commercial office market conditions and attrition of certain engineering clients, partially offset by client expansions and increases in revenue in the sports sector and parking. Management reimbursement revenues for this segment totaled $68.6 million and $65.7 million for the three months ended April 30, 2024 and 2023, respectively.</w:t>
      </w:r>
    </w:p>
    <w:p>
      <w:pPr>
        <w:spacing w:after="0" w:line="125"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Operating profit increased by $1.4 million, or 1.8%, to $77.6 million during the three months ended April 30, 2024, as compared to the prior year period. Operating profit margin increased by 21 bps to 7.8% in the three months ended April 30, 2024, from 7.6% in the prior year period. The increase in operating profit margin was primarily driven by contract and service mix and labor efficiencies.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Manufacturing &amp; Distribution</w:t>
            </w:r>
          </w:p>
        </w:tc>
        <w:tc>
          <w:tcPr>
            <w:tcW w:w="420" w:type="dxa"/>
            <w:vAlign w:val="bottom"/>
          </w:tcPr>
          <w:p>
            <w:pPr>
              <w:spacing w:after="0"/>
              <w:rPr>
                <w:sz w:val="19"/>
                <w:szCs w:val="19"/>
                <w:color w:val="auto"/>
              </w:rPr>
            </w:pPr>
          </w:p>
        </w:tc>
        <w:tc>
          <w:tcPr>
            <w:tcW w:w="346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rPr>
              <w:t>Three Months Ended April 30,</w:t>
            </w:r>
          </w:p>
        </w:tc>
        <w:tc>
          <w:tcPr>
            <w:tcW w:w="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60" w:type="dxa"/>
            <w:vAlign w:val="bottom"/>
            <w:gridSpan w:val="5"/>
            <w:vMerge w:val="continue"/>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tcPr>
          <w:p>
            <w:pPr>
              <w:jc w:val="right"/>
              <w:ind w:right="123"/>
              <w:spacing w:after="0" w:line="136" w:lineRule="exact"/>
              <w:rPr>
                <w:sz w:val="20"/>
                <w:szCs w:val="20"/>
                <w:color w:val="auto"/>
              </w:rPr>
            </w:pPr>
            <w:r>
              <w:rPr>
                <w:rFonts w:ascii="Arial" w:cs="Arial" w:eastAsia="Arial" w:hAnsi="Arial"/>
                <w:sz w:val="15"/>
                <w:szCs w:val="15"/>
                <w:b w:val="1"/>
                <w:bCs w:val="1"/>
                <w:color w:val="auto"/>
              </w:rPr>
              <w:t>Increase</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8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38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388.6</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373.2</w:t>
            </w:r>
          </w:p>
        </w:tc>
        <w:tc>
          <w:tcPr>
            <w:tcW w:w="100" w:type="dxa"/>
            <w:vAlign w:val="bottom"/>
            <w:shd w:val="clear" w:color="auto" w:fill="DCE2EF"/>
          </w:tcPr>
          <w:p>
            <w:pPr>
              <w:spacing w:after="0"/>
              <w:rPr>
                <w:sz w:val="18"/>
                <w:szCs w:val="18"/>
                <w:color w:val="auto"/>
              </w:rPr>
            </w:pPr>
          </w:p>
        </w:tc>
        <w:tc>
          <w:tcPr>
            <w:tcW w:w="680" w:type="dxa"/>
            <w:vAlign w:val="bottom"/>
            <w:shd w:val="clear" w:color="auto" w:fill="DCE2EF"/>
          </w:tcPr>
          <w:p>
            <w:pPr>
              <w:jc w:val="right"/>
              <w:ind w:right="4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DCE2EF"/>
          </w:tcPr>
          <w:p>
            <w:pPr>
              <w:jc w:val="right"/>
              <w:ind w:right="583"/>
              <w:spacing w:after="0"/>
              <w:rPr>
                <w:sz w:val="20"/>
                <w:szCs w:val="20"/>
                <w:color w:val="auto"/>
              </w:rPr>
            </w:pPr>
            <w:r>
              <w:rPr>
                <w:rFonts w:ascii="Arial" w:cs="Arial" w:eastAsia="Arial" w:hAnsi="Arial"/>
                <w:sz w:val="16"/>
                <w:szCs w:val="16"/>
                <w:color w:val="auto"/>
              </w:rPr>
              <w:t>15.4</w:t>
            </w:r>
          </w:p>
        </w:tc>
        <w:tc>
          <w:tcPr>
            <w:tcW w:w="1240" w:type="dxa"/>
            <w:vAlign w:val="bottom"/>
            <w:shd w:val="clear" w:color="auto" w:fill="DCE2EF"/>
          </w:tcPr>
          <w:p>
            <w:pPr>
              <w:jc w:val="right"/>
              <w:ind w:right="59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jc w:val="right"/>
              <w:ind w:right="583"/>
              <w:spacing w:after="0"/>
              <w:rPr>
                <w:sz w:val="20"/>
                <w:szCs w:val="20"/>
                <w:color w:val="auto"/>
              </w:rPr>
            </w:pPr>
            <w:r>
              <w:rPr>
                <w:rFonts w:ascii="Arial" w:cs="Arial" w:eastAsia="Arial" w:hAnsi="Arial"/>
                <w:sz w:val="16"/>
                <w:szCs w:val="16"/>
                <w:color w:val="auto"/>
              </w:rPr>
              <w:t>2.8</w:t>
            </w:r>
          </w:p>
        </w:tc>
        <w:tc>
          <w:tcPr>
            <w:tcW w:w="1240" w:type="dxa"/>
            <w:vAlign w:val="bottom"/>
          </w:tcPr>
          <w:p>
            <w:pPr>
              <w:jc w:val="right"/>
              <w:ind w:right="59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11.2 %</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10.9 %</w:t>
            </w:r>
          </w:p>
        </w:tc>
        <w:tc>
          <w:tcPr>
            <w:tcW w:w="10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1620" w:type="dxa"/>
            <w:vAlign w:val="bottom"/>
            <w:shd w:val="clear" w:color="auto" w:fill="DCE2EF"/>
          </w:tcPr>
          <w:p>
            <w:pPr>
              <w:jc w:val="right"/>
              <w:ind w:right="523"/>
              <w:spacing w:after="0"/>
              <w:rPr>
                <w:sz w:val="20"/>
                <w:szCs w:val="20"/>
                <w:color w:val="auto"/>
              </w:rPr>
            </w:pPr>
            <w:r>
              <w:rPr>
                <w:rFonts w:ascii="Arial" w:cs="Arial" w:eastAsia="Arial" w:hAnsi="Arial"/>
                <w:sz w:val="14"/>
                <w:szCs w:val="14"/>
                <w:i w:val="1"/>
                <w:iCs w:val="1"/>
                <w:color w:val="auto"/>
              </w:rPr>
              <w:t>29 bps</w:t>
            </w:r>
          </w:p>
        </w:tc>
        <w:tc>
          <w:tcPr>
            <w:tcW w:w="124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M&amp;D revenues increased by $15.4 million, or 4.1%, to $388.6 million during the three months ended April 30, 2024, as compared to the prior year period. The increase was primarily attributable to the expansion of business with existing customers.</w:t>
      </w:r>
    </w:p>
    <w:p>
      <w:pPr>
        <w:spacing w:after="0" w:line="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Operating profit increased by 6.9% to $43.6 million during the three months ended April 30, 2024, as compared to the prior year period. Operating profit margin increased by 29 bps to 11.2% in the three months ended April 30, 2024, from 10.9% in the prior year period. The increase in operating profit margin was primarily attributable to the contract mix.</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Education</w:t>
            </w:r>
          </w:p>
        </w:tc>
        <w:tc>
          <w:tcPr>
            <w:tcW w:w="420" w:type="dxa"/>
            <w:vAlign w:val="bottom"/>
          </w:tcPr>
          <w:p>
            <w:pPr>
              <w:spacing w:after="0"/>
              <w:rPr>
                <w:sz w:val="19"/>
                <w:szCs w:val="19"/>
                <w:color w:val="auto"/>
              </w:rPr>
            </w:pPr>
          </w:p>
        </w:tc>
        <w:tc>
          <w:tcPr>
            <w:tcW w:w="346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rPr>
              <w:t>Three Months Ended April 30,</w:t>
            </w: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60" w:type="dxa"/>
            <w:vAlign w:val="bottom"/>
            <w:gridSpan w:val="5"/>
            <w:vMerge w:val="continue"/>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20" w:type="dxa"/>
            <w:vAlign w:val="bottom"/>
            <w:gridSpan w:val="2"/>
          </w:tcPr>
          <w:p>
            <w:pPr>
              <w:jc w:val="right"/>
              <w:ind w:right="879"/>
              <w:spacing w:after="0" w:line="136" w:lineRule="exact"/>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6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37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225.6</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216.7</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jc w:val="right"/>
              <w:ind w:right="3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DCE2EF"/>
          </w:tcPr>
          <w:p>
            <w:pPr>
              <w:jc w:val="right"/>
              <w:ind w:right="343"/>
              <w:spacing w:after="0"/>
              <w:rPr>
                <w:sz w:val="20"/>
                <w:szCs w:val="20"/>
                <w:color w:val="auto"/>
              </w:rPr>
            </w:pPr>
            <w:r>
              <w:rPr>
                <w:rFonts w:ascii="Arial" w:cs="Arial" w:eastAsia="Arial" w:hAnsi="Arial"/>
                <w:sz w:val="16"/>
                <w:szCs w:val="16"/>
                <w:color w:val="auto"/>
              </w:rPr>
              <w:t>8.9</w:t>
            </w:r>
          </w:p>
        </w:tc>
        <w:tc>
          <w:tcPr>
            <w:tcW w:w="1480" w:type="dxa"/>
            <w:vAlign w:val="bottom"/>
            <w:shd w:val="clear" w:color="auto" w:fill="DCE2EF"/>
          </w:tcPr>
          <w:p>
            <w:pPr>
              <w:jc w:val="right"/>
              <w:ind w:right="59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jc w:val="right"/>
              <w:ind w:right="303"/>
              <w:spacing w:after="0"/>
              <w:rPr>
                <w:sz w:val="20"/>
                <w:szCs w:val="20"/>
                <w:color w:val="auto"/>
              </w:rPr>
            </w:pPr>
            <w:r>
              <w:rPr>
                <w:rFonts w:ascii="Arial" w:cs="Arial" w:eastAsia="Arial" w:hAnsi="Arial"/>
                <w:sz w:val="16"/>
                <w:szCs w:val="16"/>
                <w:color w:val="auto"/>
              </w:rPr>
              <w:t>(0.3)</w:t>
            </w:r>
          </w:p>
        </w:tc>
        <w:tc>
          <w:tcPr>
            <w:tcW w:w="1480" w:type="dxa"/>
            <w:vAlign w:val="bottom"/>
          </w:tcPr>
          <w:p>
            <w:pPr>
              <w:jc w:val="right"/>
              <w:ind w:right="5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378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5.1 %</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5.4 %</w:t>
            </w:r>
          </w:p>
        </w:tc>
        <w:tc>
          <w:tcPr>
            <w:tcW w:w="100" w:type="dxa"/>
            <w:vAlign w:val="bottom"/>
            <w:shd w:val="clear" w:color="auto" w:fill="DCE2EF"/>
          </w:tcPr>
          <w:p>
            <w:pPr>
              <w:spacing w:after="0"/>
              <w:rPr>
                <w:sz w:val="17"/>
                <w:szCs w:val="17"/>
                <w:color w:val="auto"/>
              </w:rPr>
            </w:pPr>
          </w:p>
        </w:tc>
        <w:tc>
          <w:tcPr>
            <w:tcW w:w="540" w:type="dxa"/>
            <w:vAlign w:val="bottom"/>
            <w:shd w:val="clear" w:color="auto" w:fill="DCE2EF"/>
          </w:tcPr>
          <w:p>
            <w:pPr>
              <w:spacing w:after="0"/>
              <w:rPr>
                <w:sz w:val="17"/>
                <w:szCs w:val="17"/>
                <w:color w:val="auto"/>
              </w:rPr>
            </w:pPr>
          </w:p>
        </w:tc>
        <w:tc>
          <w:tcPr>
            <w:tcW w:w="1540" w:type="dxa"/>
            <w:vAlign w:val="bottom"/>
            <w:shd w:val="clear" w:color="auto" w:fill="DCE2EF"/>
          </w:tcPr>
          <w:p>
            <w:pPr>
              <w:ind w:left="640"/>
              <w:spacing w:after="0"/>
              <w:rPr>
                <w:sz w:val="20"/>
                <w:szCs w:val="20"/>
                <w:color w:val="auto"/>
              </w:rPr>
            </w:pPr>
            <w:r>
              <w:rPr>
                <w:rFonts w:ascii="Arial" w:cs="Arial" w:eastAsia="Arial" w:hAnsi="Arial"/>
                <w:sz w:val="14"/>
                <w:szCs w:val="14"/>
                <w:i w:val="1"/>
                <w:iCs w:val="1"/>
                <w:color w:val="auto"/>
              </w:rPr>
              <w:t>(31) bps</w:t>
            </w:r>
          </w:p>
        </w:tc>
        <w:tc>
          <w:tcPr>
            <w:tcW w:w="14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Education revenues increased by $8.9 million, or 4.1%, to $225.6 million during the three months ended April 30, 2024, as compared to the prior year period. The increase was primarily attributable to net new business and expansion of business with existing customers.</w:t>
      </w:r>
    </w:p>
    <w:p>
      <w:pPr>
        <w:spacing w:after="0" w:line="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Operating profit decreased by $0.3 million, or 1.8%, to $11.5 million for the three months ended April 30, 2024, as compared to the prior year period. Operating profit margin decreased by 31 bps to 5.1% in the three months ended April 30, 2024, from 5.4% in the prior year period. The decrease in operating profit margin was primarily attributable to base wage increases, partially offset by labor efficiencies.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Aviation</w:t>
            </w:r>
          </w:p>
        </w:tc>
        <w:tc>
          <w:tcPr>
            <w:tcW w:w="420" w:type="dxa"/>
            <w:vAlign w:val="bottom"/>
          </w:tcPr>
          <w:p>
            <w:pPr>
              <w:spacing w:after="0"/>
              <w:rPr>
                <w:sz w:val="19"/>
                <w:szCs w:val="19"/>
                <w:color w:val="auto"/>
              </w:rPr>
            </w:pPr>
          </w:p>
        </w:tc>
        <w:tc>
          <w:tcPr>
            <w:tcW w:w="346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rPr>
              <w:t>Three Months Ended April 30,</w:t>
            </w: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60" w:type="dxa"/>
            <w:vAlign w:val="bottom"/>
            <w:gridSpan w:val="5"/>
            <w:vMerge w:val="continue"/>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20" w:type="dxa"/>
            <w:vAlign w:val="bottom"/>
            <w:gridSpan w:val="2"/>
          </w:tcPr>
          <w:p>
            <w:pPr>
              <w:ind w:left="440"/>
              <w:spacing w:after="0" w:line="136" w:lineRule="exact"/>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6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37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238.2</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227.2</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jc w:val="right"/>
              <w:ind w:right="3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DCE2EF"/>
          </w:tcPr>
          <w:p>
            <w:pPr>
              <w:jc w:val="right"/>
              <w:ind w:right="323"/>
              <w:spacing w:after="0"/>
              <w:rPr>
                <w:sz w:val="20"/>
                <w:szCs w:val="20"/>
                <w:color w:val="auto"/>
              </w:rPr>
            </w:pPr>
            <w:r>
              <w:rPr>
                <w:rFonts w:ascii="Arial" w:cs="Arial" w:eastAsia="Arial" w:hAnsi="Arial"/>
                <w:sz w:val="16"/>
                <w:szCs w:val="16"/>
                <w:color w:val="auto"/>
              </w:rPr>
              <w:t>11.0</w:t>
            </w:r>
          </w:p>
        </w:tc>
        <w:tc>
          <w:tcPr>
            <w:tcW w:w="1500" w:type="dxa"/>
            <w:vAlign w:val="bottom"/>
            <w:shd w:val="clear" w:color="auto" w:fill="DCE2EF"/>
          </w:tcPr>
          <w:p>
            <w:pPr>
              <w:jc w:val="right"/>
              <w:ind w:right="59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jc w:val="right"/>
              <w:ind w:right="283"/>
              <w:spacing w:after="0"/>
              <w:rPr>
                <w:sz w:val="20"/>
                <w:szCs w:val="20"/>
                <w:color w:val="auto"/>
              </w:rPr>
            </w:pPr>
            <w:r>
              <w:rPr>
                <w:rFonts w:ascii="Arial" w:cs="Arial" w:eastAsia="Arial" w:hAnsi="Arial"/>
                <w:sz w:val="16"/>
                <w:szCs w:val="16"/>
                <w:color w:val="auto"/>
              </w:rPr>
              <w:t>(10.5)</w:t>
            </w:r>
          </w:p>
        </w:tc>
        <w:tc>
          <w:tcPr>
            <w:tcW w:w="1500" w:type="dxa"/>
            <w:vAlign w:val="bottom"/>
          </w:tcPr>
          <w:p>
            <w:pPr>
              <w:jc w:val="right"/>
              <w:ind w:right="499"/>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378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5.5 %</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10.4 %</w:t>
            </w:r>
          </w:p>
        </w:tc>
        <w:tc>
          <w:tcPr>
            <w:tcW w:w="100" w:type="dxa"/>
            <w:vAlign w:val="bottom"/>
            <w:shd w:val="clear" w:color="auto" w:fill="DCE2EF"/>
          </w:tcPr>
          <w:p>
            <w:pPr>
              <w:spacing w:after="0"/>
              <w:rPr>
                <w:sz w:val="17"/>
                <w:szCs w:val="17"/>
                <w:color w:val="auto"/>
              </w:rPr>
            </w:pPr>
          </w:p>
        </w:tc>
        <w:tc>
          <w:tcPr>
            <w:tcW w:w="540" w:type="dxa"/>
            <w:vAlign w:val="bottom"/>
            <w:shd w:val="clear" w:color="auto" w:fill="DCE2EF"/>
          </w:tcPr>
          <w:p>
            <w:pPr>
              <w:spacing w:after="0"/>
              <w:rPr>
                <w:sz w:val="17"/>
                <w:szCs w:val="17"/>
                <w:color w:val="auto"/>
              </w:rPr>
            </w:pPr>
          </w:p>
        </w:tc>
        <w:tc>
          <w:tcPr>
            <w:tcW w:w="1520" w:type="dxa"/>
            <w:vAlign w:val="bottom"/>
            <w:shd w:val="clear" w:color="auto" w:fill="DCE2EF"/>
          </w:tcPr>
          <w:p>
            <w:pPr>
              <w:ind w:left="560"/>
              <w:spacing w:after="0"/>
              <w:rPr>
                <w:sz w:val="20"/>
                <w:szCs w:val="20"/>
                <w:color w:val="auto"/>
              </w:rPr>
            </w:pPr>
            <w:r>
              <w:rPr>
                <w:rFonts w:ascii="Arial" w:cs="Arial" w:eastAsia="Arial" w:hAnsi="Arial"/>
                <w:sz w:val="14"/>
                <w:szCs w:val="14"/>
                <w:i w:val="1"/>
                <w:iCs w:val="1"/>
                <w:color w:val="auto"/>
              </w:rPr>
              <w:t>(492) bps</w:t>
            </w:r>
          </w:p>
        </w:tc>
        <w:tc>
          <w:tcPr>
            <w:tcW w:w="150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Aviation revenues increased by $11.0 million, or 4.8%, to $ 238.2 million during the three months ended April 30, 2024, as compared to the prior year period. The increase was primarily attributable to new business and scope expansions with the existing clients as well as continuing recovery in travel volume. In addition, during the three months ended April 30, 2023, we recognized $12.6 million in revenue from an Aviation parking project, whereby all the direct labor and related costs were recognized prior to January 31, 2023. Management reimbursement revenues for this segment totaled $8.2 million and $7.7 million for the three months ended April 30, 2024 and 2023, respectively.</w:t>
      </w:r>
    </w:p>
    <w:p>
      <w:pPr>
        <w:spacing w:after="0" w:line="1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profit decreased by $10.5 million, or 44.8%, to $ 13.1 million for the three months ended April 30, 2024, as compared to the prior year period. Operating profit margin decreased by 492 bps to 5.5% in the three months ended April 30, 2024. The operating profit margin decreased primarily due to the revenue recognized for the Aviation parking project during the three months ended April 30, 2023, whereby all the direct labor and related costs were recognized prior to January 31, 2023. This decrease was partially offset by labor efficiencies, primarily due to an increase in travel volume.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Technical Solutions</w:t>
            </w:r>
          </w:p>
        </w:tc>
        <w:tc>
          <w:tcPr>
            <w:tcW w:w="420" w:type="dxa"/>
            <w:vAlign w:val="bottom"/>
          </w:tcPr>
          <w:p>
            <w:pPr>
              <w:spacing w:after="0"/>
              <w:rPr>
                <w:sz w:val="19"/>
                <w:szCs w:val="19"/>
                <w:color w:val="auto"/>
              </w:rPr>
            </w:pPr>
          </w:p>
        </w:tc>
        <w:tc>
          <w:tcPr>
            <w:tcW w:w="346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rPr>
              <w:t>Three Months Ended April 30,</w:t>
            </w:r>
          </w:p>
        </w:tc>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60" w:type="dxa"/>
            <w:vAlign w:val="bottom"/>
            <w:gridSpan w:val="5"/>
            <w:vMerge w:val="continue"/>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20" w:type="dxa"/>
            <w:vAlign w:val="bottom"/>
          </w:tcPr>
          <w:p>
            <w:pPr>
              <w:jc w:val="right"/>
              <w:ind w:right="83"/>
              <w:spacing w:after="0" w:line="136" w:lineRule="exact"/>
              <w:rPr>
                <w:sz w:val="20"/>
                <w:szCs w:val="20"/>
                <w:color w:val="auto"/>
              </w:rPr>
            </w:pPr>
            <w:r>
              <w:rPr>
                <w:rFonts w:ascii="Arial" w:cs="Arial" w:eastAsia="Arial" w:hAnsi="Arial"/>
                <w:sz w:val="15"/>
                <w:szCs w:val="15"/>
                <w:b w:val="1"/>
                <w:bCs w:val="1"/>
                <w:color w:val="auto"/>
              </w:rPr>
              <w:t>Increase</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6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37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176.2</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168.4</w:t>
            </w:r>
          </w:p>
        </w:tc>
        <w:tc>
          <w:tcPr>
            <w:tcW w:w="100" w:type="dxa"/>
            <w:vAlign w:val="bottom"/>
            <w:shd w:val="clear" w:color="auto" w:fill="DCE2EF"/>
          </w:tcPr>
          <w:p>
            <w:pPr>
              <w:spacing w:after="0"/>
              <w:rPr>
                <w:sz w:val="18"/>
                <w:szCs w:val="18"/>
                <w:color w:val="auto"/>
              </w:rPr>
            </w:pPr>
          </w:p>
        </w:tc>
        <w:tc>
          <w:tcPr>
            <w:tcW w:w="660" w:type="dxa"/>
            <w:vAlign w:val="bottom"/>
            <w:shd w:val="clear" w:color="auto" w:fill="DCE2EF"/>
          </w:tcPr>
          <w:p>
            <w:pPr>
              <w:jc w:val="right"/>
              <w:ind w:right="4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DCE2EF"/>
          </w:tcPr>
          <w:p>
            <w:pPr>
              <w:jc w:val="right"/>
              <w:ind w:right="543"/>
              <w:spacing w:after="0"/>
              <w:rPr>
                <w:sz w:val="20"/>
                <w:szCs w:val="20"/>
                <w:color w:val="auto"/>
              </w:rPr>
            </w:pPr>
            <w:r>
              <w:rPr>
                <w:rFonts w:ascii="Arial" w:cs="Arial" w:eastAsia="Arial" w:hAnsi="Arial"/>
                <w:sz w:val="16"/>
                <w:szCs w:val="16"/>
                <w:color w:val="auto"/>
              </w:rPr>
              <w:t>7.8</w:t>
            </w:r>
          </w:p>
        </w:tc>
        <w:tc>
          <w:tcPr>
            <w:tcW w:w="1280" w:type="dxa"/>
            <w:vAlign w:val="bottom"/>
            <w:shd w:val="clear" w:color="auto" w:fill="DCE2EF"/>
          </w:tcPr>
          <w:p>
            <w:pPr>
              <w:jc w:val="right"/>
              <w:ind w:right="59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jc w:val="right"/>
              <w:ind w:right="543"/>
              <w:spacing w:after="0"/>
              <w:rPr>
                <w:sz w:val="20"/>
                <w:szCs w:val="20"/>
                <w:color w:val="auto"/>
              </w:rPr>
            </w:pPr>
            <w:r>
              <w:rPr>
                <w:rFonts w:ascii="Arial" w:cs="Arial" w:eastAsia="Arial" w:hAnsi="Arial"/>
                <w:sz w:val="16"/>
                <w:szCs w:val="16"/>
                <w:color w:val="auto"/>
              </w:rPr>
              <w:t>6.8</w:t>
            </w:r>
          </w:p>
        </w:tc>
        <w:tc>
          <w:tcPr>
            <w:tcW w:w="1280" w:type="dxa"/>
            <w:vAlign w:val="bottom"/>
          </w:tcPr>
          <w:p>
            <w:pPr>
              <w:jc w:val="right"/>
              <w:ind w:right="559"/>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378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9.6 %</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6.0 %</w:t>
            </w:r>
          </w:p>
        </w:tc>
        <w:tc>
          <w:tcPr>
            <w:tcW w:w="100" w:type="dxa"/>
            <w:vAlign w:val="bottom"/>
            <w:shd w:val="clear" w:color="auto" w:fill="DCE2EF"/>
          </w:tcPr>
          <w:p>
            <w:pPr>
              <w:spacing w:after="0"/>
              <w:rPr>
                <w:sz w:val="17"/>
                <w:szCs w:val="17"/>
                <w:color w:val="auto"/>
              </w:rPr>
            </w:pPr>
          </w:p>
        </w:tc>
        <w:tc>
          <w:tcPr>
            <w:tcW w:w="660" w:type="dxa"/>
            <w:vAlign w:val="bottom"/>
            <w:shd w:val="clear" w:color="auto" w:fill="DCE2EF"/>
          </w:tcPr>
          <w:p>
            <w:pPr>
              <w:spacing w:after="0"/>
              <w:rPr>
                <w:sz w:val="17"/>
                <w:szCs w:val="17"/>
                <w:color w:val="auto"/>
              </w:rPr>
            </w:pPr>
          </w:p>
        </w:tc>
        <w:tc>
          <w:tcPr>
            <w:tcW w:w="1620" w:type="dxa"/>
            <w:vAlign w:val="bottom"/>
            <w:shd w:val="clear" w:color="auto" w:fill="DCE2EF"/>
          </w:tcPr>
          <w:p>
            <w:pPr>
              <w:jc w:val="right"/>
              <w:ind w:right="503"/>
              <w:spacing w:after="0"/>
              <w:rPr>
                <w:sz w:val="20"/>
                <w:szCs w:val="20"/>
                <w:color w:val="auto"/>
              </w:rPr>
            </w:pPr>
            <w:r>
              <w:rPr>
                <w:rFonts w:ascii="Arial" w:cs="Arial" w:eastAsia="Arial" w:hAnsi="Arial"/>
                <w:sz w:val="14"/>
                <w:szCs w:val="14"/>
                <w:i w:val="1"/>
                <w:iCs w:val="1"/>
                <w:color w:val="auto"/>
              </w:rPr>
              <w:t>358 bps</w:t>
            </w:r>
          </w:p>
        </w:tc>
        <w:tc>
          <w:tcPr>
            <w:tcW w:w="12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Technical Solutions revenues increased by $ 7.8 million, or 4.6%, to $176.2 million during the three months ended April 30, 2024, as compared to the prior year period. The increase was primarily driven by higher project revenues due to the timing of certain energy solutions projects, including microgrid systems and generators installation, partially offset by a decrease in electric vehicle charging station installation sales.</w:t>
      </w:r>
    </w:p>
    <w:p>
      <w:pPr>
        <w:spacing w:after="0" w:line="1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Operating profit increased by $6.8 million, or 66.6%, to $17.0 million during the three months ended April 30, 2024, as compared to the prior year period. Operating profit margin increased by 358 bps to 9.6% in the three months ended April 30, 2024, from 6.0% in the prior year period. The increase in operating profit margin was primarily attributable to the contract mix and lower amortization of intangible assets.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Corporate</w:t>
            </w:r>
          </w:p>
        </w:tc>
        <w:tc>
          <w:tcPr>
            <w:tcW w:w="3060" w:type="dxa"/>
            <w:vAlign w:val="bottom"/>
            <w:gridSpan w:val="4"/>
            <w:vMerge w:val="restart"/>
          </w:tcPr>
          <w:p>
            <w:pPr>
              <w:jc w:val="right"/>
              <w:ind w:right="39"/>
              <w:spacing w:after="0"/>
              <w:rPr>
                <w:sz w:val="20"/>
                <w:szCs w:val="20"/>
                <w:color w:val="auto"/>
              </w:rPr>
            </w:pPr>
            <w:r>
              <w:rPr>
                <w:rFonts w:ascii="Arial" w:cs="Arial" w:eastAsia="Arial" w:hAnsi="Arial"/>
                <w:sz w:val="16"/>
                <w:szCs w:val="16"/>
                <w:b w:val="1"/>
                <w:bCs w:val="1"/>
                <w:color w:val="auto"/>
              </w:rPr>
              <w:t>Three Months Ended April 30,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060" w:type="dxa"/>
            <w:vAlign w:val="bottom"/>
            <w:tcBorders>
              <w:bottom w:val="single" w:sz="8" w:color="auto"/>
            </w:tcBorders>
            <w:gridSpan w:val="4"/>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1180" w:type="dxa"/>
            <w:vAlign w:val="bottom"/>
          </w:tcPr>
          <w:p>
            <w:pPr>
              <w:jc w:val="right"/>
              <w:ind w:right="39"/>
              <w:spacing w:after="0" w:line="142" w:lineRule="exact"/>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59"/>
              <w:spacing w:after="0" w:line="142" w:lineRule="exact"/>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0" w:type="dxa"/>
            <w:vAlign w:val="bottom"/>
          </w:tcPr>
          <w:p>
            <w:pPr>
              <w:jc w:val="right"/>
              <w:ind w:right="82"/>
              <w:spacing w:after="0" w:line="136" w:lineRule="exact"/>
              <w:rPr>
                <w:sz w:val="20"/>
                <w:szCs w:val="20"/>
                <w:color w:val="auto"/>
              </w:rPr>
            </w:pPr>
            <w:r>
              <w:rPr>
                <w:rFonts w:ascii="Arial" w:cs="Arial" w:eastAsia="Arial" w:hAnsi="Arial"/>
                <w:sz w:val="15"/>
                <w:szCs w:val="15"/>
                <w:b w:val="1"/>
                <w:bCs w:val="1"/>
                <w:color w:val="auto"/>
              </w:rPr>
              <w:t>Increase</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3060" w:type="dxa"/>
            <w:vAlign w:val="bottom"/>
            <w:tcBorders>
              <w:bottom w:val="single" w:sz="8" w:color="DCE2E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38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Corporate expenses</w:t>
            </w:r>
          </w:p>
        </w:tc>
        <w:tc>
          <w:tcPr>
            <w:tcW w:w="1180" w:type="dxa"/>
            <w:vAlign w:val="bottom"/>
            <w:shd w:val="clear" w:color="auto" w:fill="DCE2EF"/>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(79.7)</w:t>
            </w:r>
          </w:p>
        </w:tc>
        <w:tc>
          <w:tcPr>
            <w:tcW w:w="100" w:type="dxa"/>
            <w:vAlign w:val="bottom"/>
            <w:shd w:val="clear" w:color="auto" w:fill="DCE2EF"/>
          </w:tcPr>
          <w:p>
            <w:pPr>
              <w:spacing w:after="0"/>
              <w:rPr>
                <w:sz w:val="18"/>
                <w:szCs w:val="18"/>
                <w:color w:val="auto"/>
              </w:rPr>
            </w:pPr>
          </w:p>
        </w:tc>
        <w:tc>
          <w:tcPr>
            <w:tcW w:w="1200" w:type="dxa"/>
            <w:vAlign w:val="bottom"/>
            <w:shd w:val="clear" w:color="auto" w:fill="DCE2EF"/>
          </w:tcPr>
          <w:p>
            <w:pPr>
              <w:jc w:val="right"/>
              <w:ind w:right="10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499"/>
              <w:spacing w:after="0"/>
              <w:rPr>
                <w:sz w:val="20"/>
                <w:szCs w:val="20"/>
                <w:color w:val="auto"/>
              </w:rPr>
            </w:pPr>
            <w:r>
              <w:rPr>
                <w:rFonts w:ascii="Arial" w:cs="Arial" w:eastAsia="Arial" w:hAnsi="Arial"/>
                <w:sz w:val="16"/>
                <w:szCs w:val="16"/>
                <w:color w:val="auto"/>
              </w:rPr>
              <w:t>$</w:t>
            </w:r>
          </w:p>
        </w:tc>
        <w:tc>
          <w:tcPr>
            <w:tcW w:w="1600" w:type="dxa"/>
            <w:vAlign w:val="bottom"/>
            <w:shd w:val="clear" w:color="auto" w:fill="DCE2EF"/>
          </w:tcPr>
          <w:p>
            <w:pPr>
              <w:jc w:val="right"/>
              <w:ind w:right="482"/>
              <w:spacing w:after="0"/>
              <w:rPr>
                <w:sz w:val="20"/>
                <w:szCs w:val="20"/>
                <w:color w:val="auto"/>
              </w:rPr>
            </w:pPr>
            <w:r>
              <w:rPr>
                <w:rFonts w:ascii="Arial" w:cs="Arial" w:eastAsia="Arial" w:hAnsi="Arial"/>
                <w:sz w:val="16"/>
                <w:szCs w:val="16"/>
                <w:color w:val="auto"/>
              </w:rPr>
              <w:t>(10.5)</w:t>
            </w:r>
          </w:p>
        </w:tc>
        <w:tc>
          <w:tcPr>
            <w:tcW w:w="1320" w:type="dxa"/>
            <w:vAlign w:val="bottom"/>
            <w:shd w:val="clear" w:color="auto" w:fill="DCE2EF"/>
          </w:tcPr>
          <w:p>
            <w:pPr>
              <w:jc w:val="right"/>
              <w:ind w:right="519"/>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Corporate expenses increased by $10.5 million, or 15.2%, to $79.7 million during the three months ended April 30, 2024, as compared to the prior year period. The increase in corporate expenses was primarily attributable to:</w:t>
      </w:r>
    </w:p>
    <w:p>
      <w:pPr>
        <w:spacing w:after="0" w:line="153" w:lineRule="exact"/>
        <w:rPr>
          <w:sz w:val="20"/>
          <w:szCs w:val="20"/>
          <w:color w:val="auto"/>
        </w:rPr>
      </w:pPr>
    </w:p>
    <w:p>
      <w:pPr>
        <w:ind w:left="640" w:hanging="308"/>
        <w:spacing w:after="0"/>
        <w:tabs>
          <w:tab w:leader="none" w:pos="640" w:val="left"/>
        </w:tabs>
        <w:numPr>
          <w:ilvl w:val="0"/>
          <w:numId w:val="20"/>
        </w:numPr>
        <w:rPr>
          <w:rFonts w:ascii="Calibri" w:cs="Calibri" w:eastAsia="Calibri" w:hAnsi="Calibri"/>
          <w:sz w:val="12"/>
          <w:szCs w:val="12"/>
          <w:b w:val="1"/>
          <w:bCs w:val="1"/>
          <w:i w:val="1"/>
          <w:iCs w:val="1"/>
          <w:color w:val="0046AD"/>
        </w:rPr>
      </w:pPr>
      <w:r>
        <w:rPr>
          <w:rFonts w:ascii="Arial" w:cs="Arial" w:eastAsia="Arial" w:hAnsi="Arial"/>
          <w:sz w:val="18"/>
          <w:szCs w:val="18"/>
          <w:color w:val="auto"/>
        </w:rPr>
        <w:t>an absence of an $8.4 million fair value adjustment to decrease the contingent consideration related to the RavenVolt Acquisition;</w:t>
      </w:r>
    </w:p>
    <w:p>
      <w:pPr>
        <w:spacing w:after="0" w:line="171" w:lineRule="exact"/>
        <w:rPr>
          <w:rFonts w:ascii="Calibri" w:cs="Calibri" w:eastAsia="Calibri" w:hAnsi="Calibri"/>
          <w:sz w:val="12"/>
          <w:szCs w:val="12"/>
          <w:b w:val="1"/>
          <w:bCs w:val="1"/>
          <w:i w:val="1"/>
          <w:iCs w:val="1"/>
          <w:color w:val="0046AD"/>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$5.6 million increase in costs associated with the systems’ go-live; and</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$4.3 million unfavorable self-insurance reserve adjustment related to prior year claims from actuarial evaluations completed in the three months ended April 30, 2024.</w:t>
      </w:r>
    </w:p>
    <w:p>
      <w:pPr>
        <w:spacing w:after="0" w:line="9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increase was partially offset by:</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 $3.7 million decrease in certain discrete transformational costs under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for developing the new ERP system, client-facing technology, workforce management tools, and data analytics; and</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absence of a $3.5 million unfavorable medical and dental self-insurance adjustment related to prior year claims as the result of actuarial evaluations completed in the three months ended April 30, 2023.</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3" w:lineRule="exact"/>
        <w:rPr>
          <w:sz w:val="20"/>
          <w:szCs w:val="20"/>
          <w:color w:val="auto"/>
        </w:rPr>
      </w:pPr>
    </w:p>
    <w:p>
      <w:pPr>
        <w:ind w:right="3920"/>
        <w:spacing w:after="0" w:line="369" w:lineRule="auto"/>
        <w:rPr>
          <w:sz w:val="20"/>
          <w:szCs w:val="20"/>
          <w:color w:val="auto"/>
        </w:rPr>
      </w:pPr>
      <w:r>
        <w:rPr>
          <w:rFonts w:ascii="Arial" w:cs="Arial" w:eastAsia="Arial" w:hAnsi="Arial"/>
          <w:sz w:val="18"/>
          <w:szCs w:val="18"/>
          <w:b w:val="1"/>
          <w:bCs w:val="1"/>
          <w:i w:val="1"/>
          <w:iCs w:val="1"/>
          <w:color w:val="0046AD"/>
        </w:rPr>
        <w:t>Six Months Ended April 30, 2024, Compared with the Six Months Ended April 30, 2023 Consolidated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40" w:type="dxa"/>
            <w:vAlign w:val="bottom"/>
            <w:gridSpan w:val="5"/>
          </w:tcPr>
          <w:p>
            <w:pPr>
              <w:ind w:left="260"/>
              <w:spacing w:after="0"/>
              <w:rPr>
                <w:sz w:val="20"/>
                <w:szCs w:val="20"/>
                <w:color w:val="auto"/>
              </w:rPr>
            </w:pPr>
            <w:r>
              <w:rPr>
                <w:rFonts w:ascii="Arial" w:cs="Arial" w:eastAsia="Arial" w:hAnsi="Arial"/>
                <w:sz w:val="16"/>
                <w:szCs w:val="16"/>
                <w:b w:val="1"/>
                <w:bCs w:val="1"/>
                <w:color w:val="auto"/>
              </w:rPr>
              <w:t>Six Months Ended April 30,</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53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40"/>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40"/>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2"/>
          </w:tcPr>
          <w:p>
            <w:pPr>
              <w:ind w:left="160"/>
              <w:spacing w:after="0" w:line="136" w:lineRule="exact"/>
              <w:rPr>
                <w:sz w:val="20"/>
                <w:szCs w:val="20"/>
                <w:color w:val="auto"/>
              </w:rPr>
            </w:pPr>
            <w:r>
              <w:rPr>
                <w:rFonts w:ascii="Arial" w:cs="Arial" w:eastAsia="Arial" w:hAnsi="Arial"/>
                <w:sz w:val="15"/>
                <w:szCs w:val="15"/>
                <w:b w:val="1"/>
                <w:bCs w:val="1"/>
                <w:color w:val="auto"/>
              </w:rPr>
              <w:t>Increase / (Decrease)</w:t>
            </w:r>
          </w:p>
        </w:tc>
      </w:tr>
      <w:tr>
        <w:trPr>
          <w:trHeight w:val="34"/>
        </w:trPr>
        <w:tc>
          <w:tcPr>
            <w:tcW w:w="20" w:type="dxa"/>
            <w:vAlign w:val="bottom"/>
            <w:tcBorders>
              <w:bottom w:val="single" w:sz="8" w:color="DCE2EF"/>
            </w:tcBorders>
          </w:tcPr>
          <w:p>
            <w:pPr>
              <w:spacing w:after="0"/>
              <w:rPr>
                <w:sz w:val="2"/>
                <w:szCs w:val="2"/>
                <w:color w:val="auto"/>
              </w:rPr>
            </w:pPr>
          </w:p>
        </w:tc>
        <w:tc>
          <w:tcPr>
            <w:tcW w:w="720" w:type="dxa"/>
            <w:vAlign w:val="bottom"/>
            <w:tcBorders>
              <w:top w:val="single" w:sz="8" w:color="auto"/>
              <w:bottom w:val="single" w:sz="8" w:color="DCE2EF"/>
            </w:tcBorders>
          </w:tcPr>
          <w:p>
            <w:pPr>
              <w:spacing w:after="0"/>
              <w:rPr>
                <w:sz w:val="2"/>
                <w:szCs w:val="2"/>
                <w:color w:val="auto"/>
              </w:rPr>
            </w:pPr>
          </w:p>
        </w:tc>
        <w:tc>
          <w:tcPr>
            <w:tcW w:w="462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DCE2EF"/>
          </w:tcPr>
          <w:p>
            <w:pPr>
              <w:spacing w:after="0"/>
              <w:rPr>
                <w:sz w:val="18"/>
                <w:szCs w:val="18"/>
                <w:color w:val="auto"/>
              </w:rPr>
            </w:pPr>
          </w:p>
        </w:tc>
        <w:tc>
          <w:tcPr>
            <w:tcW w:w="534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360" w:type="dxa"/>
            <w:vAlign w:val="bottom"/>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4,087.8</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3,975.3</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112.5</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2.8%</w:t>
            </w:r>
          </w:p>
        </w:tc>
      </w:tr>
      <w:tr>
        <w:trPr>
          <w:trHeight w:val="215"/>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3,589.8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3,465.0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124.8</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3.6%</w:t>
            </w:r>
          </w:p>
        </w:tc>
      </w:tr>
      <w:tr>
        <w:trPr>
          <w:trHeight w:val="203"/>
        </w:trPr>
        <w:tc>
          <w:tcPr>
            <w:tcW w:w="20" w:type="dxa"/>
            <w:vAlign w:val="bottom"/>
            <w:shd w:val="clear" w:color="auto" w:fill="DCE2EF"/>
          </w:tcPr>
          <w:p>
            <w:pPr>
              <w:spacing w:after="0"/>
              <w:rPr>
                <w:sz w:val="17"/>
                <w:szCs w:val="17"/>
                <w:color w:val="auto"/>
              </w:rPr>
            </w:pPr>
          </w:p>
        </w:tc>
        <w:tc>
          <w:tcPr>
            <w:tcW w:w="534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Gross margin</w:t>
            </w:r>
          </w:p>
        </w:tc>
        <w:tc>
          <w:tcPr>
            <w:tcW w:w="360" w:type="dxa"/>
            <w:vAlign w:val="bottom"/>
            <w:shd w:val="clear" w:color="auto" w:fill="DCE2EF"/>
          </w:tcPr>
          <w:p>
            <w:pPr>
              <w:spacing w:after="0"/>
              <w:rPr>
                <w:sz w:val="17"/>
                <w:szCs w:val="17"/>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12.2 %</w:t>
            </w: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12.8 %</w:t>
            </w:r>
          </w:p>
        </w:tc>
        <w:tc>
          <w:tcPr>
            <w:tcW w:w="10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(65) bps</w:t>
            </w:r>
          </w:p>
        </w:tc>
        <w:tc>
          <w:tcPr>
            <w:tcW w:w="1280" w:type="dxa"/>
            <w:vAlign w:val="bottom"/>
            <w:shd w:val="clear" w:color="auto" w:fill="DCE2E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314.5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307.2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2.4%</w:t>
            </w:r>
          </w:p>
        </w:tc>
      </w:tr>
      <w:tr>
        <w:trPr>
          <w:trHeight w:val="217"/>
        </w:trPr>
        <w:tc>
          <w:tcPr>
            <w:tcW w:w="20" w:type="dxa"/>
            <w:vAlign w:val="bottom"/>
            <w:shd w:val="clear" w:color="auto" w:fill="DCE2EF"/>
          </w:tcPr>
          <w:p>
            <w:pPr>
              <w:spacing w:after="0"/>
              <w:rPr>
                <w:sz w:val="18"/>
                <w:szCs w:val="18"/>
                <w:color w:val="auto"/>
              </w:rPr>
            </w:pPr>
          </w:p>
        </w:tc>
        <w:tc>
          <w:tcPr>
            <w:tcW w:w="53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Borders>
              <w:bottom w:val="single" w:sz="8" w:color="auto"/>
            </w:tcBorders>
            <w:shd w:val="clear" w:color="auto" w:fill="DCE2EF"/>
          </w:tcPr>
          <w:p>
            <w:pPr>
              <w:spacing w:after="0"/>
              <w:rPr>
                <w:sz w:val="18"/>
                <w:szCs w:val="18"/>
                <w:color w:val="auto"/>
              </w:rPr>
            </w:pPr>
          </w:p>
        </w:tc>
        <w:tc>
          <w:tcPr>
            <w:tcW w:w="124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2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DCE2EF"/>
          </w:tcPr>
          <w:p>
            <w:pPr>
              <w:spacing w:after="0"/>
              <w:rPr>
                <w:sz w:val="18"/>
                <w:szCs w:val="18"/>
                <w:color w:val="auto"/>
              </w:rPr>
            </w:pPr>
          </w:p>
        </w:tc>
        <w:tc>
          <w:tcPr>
            <w:tcW w:w="280" w:type="dxa"/>
            <w:vAlign w:val="bottom"/>
            <w:tcBorders>
              <w:bottom w:val="single" w:sz="8" w:color="auto"/>
            </w:tcBorders>
            <w:shd w:val="clear" w:color="auto" w:fill="DCE2EF"/>
          </w:tcPr>
          <w:p>
            <w:pPr>
              <w:spacing w:after="0"/>
              <w:rPr>
                <w:sz w:val="18"/>
                <w:szCs w:val="18"/>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(10.8)</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(27.6)%</w:t>
            </w:r>
          </w:p>
        </w:tc>
      </w:tr>
      <w:tr>
        <w:trPr>
          <w:trHeight w:val="210"/>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6"/>
                <w:szCs w:val="16"/>
                <w:b w:val="1"/>
                <w:bCs w:val="1"/>
                <w:color w:val="auto"/>
              </w:rPr>
              <w:t>Operating profit</w:t>
            </w:r>
          </w:p>
        </w:tc>
        <w:tc>
          <w:tcPr>
            <w:tcW w:w="36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155.4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164.1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w:t>
            </w:r>
          </w:p>
        </w:tc>
        <w:tc>
          <w:tcPr>
            <w:tcW w:w="1280" w:type="dxa"/>
            <w:vAlign w:val="bottom"/>
          </w:tcPr>
          <w:p>
            <w:pPr>
              <w:jc w:val="center"/>
              <w:ind w:left="39"/>
              <w:spacing w:after="0"/>
              <w:rPr>
                <w:sz w:val="20"/>
                <w:szCs w:val="20"/>
                <w:color w:val="auto"/>
              </w:rPr>
            </w:pPr>
            <w:r>
              <w:rPr>
                <w:rFonts w:ascii="Arial" w:cs="Arial" w:eastAsia="Arial" w:hAnsi="Arial"/>
                <w:sz w:val="16"/>
                <w:szCs w:val="16"/>
                <w:color w:val="auto"/>
              </w:rPr>
              <w:t>(5.3)%</w:t>
            </w:r>
          </w:p>
        </w:tc>
      </w:tr>
      <w:tr>
        <w:trPr>
          <w:trHeight w:val="216"/>
        </w:trPr>
        <w:tc>
          <w:tcPr>
            <w:tcW w:w="20" w:type="dxa"/>
            <w:vAlign w:val="bottom"/>
            <w:shd w:val="clear" w:color="auto" w:fill="DCE2EF"/>
          </w:tcPr>
          <w:p>
            <w:pPr>
              <w:spacing w:after="0"/>
              <w:rPr>
                <w:sz w:val="18"/>
                <w:szCs w:val="18"/>
                <w:color w:val="auto"/>
              </w:rPr>
            </w:pPr>
          </w:p>
        </w:tc>
        <w:tc>
          <w:tcPr>
            <w:tcW w:w="53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from unconsolidated affiliates</w:t>
            </w:r>
          </w:p>
        </w:tc>
        <w:tc>
          <w:tcPr>
            <w:tcW w:w="360" w:type="dxa"/>
            <w:vAlign w:val="bottom"/>
            <w:shd w:val="clear" w:color="auto" w:fill="DCE2EF"/>
          </w:tcPr>
          <w:p>
            <w:pPr>
              <w:spacing w:after="0"/>
              <w:rPr>
                <w:sz w:val="18"/>
                <w:szCs w:val="18"/>
                <w:color w:val="auto"/>
              </w:rPr>
            </w:pPr>
          </w:p>
        </w:tc>
        <w:tc>
          <w:tcPr>
            <w:tcW w:w="124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2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71.4%</w:t>
            </w:r>
          </w:p>
        </w:tc>
      </w:tr>
      <w:tr>
        <w:trPr>
          <w:trHeight w:val="215"/>
        </w:trPr>
        <w:tc>
          <w:tcPr>
            <w:tcW w:w="20" w:type="dxa"/>
            <w:vAlign w:val="bottom"/>
            <w:tcBorders>
              <w:bottom w:val="single" w:sz="8" w:color="DCE2EF"/>
            </w:tcBorders>
          </w:tcPr>
          <w:p>
            <w:pPr>
              <w:spacing w:after="0"/>
              <w:rPr>
                <w:sz w:val="18"/>
                <w:szCs w:val="18"/>
                <w:color w:val="auto"/>
              </w:rPr>
            </w:pPr>
          </w:p>
        </w:tc>
        <w:tc>
          <w:tcPr>
            <w:tcW w:w="534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DCE2E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80" w:type="dxa"/>
            <w:vAlign w:val="bottom"/>
            <w:tcBorders>
              <w:bottom w:val="single" w:sz="8" w:color="DCE2EF"/>
            </w:tcBorders>
          </w:tcPr>
          <w:p>
            <w:pPr>
              <w:jc w:val="center"/>
              <w:ind w:left="39"/>
              <w:spacing w:after="0"/>
              <w:rPr>
                <w:sz w:val="20"/>
                <w:szCs w:val="20"/>
                <w:color w:val="auto"/>
              </w:rPr>
            </w:pPr>
            <w:r>
              <w:rPr>
                <w:rFonts w:ascii="Arial" w:cs="Arial" w:eastAsia="Arial" w:hAnsi="Arial"/>
                <w:sz w:val="16"/>
                <w:szCs w:val="16"/>
                <w:color w:val="auto"/>
              </w:rPr>
              <w:t>(2.6)%</w:t>
            </w:r>
          </w:p>
        </w:tc>
      </w:tr>
      <w:tr>
        <w:trPr>
          <w:trHeight w:val="210"/>
        </w:trPr>
        <w:tc>
          <w:tcPr>
            <w:tcW w:w="20" w:type="dxa"/>
            <w:vAlign w:val="bottom"/>
            <w:shd w:val="clear" w:color="auto" w:fill="DCE2EF"/>
          </w:tcPr>
          <w:p>
            <w:pPr>
              <w:spacing w:after="0"/>
              <w:rPr>
                <w:sz w:val="18"/>
                <w:szCs w:val="18"/>
                <w:color w:val="auto"/>
              </w:rPr>
            </w:pPr>
          </w:p>
        </w:tc>
        <w:tc>
          <w:tcPr>
            <w:tcW w:w="53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before income taxes</w:t>
            </w:r>
          </w:p>
        </w:tc>
        <w:tc>
          <w:tcPr>
            <w:tcW w:w="360" w:type="dxa"/>
            <w:vAlign w:val="bottom"/>
            <w:shd w:val="clear" w:color="auto" w:fill="DCE2EF"/>
          </w:tcPr>
          <w:p>
            <w:pPr>
              <w:spacing w:after="0"/>
              <w:rPr>
                <w:sz w:val="18"/>
                <w:szCs w:val="18"/>
                <w:color w:val="auto"/>
              </w:rPr>
            </w:pPr>
          </w:p>
        </w:tc>
        <w:tc>
          <w:tcPr>
            <w:tcW w:w="124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116.4</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2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(8.6)</w:t>
            </w:r>
          </w:p>
        </w:tc>
        <w:tc>
          <w:tcPr>
            <w:tcW w:w="128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(6.9)%</w:t>
            </w:r>
          </w:p>
        </w:tc>
      </w:tr>
      <w:tr>
        <w:trPr>
          <w:trHeight w:val="215"/>
        </w:trPr>
        <w:tc>
          <w:tcPr>
            <w:tcW w:w="20" w:type="dxa"/>
            <w:vAlign w:val="bottom"/>
            <w:tcBorders>
              <w:bottom w:val="single" w:sz="8" w:color="DCE2EF"/>
            </w:tcBorders>
          </w:tcPr>
          <w:p>
            <w:pPr>
              <w:spacing w:after="0"/>
              <w:rPr>
                <w:sz w:val="18"/>
                <w:szCs w:val="18"/>
                <w:color w:val="auto"/>
              </w:rPr>
            </w:pPr>
          </w:p>
        </w:tc>
        <w:tc>
          <w:tcPr>
            <w:tcW w:w="534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Income tax provision</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DCE2E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rPr>
              <w:t>19.0%</w:t>
            </w:r>
          </w:p>
        </w:tc>
      </w:tr>
      <w:tr>
        <w:trPr>
          <w:trHeight w:val="210"/>
        </w:trPr>
        <w:tc>
          <w:tcPr>
            <w:tcW w:w="20" w:type="dxa"/>
            <w:vAlign w:val="bottom"/>
            <w:shd w:val="clear" w:color="auto" w:fill="DCE2EF"/>
          </w:tcPr>
          <w:p>
            <w:pPr>
              <w:spacing w:after="0"/>
              <w:rPr>
                <w:sz w:val="18"/>
                <w:szCs w:val="18"/>
                <w:color w:val="auto"/>
              </w:rPr>
            </w:pPr>
          </w:p>
        </w:tc>
        <w:tc>
          <w:tcPr>
            <w:tcW w:w="534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Net income</w:t>
            </w:r>
          </w:p>
        </w:tc>
        <w:tc>
          <w:tcPr>
            <w:tcW w:w="360" w:type="dxa"/>
            <w:vAlign w:val="bottom"/>
            <w:tcBorders>
              <w:bottom w:val="single" w:sz="8" w:color="auto"/>
            </w:tcBorders>
            <w:shd w:val="clear" w:color="auto" w:fill="DCE2EF"/>
          </w:tcPr>
          <w:p>
            <w:pPr>
              <w:spacing w:after="0"/>
              <w:rPr>
                <w:sz w:val="18"/>
                <w:szCs w:val="18"/>
                <w:color w:val="auto"/>
              </w:rPr>
            </w:pPr>
          </w:p>
        </w:tc>
        <w:tc>
          <w:tcPr>
            <w:tcW w:w="124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2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DCE2EF"/>
          </w:tcPr>
          <w:p>
            <w:pPr>
              <w:spacing w:after="0"/>
              <w:rPr>
                <w:sz w:val="18"/>
                <w:szCs w:val="18"/>
                <w:color w:val="auto"/>
              </w:rPr>
            </w:pPr>
          </w:p>
        </w:tc>
        <w:tc>
          <w:tcPr>
            <w:tcW w:w="280" w:type="dxa"/>
            <w:vAlign w:val="bottom"/>
            <w:tcBorders>
              <w:bottom w:val="single" w:sz="8" w:color="auto"/>
            </w:tcBorders>
            <w:shd w:val="clear" w:color="auto" w:fill="DCE2EF"/>
          </w:tcPr>
          <w:p>
            <w:pPr>
              <w:spacing w:after="0"/>
              <w:rPr>
                <w:sz w:val="18"/>
                <w:szCs w:val="18"/>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(2.0)</w:t>
            </w:r>
          </w:p>
        </w:tc>
        <w:tc>
          <w:tcPr>
            <w:tcW w:w="128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(2.2)%</w:t>
            </w:r>
          </w:p>
        </w:tc>
      </w:tr>
      <w:tr>
        <w:trPr>
          <w:trHeight w:val="195"/>
        </w:trPr>
        <w:tc>
          <w:tcPr>
            <w:tcW w:w="20" w:type="dxa"/>
            <w:vAlign w:val="bottom"/>
          </w:tcPr>
          <w:p>
            <w:pPr>
              <w:spacing w:after="0"/>
              <w:rPr>
                <w:sz w:val="16"/>
                <w:szCs w:val="16"/>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7"/>
        </w:trPr>
        <w:tc>
          <w:tcPr>
            <w:tcW w:w="20" w:type="dxa"/>
            <w:vAlign w:val="bottom"/>
            <w:shd w:val="clear" w:color="auto" w:fill="DCE2EF"/>
          </w:tcPr>
          <w:p>
            <w:pPr>
              <w:spacing w:after="0"/>
              <w:rPr>
                <w:sz w:val="18"/>
                <w:szCs w:val="18"/>
                <w:color w:val="auto"/>
              </w:rPr>
            </w:pPr>
          </w:p>
        </w:tc>
        <w:tc>
          <w:tcPr>
            <w:tcW w:w="534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Interest rate swaps</w:t>
            </w:r>
          </w:p>
        </w:tc>
        <w:tc>
          <w:tcPr>
            <w:tcW w:w="360" w:type="dxa"/>
            <w:vAlign w:val="bottom"/>
            <w:shd w:val="clear" w:color="auto" w:fill="DCE2EF"/>
          </w:tcPr>
          <w:p>
            <w:pPr>
              <w:spacing w:after="0"/>
              <w:rPr>
                <w:sz w:val="18"/>
                <w:szCs w:val="18"/>
                <w:color w:val="auto"/>
              </w:rPr>
            </w:pPr>
          </w:p>
        </w:tc>
        <w:tc>
          <w:tcPr>
            <w:tcW w:w="124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(5.7)</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2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9.9</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(63.3)%</w:t>
            </w:r>
          </w:p>
        </w:tc>
      </w:tr>
      <w:tr>
        <w:trPr>
          <w:trHeight w:val="215"/>
        </w:trPr>
        <w:tc>
          <w:tcPr>
            <w:tcW w:w="20" w:type="dxa"/>
            <w:vAlign w:val="bottom"/>
          </w:tcPr>
          <w:p>
            <w:pPr>
              <w:spacing w:after="0"/>
              <w:rPr>
                <w:sz w:val="18"/>
                <w:szCs w:val="18"/>
                <w:color w:val="auto"/>
              </w:rPr>
            </w:pPr>
          </w:p>
        </w:tc>
        <w:tc>
          <w:tcPr>
            <w:tcW w:w="5340" w:type="dxa"/>
            <w:vAlign w:val="bottom"/>
            <w:gridSpan w:val="2"/>
          </w:tcPr>
          <w:p>
            <w:pPr>
              <w:ind w:left="340"/>
              <w:spacing w:after="0"/>
              <w:rPr>
                <w:sz w:val="20"/>
                <w:szCs w:val="20"/>
                <w:color w:val="auto"/>
              </w:rPr>
            </w:pPr>
            <w:r>
              <w:rPr>
                <w:rFonts w:ascii="Arial" w:cs="Arial" w:eastAsia="Arial" w:hAnsi="Arial"/>
                <w:sz w:val="16"/>
                <w:szCs w:val="16"/>
                <w:color w:val="auto"/>
              </w:rPr>
              <w:t>Foreign currency translation and other</w:t>
            </w:r>
          </w:p>
        </w:tc>
        <w:tc>
          <w:tcPr>
            <w:tcW w:w="36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(71.1)%</w:t>
            </w:r>
          </w:p>
        </w:tc>
      </w:tr>
      <w:tr>
        <w:trPr>
          <w:trHeight w:val="216"/>
        </w:trPr>
        <w:tc>
          <w:tcPr>
            <w:tcW w:w="20" w:type="dxa"/>
            <w:vAlign w:val="bottom"/>
            <w:shd w:val="clear" w:color="auto" w:fill="DCE2EF"/>
          </w:tcPr>
          <w:p>
            <w:pPr>
              <w:spacing w:after="0"/>
              <w:rPr>
                <w:sz w:val="18"/>
                <w:szCs w:val="18"/>
                <w:color w:val="auto"/>
              </w:rPr>
            </w:pPr>
          </w:p>
        </w:tc>
        <w:tc>
          <w:tcPr>
            <w:tcW w:w="534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Income tax benefit (provision)</w:t>
            </w:r>
          </w:p>
        </w:tc>
        <w:tc>
          <w:tcPr>
            <w:tcW w:w="360" w:type="dxa"/>
            <w:vAlign w:val="bottom"/>
            <w:tcBorders>
              <w:bottom w:val="single" w:sz="8" w:color="auto"/>
            </w:tcBorders>
            <w:shd w:val="clear" w:color="auto" w:fill="DCE2EF"/>
          </w:tcPr>
          <w:p>
            <w:pPr>
              <w:spacing w:after="0"/>
              <w:rPr>
                <w:sz w:val="18"/>
                <w:szCs w:val="18"/>
                <w:color w:val="auto"/>
              </w:rPr>
            </w:pPr>
          </w:p>
        </w:tc>
        <w:tc>
          <w:tcPr>
            <w:tcW w:w="124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2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4.3</w:t>
            </w:r>
          </w:p>
        </w:tc>
        <w:tc>
          <w:tcPr>
            <w:tcW w:w="100" w:type="dxa"/>
            <w:vAlign w:val="bottom"/>
            <w:shd w:val="clear" w:color="auto" w:fill="DCE2EF"/>
          </w:tcPr>
          <w:p>
            <w:pPr>
              <w:spacing w:after="0"/>
              <w:rPr>
                <w:sz w:val="18"/>
                <w:szCs w:val="18"/>
                <w:color w:val="auto"/>
              </w:rPr>
            </w:pPr>
          </w:p>
        </w:tc>
        <w:tc>
          <w:tcPr>
            <w:tcW w:w="280" w:type="dxa"/>
            <w:vAlign w:val="bottom"/>
            <w:tcBorders>
              <w:bottom w:val="single" w:sz="8" w:color="auto"/>
            </w:tcBorders>
            <w:shd w:val="clear" w:color="auto" w:fill="DCE2EF"/>
          </w:tcPr>
          <w:p>
            <w:pPr>
              <w:spacing w:after="0"/>
              <w:rPr>
                <w:sz w:val="18"/>
                <w:szCs w:val="18"/>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(2.8)</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(65.8)%</w:t>
            </w:r>
          </w:p>
        </w:tc>
      </w:tr>
      <w:tr>
        <w:trPr>
          <w:trHeight w:val="210"/>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6"/>
                <w:szCs w:val="16"/>
                <w:b w:val="1"/>
                <w:bCs w:val="1"/>
                <w:color w:val="auto"/>
              </w:rPr>
              <w:t>Comprehensive income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87.9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80" w:type="dxa"/>
            <w:vAlign w:val="bottom"/>
          </w:tcPr>
          <w:p>
            <w:pPr>
              <w:jc w:val="center"/>
              <w:ind w:left="39"/>
              <w:spacing w:after="0"/>
              <w:rPr>
                <w:sz w:val="20"/>
                <w:szCs w:val="20"/>
                <w:color w:val="auto"/>
              </w:rPr>
            </w:pPr>
            <w:r>
              <w:rPr>
                <w:rFonts w:ascii="Arial" w:cs="Arial" w:eastAsia="Arial" w:hAnsi="Arial"/>
                <w:sz w:val="16"/>
                <w:szCs w:val="16"/>
                <w:color w:val="auto"/>
              </w:rPr>
              <w:t>(4.4)%</w:t>
            </w: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22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Revenues increased by $112.5 million, or 2.8%, to $4,087.8 million during the six months ended April 30, 2024, as compared to the prior year period. Revenue growth was primarily driven by the net new business and expansion of business with existing customers within Aviation, M&amp;D, and Education and timing of completions of certain energy solutions projects, including microgrid systems and generators installation within Technical Solutions. The increase in revenues was partially offset by soft commercial office market conditions within B&amp;I.</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Operating expenses increased by $124.8 million, or 3.6%, to $3,589.8 million during the six months ended April 30, 2024, as compared to the prior year period. Gross margin decreased by 65 bps to 12.2% in the six months ended April 30, 2024, from 12.8% in the six months ended April 30, 2023. The decrease in gross margin was primarily driven by the $11.4 million in revenue recognized for the Aviation parking project during the six months ended April 30, 2023, whereby all the direct labor and related costs were recognized prior to October 31, 2022, and unfavorable self-insurance reserve adjustment related to prior year claims from actuarial evaluations completed in the six months ended April 30, 2024, partially offset by labor efficiencies across most of our industry groups and the contract mix within M&amp;D and Technical Solutions.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69" w:lineRule="exact"/>
        <w:rPr>
          <w:sz w:val="20"/>
          <w:szCs w:val="20"/>
          <w:color w:val="auto"/>
        </w:rPr>
      </w:pPr>
    </w:p>
    <w:p>
      <w:pPr>
        <w:jc w:val="both"/>
        <w:ind w:firstLine="245"/>
        <w:spacing w:after="0" w:line="268" w:lineRule="auto"/>
        <w:rPr>
          <w:sz w:val="20"/>
          <w:szCs w:val="20"/>
          <w:color w:val="auto"/>
        </w:rPr>
      </w:pPr>
      <w:r>
        <w:rPr>
          <w:rFonts w:ascii="Arial" w:cs="Arial" w:eastAsia="Arial" w:hAnsi="Arial"/>
          <w:sz w:val="18"/>
          <w:szCs w:val="18"/>
          <w:color w:val="auto"/>
        </w:rPr>
        <w:t>Selling, general and administrative expenses increased by $7.3 million, or 2.4%, to $314.5 million during the six months ended April 30, 2024, as compared to the six months ended April 30, 2023. The increase in selling, general and administrative expenses was primarily attributable to:</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$11.8 million increase in costs associated with the systems’ go-live;</w:t>
      </w:r>
    </w:p>
    <w:p>
      <w:pPr>
        <w:spacing w:after="0" w:line="225" w:lineRule="exact"/>
        <w:rPr>
          <w:rFonts w:ascii="Arial" w:cs="Arial" w:eastAsia="Arial" w:hAnsi="Arial"/>
          <w:sz w:val="18"/>
          <w:szCs w:val="18"/>
          <w:color w:val="auto"/>
        </w:rPr>
      </w:pPr>
    </w:p>
    <w:p>
      <w:pPr>
        <w:ind w:left="660" w:hanging="328"/>
        <w:spacing w:after="0" w:line="287" w:lineRule="auto"/>
        <w:tabs>
          <w:tab w:leader="none" w:pos="651" w:val="left"/>
        </w:tabs>
        <w:numPr>
          <w:ilvl w:val="0"/>
          <w:numId w:val="21"/>
        </w:numPr>
        <w:rPr>
          <w:rFonts w:ascii="Calibri" w:cs="Calibri" w:eastAsia="Calibri" w:hAnsi="Calibri"/>
          <w:sz w:val="12"/>
          <w:szCs w:val="12"/>
          <w:b w:val="1"/>
          <w:bCs w:val="1"/>
          <w:i w:val="1"/>
          <w:iCs w:val="1"/>
          <w:color w:val="0046AD"/>
        </w:rPr>
      </w:pPr>
      <w:r>
        <w:rPr>
          <w:rFonts w:ascii="Arial" w:cs="Arial" w:eastAsia="Arial" w:hAnsi="Arial"/>
          <w:sz w:val="18"/>
          <w:szCs w:val="18"/>
          <w:color w:val="auto"/>
        </w:rPr>
        <w:t>an absence of an $8.4 million fair value adjustment to decrease the contingent consideration related to the RavenVolt Acquisition;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3" w:name="page34"/>
    <w:bookmarkEnd w:id="33"/>
    <w:p>
      <w:pPr>
        <w:ind w:right="7800" w:firstLine="332"/>
        <w:spacing w:after="0" w:line="438" w:lineRule="auto"/>
        <w:tabs>
          <w:tab w:leader="none" w:pos="6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$2.2 million increase in bad debt. This increase was partially offset by:</w:t>
      </w:r>
    </w:p>
    <w:p>
      <w:pPr>
        <w:ind w:left="66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 $13.8 million decrease in certain discrete transformational costs under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for developing the new ERP system, client-facing technology, workforce management tools, and data analytics; and</w:t>
      </w:r>
    </w:p>
    <w:p>
      <w:pPr>
        <w:spacing w:after="0" w:line="98"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$2.0 million decrease in compensation and related expenses primarily due to headcount reduction at the end of October 2023, partially offset by increase in compensation under certain incentive plans.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Amortization of Intangible Assets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Amortization of intangible assets decreased by $ 10.8 million, or 27.6%, to $28.2 million during the six months ended April 30, 2024, as compared to the six months ended April 30, 2023. This decrease was primarily due to lower amortization of intangibles, primarily intangibles acquired as part of the RavenVolt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Expense</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Interest expense increased by $1.0 million, to $41.9 million during the six months ended April 30, 2024, as compared to the six months ended April 30, 2023. The increase was driven by higher interest rates on our Amended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 from Operations</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Our effective tax rates on income from operations for the six months ended April 30, 2024, and April 30, 2023, were 24.0% and 27.6%, respectively, resulting in provisions for taxes of $28.0 million and $34.5 million, respectively.</w:t>
      </w:r>
    </w:p>
    <w:p>
      <w:pPr>
        <w:spacing w:after="0" w:line="9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effective tax rate for the six months ended April 30, 2024, benefited from discrete items, primarily from $2.4 million for uncertain tax positions, $ 2.2 million for share-based compensation, and $ 2.2 million for return to provision adjustments related to our non-U.S. operations. Our effective tax rate for the six months ended April 30, 2023, benefited from discrete items, primarily from $1.4 million for share-based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Rate Swaps</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had a loss of $5.7 million during the six months ended April 30, 2024, as compared to a loss of $15.6 million during the six months ended April 30, 2023, primarily due to underlying changes in the fair value of our interest rate swaps.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69" w:lineRule="exact"/>
        <w:rPr>
          <w:sz w:val="20"/>
          <w:szCs w:val="20"/>
          <w:color w:val="auto"/>
        </w:rPr>
      </w:pPr>
    </w:p>
    <w:p>
      <w:pPr>
        <w:jc w:val="both"/>
        <w:ind w:firstLine="228"/>
        <w:spacing w:after="0" w:line="262" w:lineRule="auto"/>
        <w:rPr>
          <w:sz w:val="20"/>
          <w:szCs w:val="20"/>
          <w:color w:val="auto"/>
        </w:rPr>
      </w:pPr>
      <w:r>
        <w:rPr>
          <w:rFonts w:ascii="Arial" w:cs="Arial" w:eastAsia="Arial" w:hAnsi="Arial"/>
          <w:sz w:val="18"/>
          <w:szCs w:val="18"/>
          <w:color w:val="auto"/>
        </w:rPr>
        <w:t>We had a foreign currency translation gain of $3.7 million during the six months ended April 30, 2024, as compared to a foreign currency translation gain of $12.8 million during the six months ended April 30, 2023. This change was due to fluctuations in the exchange rate between the USD and the GBP. Future gains and losses on foreign currency translation will be dependent upon changes in the relative value of foreign currencies to the USD and the extent of our foreign assets and liabilities.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7"/>
          </w:tcPr>
          <w:p>
            <w:pPr>
              <w:ind w:left="100"/>
              <w:spacing w:after="0"/>
              <w:rPr>
                <w:sz w:val="20"/>
                <w:szCs w:val="20"/>
                <w:color w:val="auto"/>
              </w:rPr>
            </w:pPr>
            <w:r>
              <w:rPr>
                <w:rFonts w:ascii="Arial" w:cs="Arial" w:eastAsia="Arial" w:hAnsi="Arial"/>
                <w:sz w:val="16"/>
                <w:szCs w:val="16"/>
                <w:b w:val="1"/>
                <w:bCs w:val="1"/>
                <w:color w:val="auto"/>
              </w:rPr>
              <w:t>Six Months Ended April 30,</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521"/>
              <w:spacing w:after="0" w:line="142" w:lineRule="exact"/>
              <w:rPr>
                <w:sz w:val="20"/>
                <w:szCs w:val="20"/>
                <w:color w:val="auto"/>
              </w:rPr>
            </w:pPr>
            <w:r>
              <w:rPr>
                <w:rFonts w:ascii="Arial" w:cs="Arial" w:eastAsia="Arial" w:hAnsi="Arial"/>
                <w:sz w:val="16"/>
                <w:szCs w:val="16"/>
                <w:b w:val="1"/>
                <w:bCs w:val="1"/>
                <w:color w:val="auto"/>
              </w:rPr>
              <w:t>2024</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41"/>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2"/>
          </w:tcPr>
          <w:p>
            <w:pPr>
              <w:jc w:val="right"/>
              <w:ind w:right="339"/>
              <w:spacing w:after="0" w:line="136" w:lineRule="exact"/>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720" w:type="dxa"/>
            <w:vAlign w:val="bottom"/>
            <w:tcBorders>
              <w:top w:val="single" w:sz="8" w:color="auto"/>
              <w:bottom w:val="single" w:sz="8" w:color="DCE2EF"/>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860" w:type="dxa"/>
            <w:vAlign w:val="bottom"/>
            <w:tcBorders>
              <w:bottom w:val="single" w:sz="8" w:color="DCE2EF"/>
            </w:tcBorders>
          </w:tcPr>
          <w:p>
            <w:pPr>
              <w:spacing w:after="0"/>
              <w:rPr>
                <w:sz w:val="2"/>
                <w:szCs w:val="2"/>
                <w:color w:val="auto"/>
              </w:rPr>
            </w:pPr>
          </w:p>
        </w:tc>
        <w:tc>
          <w:tcPr>
            <w:tcW w:w="420" w:type="dxa"/>
            <w:vAlign w:val="bottom"/>
            <w:tcBorders>
              <w:bottom w:val="single" w:sz="8" w:color="DCE2EF"/>
            </w:tcBorders>
          </w:tcPr>
          <w:p>
            <w:pPr>
              <w:spacing w:after="0"/>
              <w:rPr>
                <w:sz w:val="2"/>
                <w:szCs w:val="2"/>
                <w:color w:val="auto"/>
              </w:rPr>
            </w:pPr>
          </w:p>
        </w:tc>
        <w:tc>
          <w:tcPr>
            <w:tcW w:w="1240" w:type="dxa"/>
            <w:vAlign w:val="bottom"/>
            <w:tcBorders>
              <w:bottom w:val="single" w:sz="8" w:color="DCE2E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DCE2EF"/>
          </w:tcPr>
          <w:p>
            <w:pPr>
              <w:spacing w:after="0"/>
              <w:rPr>
                <w:sz w:val="17"/>
                <w:szCs w:val="17"/>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42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2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20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4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0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12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6"/>
                <w:szCs w:val="16"/>
                <w:color w:val="auto"/>
              </w:rPr>
              <w:t>Business &amp; Industry</w:t>
            </w:r>
          </w:p>
        </w:tc>
        <w:tc>
          <w:tcPr>
            <w:tcW w:w="4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01"/>
              <w:spacing w:after="0"/>
              <w:rPr>
                <w:sz w:val="20"/>
                <w:szCs w:val="20"/>
                <w:color w:val="auto"/>
              </w:rPr>
            </w:pPr>
            <w:r>
              <w:rPr>
                <w:rFonts w:ascii="Arial" w:cs="Arial" w:eastAsia="Arial" w:hAnsi="Arial"/>
                <w:sz w:val="16"/>
                <w:szCs w:val="16"/>
                <w:color w:val="auto"/>
              </w:rPr>
              <w:t>2,022.8</w:t>
            </w:r>
          </w:p>
        </w:tc>
        <w:tc>
          <w:tcPr>
            <w:tcW w:w="600" w:type="dxa"/>
            <w:vAlign w:val="bottom"/>
            <w:gridSpan w:val="3"/>
          </w:tcPr>
          <w:p>
            <w:pPr>
              <w:jc w:val="right"/>
              <w:ind w:right="2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2,035.0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(12.2)</w:t>
            </w:r>
          </w:p>
        </w:tc>
        <w:tc>
          <w:tcPr>
            <w:tcW w:w="1280" w:type="dxa"/>
            <w:vAlign w:val="bottom"/>
          </w:tcPr>
          <w:p>
            <w:pPr>
              <w:jc w:val="center"/>
              <w:ind w:left="3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Manufacturing &amp; Distribution</w:t>
            </w:r>
          </w:p>
        </w:tc>
        <w:tc>
          <w:tcPr>
            <w:tcW w:w="420" w:type="dxa"/>
            <w:vAlign w:val="bottom"/>
            <w:shd w:val="clear" w:color="auto" w:fill="DCE2EF"/>
          </w:tcPr>
          <w:p>
            <w:pPr>
              <w:spacing w:after="0"/>
              <w:rPr>
                <w:sz w:val="18"/>
                <w:szCs w:val="18"/>
                <w:color w:val="auto"/>
              </w:rPr>
            </w:pPr>
          </w:p>
        </w:tc>
        <w:tc>
          <w:tcPr>
            <w:tcW w:w="124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789.5</w:t>
            </w: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0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753.7</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35.8</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6"/>
                <w:szCs w:val="16"/>
                <w:color w:val="auto"/>
              </w:rPr>
              <w:t>Education</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01"/>
              <w:spacing w:after="0"/>
              <w:rPr>
                <w:sz w:val="20"/>
                <w:szCs w:val="20"/>
                <w:color w:val="auto"/>
              </w:rPr>
            </w:pPr>
            <w:r>
              <w:rPr>
                <w:rFonts w:ascii="Arial" w:cs="Arial" w:eastAsia="Arial" w:hAnsi="Arial"/>
                <w:sz w:val="16"/>
                <w:szCs w:val="16"/>
                <w:color w:val="auto"/>
              </w:rPr>
              <w:t>445.7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431.6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14.1</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DCE2EF"/>
          </w:tcPr>
          <w:p>
            <w:pPr>
              <w:spacing w:after="0"/>
              <w:rPr>
                <w:sz w:val="18"/>
                <w:szCs w:val="18"/>
                <w:color w:val="auto"/>
              </w:rPr>
            </w:pPr>
          </w:p>
        </w:tc>
        <w:tc>
          <w:tcPr>
            <w:tcW w:w="124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487.8</w:t>
            </w: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0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439.5</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48.3</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5"/>
        </w:trPr>
        <w:tc>
          <w:tcPr>
            <w:tcW w:w="20" w:type="dxa"/>
            <w:vAlign w:val="bottom"/>
            <w:tcBorders>
              <w:bottom w:val="single" w:sz="8" w:color="DCE2EF"/>
            </w:tcBorders>
          </w:tcPr>
          <w:p>
            <w:pPr>
              <w:spacing w:after="0"/>
              <w:rPr>
                <w:sz w:val="18"/>
                <w:szCs w:val="18"/>
                <w:color w:val="auto"/>
              </w:rPr>
            </w:pPr>
          </w:p>
        </w:tc>
        <w:tc>
          <w:tcPr>
            <w:tcW w:w="3680" w:type="dxa"/>
            <w:vAlign w:val="bottom"/>
            <w:tcBorders>
              <w:bottom w:val="single" w:sz="8" w:color="DCE2EF"/>
            </w:tcBorders>
            <w:gridSpan w:val="3"/>
          </w:tcPr>
          <w:p>
            <w:pPr>
              <w:spacing w:after="0"/>
              <w:rPr>
                <w:sz w:val="20"/>
                <w:szCs w:val="20"/>
                <w:color w:val="auto"/>
              </w:rPr>
            </w:pPr>
            <w:r>
              <w:rPr>
                <w:rFonts w:ascii="Arial" w:cs="Arial" w:eastAsia="Arial" w:hAnsi="Arial"/>
                <w:sz w:val="16"/>
                <w:szCs w:val="16"/>
                <w:color w:val="auto"/>
              </w:rPr>
              <w:t>Technical Solutions</w:t>
            </w:r>
          </w:p>
        </w:tc>
        <w:tc>
          <w:tcPr>
            <w:tcW w:w="420" w:type="dxa"/>
            <w:vAlign w:val="bottom"/>
            <w:tcBorders>
              <w:bottom w:val="single" w:sz="8" w:color="DCE2EF"/>
            </w:tcBorders>
          </w:tcPr>
          <w:p>
            <w:pPr>
              <w:spacing w:after="0"/>
              <w:rPr>
                <w:sz w:val="18"/>
                <w:szCs w:val="18"/>
                <w:color w:val="auto"/>
              </w:rPr>
            </w:pPr>
          </w:p>
        </w:tc>
        <w:tc>
          <w:tcPr>
            <w:tcW w:w="1240" w:type="dxa"/>
            <w:vAlign w:val="bottom"/>
            <w:tcBorders>
              <w:bottom w:val="single" w:sz="8" w:color="DCE2E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342.1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315.5</w:t>
            </w:r>
          </w:p>
        </w:tc>
        <w:tc>
          <w:tcPr>
            <w:tcW w:w="100" w:type="dxa"/>
            <w:vAlign w:val="bottom"/>
            <w:tcBorders>
              <w:bottom w:val="single" w:sz="8" w:color="DCE2E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26.6</w:t>
            </w:r>
          </w:p>
        </w:tc>
        <w:tc>
          <w:tcPr>
            <w:tcW w:w="12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5"/>
        </w:trPr>
        <w:tc>
          <w:tcPr>
            <w:tcW w:w="20" w:type="dxa"/>
            <w:vAlign w:val="bottom"/>
            <w:tcBorders>
              <w:bottom w:val="single" w:sz="8" w:color="DCE2EF"/>
            </w:tcBorders>
            <w:shd w:val="clear" w:color="auto" w:fill="DCE2EF"/>
          </w:tcPr>
          <w:p>
            <w:pPr>
              <w:spacing w:after="0"/>
              <w:rPr>
                <w:sz w:val="20"/>
                <w:szCs w:val="20"/>
                <w:color w:val="auto"/>
              </w:rPr>
            </w:pPr>
          </w:p>
        </w:tc>
        <w:tc>
          <w:tcPr>
            <w:tcW w:w="72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2860" w:type="dxa"/>
            <w:vAlign w:val="bottom"/>
            <w:tcBorders>
              <w:bottom w:val="single" w:sz="8" w:color="DCE2EF"/>
            </w:tcBorders>
            <w:shd w:val="clear" w:color="auto" w:fill="DCE2EF"/>
          </w:tcPr>
          <w:p>
            <w:pPr>
              <w:spacing w:after="0"/>
              <w:rPr>
                <w:sz w:val="20"/>
                <w:szCs w:val="20"/>
                <w:color w:val="auto"/>
              </w:rPr>
            </w:pPr>
          </w:p>
        </w:tc>
        <w:tc>
          <w:tcPr>
            <w:tcW w:w="420" w:type="dxa"/>
            <w:vAlign w:val="bottom"/>
            <w:tcBorders>
              <w:bottom w:val="single" w:sz="8" w:color="DCE2EF"/>
            </w:tcBorders>
            <w:shd w:val="clear" w:color="auto" w:fill="DCE2EF"/>
          </w:tcPr>
          <w:p>
            <w:pPr>
              <w:spacing w:after="0"/>
              <w:rPr>
                <w:sz w:val="20"/>
                <w:szCs w:val="20"/>
                <w:color w:val="auto"/>
              </w:rPr>
            </w:pPr>
          </w:p>
        </w:tc>
        <w:tc>
          <w:tcPr>
            <w:tcW w:w="124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DCE2EF"/>
          </w:tcPr>
          <w:p>
            <w:pPr>
              <w:spacing w:after="0"/>
              <w:rPr>
                <w:sz w:val="20"/>
                <w:szCs w:val="20"/>
                <w:color w:val="auto"/>
              </w:rPr>
            </w:pPr>
          </w:p>
        </w:tc>
        <w:tc>
          <w:tcPr>
            <w:tcW w:w="200" w:type="dxa"/>
            <w:vAlign w:val="bottom"/>
            <w:tcBorders>
              <w:bottom w:val="single" w:sz="8" w:color="auto"/>
            </w:tcBorders>
            <w:shd w:val="clear" w:color="auto" w:fill="DCE2EF"/>
          </w:tcPr>
          <w:p>
            <w:pPr>
              <w:spacing w:after="0"/>
              <w:rPr>
                <w:sz w:val="20"/>
                <w:szCs w:val="20"/>
                <w:color w:val="auto"/>
              </w:rPr>
            </w:pPr>
          </w:p>
        </w:tc>
        <w:tc>
          <w:tcPr>
            <w:tcW w:w="1060" w:type="dxa"/>
            <w:vAlign w:val="bottom"/>
            <w:tcBorders>
              <w:bottom w:val="single" w:sz="8" w:color="auto"/>
            </w:tcBorders>
            <w:shd w:val="clear" w:color="auto" w:fill="DCE2EF"/>
          </w:tcPr>
          <w:p>
            <w:pPr>
              <w:jc w:val="right"/>
              <w:ind w:right="101"/>
              <w:spacing w:after="0"/>
              <w:rPr>
                <w:sz w:val="20"/>
                <w:szCs w:val="20"/>
                <w:color w:val="auto"/>
              </w:rPr>
            </w:pPr>
            <w:r>
              <w:rPr>
                <w:rFonts w:ascii="Arial" w:cs="Arial" w:eastAsia="Arial" w:hAnsi="Arial"/>
                <w:sz w:val="16"/>
                <w:szCs w:val="16"/>
                <w:color w:val="auto"/>
              </w:rPr>
              <w:t>4,087.8</w:t>
            </w:r>
          </w:p>
        </w:tc>
        <w:tc>
          <w:tcPr>
            <w:tcW w:w="20" w:type="dxa"/>
            <w:vAlign w:val="bottom"/>
            <w:tcBorders>
              <w:bottom w:val="single" w:sz="8" w:color="auto"/>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480" w:type="dxa"/>
            <w:vAlign w:val="bottom"/>
            <w:tcBorders>
              <w:bottom w:val="single" w:sz="8" w:color="auto"/>
            </w:tcBorders>
            <w:shd w:val="clear" w:color="auto" w:fill="DCE2EF"/>
          </w:tcPr>
          <w:p>
            <w:pPr>
              <w:jc w:val="right"/>
              <w:ind w:right="2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DCE2EF"/>
          </w:tcPr>
          <w:p>
            <w:pPr>
              <w:spacing w:after="0"/>
              <w:rPr>
                <w:sz w:val="20"/>
                <w:szCs w:val="20"/>
                <w:color w:val="auto"/>
              </w:rPr>
            </w:pPr>
          </w:p>
        </w:tc>
        <w:tc>
          <w:tcPr>
            <w:tcW w:w="1020" w:type="dxa"/>
            <w:vAlign w:val="bottom"/>
            <w:tcBorders>
              <w:bottom w:val="single" w:sz="8" w:color="auto"/>
            </w:tcBorders>
            <w:shd w:val="clear" w:color="auto" w:fill="DCE2EF"/>
          </w:tcPr>
          <w:p>
            <w:pPr>
              <w:jc w:val="right"/>
              <w:ind w:right="121"/>
              <w:spacing w:after="0"/>
              <w:rPr>
                <w:sz w:val="20"/>
                <w:szCs w:val="20"/>
                <w:color w:val="auto"/>
              </w:rPr>
            </w:pPr>
            <w:r>
              <w:rPr>
                <w:rFonts w:ascii="Arial" w:cs="Arial" w:eastAsia="Arial" w:hAnsi="Arial"/>
                <w:sz w:val="16"/>
                <w:szCs w:val="16"/>
                <w:color w:val="auto"/>
              </w:rPr>
              <w:t>3,975.3</w:t>
            </w:r>
          </w:p>
        </w:tc>
        <w:tc>
          <w:tcPr>
            <w:tcW w:w="100" w:type="dxa"/>
            <w:vAlign w:val="bottom"/>
            <w:tcBorders>
              <w:bottom w:val="single" w:sz="8" w:color="DCE2EF"/>
            </w:tcBorders>
            <w:shd w:val="clear" w:color="auto" w:fill="DCE2EF"/>
          </w:tcPr>
          <w:p>
            <w:pPr>
              <w:spacing w:after="0"/>
              <w:rPr>
                <w:sz w:val="20"/>
                <w:szCs w:val="20"/>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CE2EF"/>
          </w:tcPr>
          <w:p>
            <w:pPr>
              <w:jc w:val="right"/>
              <w:ind w:right="1"/>
              <w:spacing w:after="0"/>
              <w:rPr>
                <w:sz w:val="20"/>
                <w:szCs w:val="20"/>
                <w:color w:val="auto"/>
              </w:rPr>
            </w:pPr>
            <w:r>
              <w:rPr>
                <w:rFonts w:ascii="Arial" w:cs="Arial" w:eastAsia="Arial" w:hAnsi="Arial"/>
                <w:sz w:val="16"/>
                <w:szCs w:val="16"/>
                <w:color w:val="auto"/>
              </w:rPr>
              <w:t>112.5</w:t>
            </w:r>
          </w:p>
        </w:tc>
        <w:tc>
          <w:tcPr>
            <w:tcW w:w="128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bottom w:val="single" w:sz="8" w:color="DCE2EF"/>
            </w:tcBorders>
            <w:vMerge w:val="restart"/>
          </w:tcPr>
          <w:p>
            <w:pPr>
              <w:spacing w:after="0" w:line="20" w:lineRule="exact"/>
              <w:rPr>
                <w:sz w:val="1"/>
                <w:szCs w:val="1"/>
                <w:color w:val="auto"/>
              </w:rPr>
            </w:pPr>
          </w:p>
        </w:tc>
        <w:tc>
          <w:tcPr>
            <w:tcW w:w="3680" w:type="dxa"/>
            <w:vAlign w:val="bottom"/>
            <w:tcBorders>
              <w:top w:val="single" w:sz="8" w:color="DCE2EF"/>
              <w:bottom w:val="single" w:sz="8" w:color="DCE2EF"/>
            </w:tcBorders>
            <w:gridSpan w:val="3"/>
            <w:vMerge w:val="restart"/>
          </w:tcPr>
          <w:p>
            <w:pPr>
              <w:spacing w:after="0"/>
              <w:rPr>
                <w:sz w:val="20"/>
                <w:szCs w:val="20"/>
                <w:color w:val="auto"/>
              </w:rPr>
            </w:pPr>
            <w:r>
              <w:rPr>
                <w:rFonts w:ascii="Arial" w:cs="Arial" w:eastAsia="Arial" w:hAnsi="Arial"/>
                <w:sz w:val="16"/>
                <w:szCs w:val="16"/>
                <w:b w:val="1"/>
                <w:bCs w:val="1"/>
                <w:color w:val="auto"/>
              </w:rPr>
              <w:t>Operating profit</w:t>
            </w:r>
          </w:p>
        </w:tc>
        <w:tc>
          <w:tcPr>
            <w:tcW w:w="420" w:type="dxa"/>
            <w:vAlign w:val="bottom"/>
            <w:tcBorders>
              <w:top w:val="single" w:sz="8" w:color="DCE2EF"/>
            </w:tcBorders>
          </w:tcPr>
          <w:p>
            <w:pPr>
              <w:spacing w:after="0" w:line="20" w:lineRule="exact"/>
              <w:rPr>
                <w:sz w:val="1"/>
                <w:szCs w:val="1"/>
                <w:color w:val="auto"/>
              </w:rPr>
            </w:pPr>
          </w:p>
        </w:tc>
        <w:tc>
          <w:tcPr>
            <w:tcW w:w="124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106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10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1040" w:type="dxa"/>
            <w:vAlign w:val="bottom"/>
            <w:tcBorders>
              <w:top w:val="single" w:sz="8" w:color="DCE2EF"/>
              <w:bottom w:val="single" w:sz="8" w:color="auto"/>
            </w:tcBorders>
          </w:tcPr>
          <w:p>
            <w:pPr>
              <w:spacing w:after="0" w:line="20" w:lineRule="exact"/>
              <w:rPr>
                <w:sz w:val="1"/>
                <w:szCs w:val="1"/>
                <w:color w:val="auto"/>
              </w:rPr>
            </w:pPr>
          </w:p>
        </w:tc>
        <w:tc>
          <w:tcPr>
            <w:tcW w:w="12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Business &amp; Industry</w:t>
            </w:r>
          </w:p>
        </w:tc>
        <w:tc>
          <w:tcPr>
            <w:tcW w:w="420" w:type="dxa"/>
            <w:vAlign w:val="bottom"/>
            <w:shd w:val="clear" w:color="auto" w:fill="DCE2EF"/>
          </w:tcPr>
          <w:p>
            <w:pPr>
              <w:spacing w:after="0"/>
              <w:rPr>
                <w:sz w:val="18"/>
                <w:szCs w:val="18"/>
                <w:color w:val="auto"/>
              </w:rPr>
            </w:pPr>
          </w:p>
        </w:tc>
        <w:tc>
          <w:tcPr>
            <w:tcW w:w="144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157.2</w:t>
            </w:r>
          </w:p>
        </w:tc>
        <w:tc>
          <w:tcPr>
            <w:tcW w:w="600" w:type="dxa"/>
            <w:vAlign w:val="bottom"/>
            <w:gridSpan w:val="3"/>
            <w:shd w:val="clear" w:color="auto" w:fill="DCE2EF"/>
          </w:tcPr>
          <w:p>
            <w:pPr>
              <w:jc w:val="right"/>
              <w:ind w:right="279"/>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18"/>
                <w:szCs w:val="18"/>
                <w:color w:val="auto"/>
              </w:rPr>
            </w:pPr>
          </w:p>
        </w:tc>
        <w:tc>
          <w:tcPr>
            <w:tcW w:w="10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152.2</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5.0</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7.8 %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7.5 %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29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Manufacturing &amp; Distribution</w:t>
            </w:r>
          </w:p>
        </w:tc>
        <w:tc>
          <w:tcPr>
            <w:tcW w:w="420" w:type="dxa"/>
            <w:vAlign w:val="bottom"/>
            <w:shd w:val="clear" w:color="auto" w:fill="DCE2EF"/>
          </w:tcPr>
          <w:p>
            <w:pPr>
              <w:spacing w:after="0"/>
              <w:rPr>
                <w:sz w:val="19"/>
                <w:szCs w:val="19"/>
                <w:color w:val="auto"/>
              </w:rPr>
            </w:pPr>
          </w:p>
        </w:tc>
        <w:tc>
          <w:tcPr>
            <w:tcW w:w="124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06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85.0</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0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81.7</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3.3</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10.8 %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10.8 %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(8)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Education</w:t>
            </w:r>
          </w:p>
        </w:tc>
        <w:tc>
          <w:tcPr>
            <w:tcW w:w="420" w:type="dxa"/>
            <w:vAlign w:val="bottom"/>
            <w:shd w:val="clear" w:color="auto" w:fill="DCE2EF"/>
          </w:tcPr>
          <w:p>
            <w:pPr>
              <w:spacing w:after="0"/>
              <w:rPr>
                <w:sz w:val="19"/>
                <w:szCs w:val="19"/>
                <w:color w:val="auto"/>
              </w:rPr>
            </w:pPr>
          </w:p>
        </w:tc>
        <w:tc>
          <w:tcPr>
            <w:tcW w:w="124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06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24.3</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0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0.7</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5.4 %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5.5 %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(2)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DCE2EF"/>
          </w:tcPr>
          <w:p>
            <w:pPr>
              <w:spacing w:after="0"/>
              <w:rPr>
                <w:sz w:val="19"/>
                <w:szCs w:val="19"/>
                <w:color w:val="auto"/>
              </w:rPr>
            </w:pPr>
          </w:p>
        </w:tc>
        <w:tc>
          <w:tcPr>
            <w:tcW w:w="124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06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22.8</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0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(9.1)</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4.7 %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7.3 %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(259)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Technical Solutions</w:t>
            </w:r>
          </w:p>
        </w:tc>
        <w:tc>
          <w:tcPr>
            <w:tcW w:w="420" w:type="dxa"/>
            <w:vAlign w:val="bottom"/>
            <w:shd w:val="clear" w:color="auto" w:fill="DCE2EF"/>
          </w:tcPr>
          <w:p>
            <w:pPr>
              <w:spacing w:after="0"/>
              <w:rPr>
                <w:sz w:val="19"/>
                <w:szCs w:val="19"/>
                <w:color w:val="auto"/>
              </w:rPr>
            </w:pPr>
          </w:p>
        </w:tc>
        <w:tc>
          <w:tcPr>
            <w:tcW w:w="124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06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23.5</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0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6.1</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6.9 %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5.5 %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137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Corporate</w:t>
            </w:r>
          </w:p>
        </w:tc>
        <w:tc>
          <w:tcPr>
            <w:tcW w:w="420" w:type="dxa"/>
            <w:vAlign w:val="bottom"/>
            <w:shd w:val="clear" w:color="auto" w:fill="DCE2EF"/>
          </w:tcPr>
          <w:p>
            <w:pPr>
              <w:spacing w:after="0"/>
              <w:rPr>
                <w:sz w:val="19"/>
                <w:szCs w:val="19"/>
                <w:color w:val="auto"/>
              </w:rPr>
            </w:pPr>
          </w:p>
        </w:tc>
        <w:tc>
          <w:tcPr>
            <w:tcW w:w="124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06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(154.4)</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020" w:type="dxa"/>
            <w:vAlign w:val="bottom"/>
            <w:shd w:val="clear" w:color="auto" w:fill="DCE2EF"/>
          </w:tcPr>
          <w:p>
            <w:pPr>
              <w:jc w:val="right"/>
              <w:ind w:right="61"/>
              <w:spacing w:after="0"/>
              <w:rPr>
                <w:sz w:val="20"/>
                <w:szCs w:val="20"/>
                <w:color w:val="auto"/>
              </w:rPr>
            </w:pPr>
            <w:r>
              <w:rPr>
                <w:rFonts w:ascii="Arial" w:cs="Arial" w:eastAsia="Arial" w:hAnsi="Arial"/>
                <w:sz w:val="16"/>
                <w:szCs w:val="16"/>
                <w:color w:val="auto"/>
              </w:rPr>
              <w:t>(140.8)</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(13.6)</w:t>
            </w:r>
          </w:p>
        </w:tc>
        <w:tc>
          <w:tcPr>
            <w:tcW w:w="128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gridSpan w:val="7"/>
          </w:tcPr>
          <w:p>
            <w:pPr>
              <w:spacing w:after="0" w:line="162" w:lineRule="exact"/>
              <w:rPr>
                <w:sz w:val="20"/>
                <w:szCs w:val="20"/>
                <w:color w:val="auto"/>
              </w:rPr>
            </w:pPr>
            <w:r>
              <w:rPr>
                <w:rFonts w:ascii="Arial" w:cs="Arial" w:eastAsia="Arial" w:hAnsi="Arial"/>
                <w:sz w:val="16"/>
                <w:szCs w:val="16"/>
                <w:color w:val="auto"/>
              </w:rPr>
              <w:t>Adjustment for income from unconsolidated affiliates, included in Aviation</w:t>
            </w:r>
          </w:p>
        </w:tc>
        <w:tc>
          <w:tcPr>
            <w:tcW w:w="200" w:type="dxa"/>
            <w:vAlign w:val="bottom"/>
          </w:tcPr>
          <w:p>
            <w:pPr>
              <w:spacing w:after="0"/>
              <w:rPr>
                <w:sz w:val="14"/>
                <w:szCs w:val="14"/>
                <w:color w:val="auto"/>
              </w:rPr>
            </w:pPr>
          </w:p>
        </w:tc>
        <w:tc>
          <w:tcPr>
            <w:tcW w:w="1060" w:type="dxa"/>
            <w:vAlign w:val="bottom"/>
            <w:vMerge w:val="restart"/>
          </w:tcPr>
          <w:p>
            <w:pPr>
              <w:jc w:val="right"/>
              <w:ind w:right="41"/>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right"/>
              <w:ind w:right="6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280" w:type="dxa"/>
            <w:vAlign w:val="bottom"/>
            <w:vMerge w:val="restart"/>
          </w:tcPr>
          <w:p>
            <w:pPr>
              <w:jc w:val="center"/>
              <w:ind w:left="19"/>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gridSpan w:val="3"/>
          </w:tcPr>
          <w:p>
            <w:pPr>
              <w:ind w:left="160"/>
              <w:spacing w:after="0"/>
              <w:rPr>
                <w:sz w:val="20"/>
                <w:szCs w:val="20"/>
                <w:color w:val="auto"/>
              </w:rPr>
            </w:pPr>
            <w:r>
              <w:rPr>
                <w:rFonts w:ascii="Arial" w:cs="Arial" w:eastAsia="Arial" w:hAnsi="Arial"/>
                <w:sz w:val="16"/>
                <w:szCs w:val="16"/>
                <w:color w:val="auto"/>
              </w:rPr>
              <w:t>and Technical Solutions</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DCE2EF"/>
          </w:tcPr>
          <w:p>
            <w:pPr>
              <w:spacing w:after="0"/>
              <w:rPr>
                <w:sz w:val="14"/>
                <w:szCs w:val="14"/>
                <w:color w:val="auto"/>
              </w:rPr>
            </w:pPr>
          </w:p>
        </w:tc>
        <w:tc>
          <w:tcPr>
            <w:tcW w:w="5660" w:type="dxa"/>
            <w:vAlign w:val="bottom"/>
            <w:gridSpan w:val="7"/>
            <w:shd w:val="clear" w:color="auto" w:fill="DCE2EF"/>
          </w:tcPr>
          <w:p>
            <w:pPr>
              <w:spacing w:after="0" w:line="163" w:lineRule="exact"/>
              <w:rPr>
                <w:sz w:val="20"/>
                <w:szCs w:val="20"/>
                <w:color w:val="auto"/>
              </w:rPr>
            </w:pPr>
            <w:r>
              <w:rPr>
                <w:rFonts w:ascii="Arial" w:cs="Arial" w:eastAsia="Arial" w:hAnsi="Arial"/>
                <w:sz w:val="16"/>
                <w:szCs w:val="16"/>
                <w:color w:val="auto"/>
              </w:rPr>
              <w:t>Adjustment for tax deductions for energy efficient government buildings,</w:t>
            </w:r>
          </w:p>
        </w:tc>
        <w:tc>
          <w:tcPr>
            <w:tcW w:w="200" w:type="dxa"/>
            <w:vAlign w:val="bottom"/>
            <w:shd w:val="clear" w:color="auto" w:fill="DCE2EF"/>
          </w:tcPr>
          <w:p>
            <w:pPr>
              <w:spacing w:after="0"/>
              <w:rPr>
                <w:sz w:val="14"/>
                <w:szCs w:val="14"/>
                <w:color w:val="auto"/>
              </w:rPr>
            </w:pPr>
          </w:p>
        </w:tc>
        <w:tc>
          <w:tcPr>
            <w:tcW w:w="1060" w:type="dxa"/>
            <w:vAlign w:val="bottom"/>
            <w:vMerge w:val="restart"/>
            <w:shd w:val="clear" w:color="auto" w:fill="DCE2EF"/>
          </w:tcPr>
          <w:p>
            <w:pPr>
              <w:jc w:val="right"/>
              <w:ind w:right="101"/>
              <w:spacing w:after="0"/>
              <w:rPr>
                <w:sz w:val="20"/>
                <w:szCs w:val="20"/>
                <w:color w:val="auto"/>
              </w:rPr>
            </w:pPr>
            <w:r>
              <w:rPr>
                <w:rFonts w:ascii="Arial" w:cs="Arial" w:eastAsia="Arial" w:hAnsi="Arial"/>
                <w:sz w:val="16"/>
                <w:szCs w:val="16"/>
                <w:color w:val="auto"/>
              </w:rPr>
              <w:t>—</w:t>
            </w:r>
          </w:p>
        </w:tc>
        <w:tc>
          <w:tcPr>
            <w:tcW w:w="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48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020" w:type="dxa"/>
            <w:vAlign w:val="bottom"/>
            <w:vMerge w:val="restart"/>
            <w:shd w:val="clear" w:color="auto" w:fill="DCE2EF"/>
          </w:tcPr>
          <w:p>
            <w:pPr>
              <w:jc w:val="right"/>
              <w:ind w:right="6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DCE2EF"/>
          </w:tcPr>
          <w:p>
            <w:pPr>
              <w:spacing w:after="0"/>
              <w:rPr>
                <w:sz w:val="14"/>
                <w:szCs w:val="14"/>
                <w:color w:val="auto"/>
              </w:rPr>
            </w:pPr>
          </w:p>
        </w:tc>
        <w:tc>
          <w:tcPr>
            <w:tcW w:w="160" w:type="dxa"/>
            <w:vAlign w:val="bottom"/>
            <w:shd w:val="clear" w:color="auto" w:fill="DCE2EF"/>
          </w:tcPr>
          <w:p>
            <w:pPr>
              <w:spacing w:after="0"/>
              <w:rPr>
                <w:sz w:val="14"/>
                <w:szCs w:val="14"/>
                <w:color w:val="auto"/>
              </w:rPr>
            </w:pPr>
          </w:p>
        </w:tc>
        <w:tc>
          <w:tcPr>
            <w:tcW w:w="1040" w:type="dxa"/>
            <w:vAlign w:val="bottom"/>
            <w:vMerge w:val="restart"/>
            <w:shd w:val="clear" w:color="auto" w:fill="DCE2EF"/>
          </w:tcPr>
          <w:p>
            <w:pPr>
              <w:jc w:val="right"/>
              <w:ind w:right="1"/>
              <w:spacing w:after="0"/>
              <w:rPr>
                <w:sz w:val="20"/>
                <w:szCs w:val="20"/>
                <w:color w:val="auto"/>
              </w:rPr>
            </w:pPr>
            <w:r>
              <w:rPr>
                <w:rFonts w:ascii="Arial" w:cs="Arial" w:eastAsia="Arial" w:hAnsi="Arial"/>
                <w:sz w:val="16"/>
                <w:szCs w:val="16"/>
                <w:color w:val="auto"/>
              </w:rPr>
              <w:t>0.1</w:t>
            </w:r>
          </w:p>
        </w:tc>
        <w:tc>
          <w:tcPr>
            <w:tcW w:w="1280" w:type="dxa"/>
            <w:vAlign w:val="bottom"/>
            <w:vMerge w:val="restart"/>
            <w:shd w:val="clear" w:color="auto" w:fill="DCE2EF"/>
          </w:tcPr>
          <w:p>
            <w:pPr>
              <w:jc w:val="right"/>
              <w:ind w:right="3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3680" w:type="dxa"/>
            <w:vAlign w:val="bottom"/>
            <w:gridSpan w:val="3"/>
            <w:shd w:val="clear" w:color="auto" w:fill="DCE2EF"/>
          </w:tcPr>
          <w:p>
            <w:pPr>
              <w:ind w:left="160"/>
              <w:spacing w:after="0"/>
              <w:rPr>
                <w:sz w:val="20"/>
                <w:szCs w:val="20"/>
                <w:color w:val="auto"/>
              </w:rPr>
            </w:pPr>
            <w:r>
              <w:rPr>
                <w:rFonts w:ascii="Arial" w:cs="Arial" w:eastAsia="Arial" w:hAnsi="Arial"/>
                <w:sz w:val="16"/>
                <w:szCs w:val="16"/>
                <w:color w:val="auto"/>
              </w:rPr>
              <w:t>included in Technical Solutions</w:t>
            </w:r>
          </w:p>
        </w:tc>
        <w:tc>
          <w:tcPr>
            <w:tcW w:w="420" w:type="dxa"/>
            <w:vAlign w:val="bottom"/>
            <w:shd w:val="clear" w:color="auto" w:fill="DCE2EF"/>
          </w:tcPr>
          <w:p>
            <w:pPr>
              <w:spacing w:after="0"/>
              <w:rPr>
                <w:sz w:val="18"/>
                <w:szCs w:val="18"/>
                <w:color w:val="auto"/>
              </w:rPr>
            </w:pPr>
          </w:p>
        </w:tc>
        <w:tc>
          <w:tcPr>
            <w:tcW w:w="1240" w:type="dxa"/>
            <w:vAlign w:val="bottom"/>
            <w:shd w:val="clear" w:color="auto" w:fill="DCE2EF"/>
          </w:tcPr>
          <w:p>
            <w:pPr>
              <w:spacing w:after="0"/>
              <w:rPr>
                <w:sz w:val="18"/>
                <w:szCs w:val="18"/>
                <w:color w:val="auto"/>
              </w:rPr>
            </w:pPr>
          </w:p>
        </w:tc>
        <w:tc>
          <w:tcPr>
            <w:tcW w:w="200" w:type="dxa"/>
            <w:vAlign w:val="bottom"/>
            <w:tcBorders>
              <w:bottom w:val="single" w:sz="8" w:color="auto"/>
            </w:tcBorders>
            <w:shd w:val="clear" w:color="auto" w:fill="DCE2EF"/>
          </w:tcPr>
          <w:p>
            <w:pPr>
              <w:spacing w:after="0"/>
              <w:rPr>
                <w:sz w:val="18"/>
                <w:szCs w:val="18"/>
                <w:color w:val="auto"/>
              </w:rPr>
            </w:pPr>
          </w:p>
        </w:tc>
        <w:tc>
          <w:tcPr>
            <w:tcW w:w="120" w:type="dxa"/>
            <w:vAlign w:val="bottom"/>
            <w:tcBorders>
              <w:bottom w:val="single" w:sz="8" w:color="auto"/>
            </w:tcBorders>
            <w:shd w:val="clear" w:color="auto" w:fill="DCE2EF"/>
          </w:tcPr>
          <w:p>
            <w:pPr>
              <w:spacing w:after="0"/>
              <w:rPr>
                <w:sz w:val="18"/>
                <w:szCs w:val="18"/>
                <w:color w:val="auto"/>
              </w:rPr>
            </w:pPr>
          </w:p>
        </w:tc>
        <w:tc>
          <w:tcPr>
            <w:tcW w:w="200" w:type="dxa"/>
            <w:vAlign w:val="bottom"/>
            <w:tcBorders>
              <w:bottom w:val="single" w:sz="8" w:color="auto"/>
            </w:tcBorders>
            <w:shd w:val="clear" w:color="auto" w:fill="DCE2EF"/>
          </w:tcPr>
          <w:p>
            <w:pPr>
              <w:spacing w:after="0"/>
              <w:rPr>
                <w:sz w:val="18"/>
                <w:szCs w:val="18"/>
                <w:color w:val="auto"/>
              </w:rPr>
            </w:pPr>
          </w:p>
        </w:tc>
        <w:tc>
          <w:tcPr>
            <w:tcW w:w="1060" w:type="dxa"/>
            <w:vAlign w:val="bottom"/>
            <w:tcBorders>
              <w:bottom w:val="single" w:sz="8" w:color="auto"/>
            </w:tcBorders>
            <w:vMerge w:val="continue"/>
            <w:shd w:val="clear" w:color="auto" w:fill="DCE2EF"/>
          </w:tcPr>
          <w:p>
            <w:pPr>
              <w:spacing w:after="0"/>
              <w:rPr>
                <w:sz w:val="18"/>
                <w:szCs w:val="18"/>
                <w:color w:val="auto"/>
              </w:rPr>
            </w:pPr>
          </w:p>
        </w:tc>
        <w:tc>
          <w:tcPr>
            <w:tcW w:w="20" w:type="dxa"/>
            <w:vAlign w:val="bottom"/>
            <w:tcBorders>
              <w:bottom w:val="single" w:sz="8" w:color="auto"/>
            </w:tcBorders>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480" w:type="dxa"/>
            <w:vAlign w:val="bottom"/>
            <w:tcBorders>
              <w:bottom w:val="single" w:sz="8" w:color="auto"/>
            </w:tcBorders>
            <w:shd w:val="clear" w:color="auto" w:fill="DCE2EF"/>
          </w:tcPr>
          <w:p>
            <w:pPr>
              <w:spacing w:after="0"/>
              <w:rPr>
                <w:sz w:val="18"/>
                <w:szCs w:val="18"/>
                <w:color w:val="auto"/>
              </w:rPr>
            </w:pPr>
          </w:p>
        </w:tc>
        <w:tc>
          <w:tcPr>
            <w:tcW w:w="100" w:type="dxa"/>
            <w:vAlign w:val="bottom"/>
            <w:tcBorders>
              <w:bottom w:val="single" w:sz="8" w:color="auto"/>
            </w:tcBorders>
            <w:shd w:val="clear" w:color="auto" w:fill="DCE2EF"/>
          </w:tcPr>
          <w:p>
            <w:pPr>
              <w:spacing w:after="0"/>
              <w:rPr>
                <w:sz w:val="18"/>
                <w:szCs w:val="18"/>
                <w:color w:val="auto"/>
              </w:rPr>
            </w:pPr>
          </w:p>
        </w:tc>
        <w:tc>
          <w:tcPr>
            <w:tcW w:w="1020" w:type="dxa"/>
            <w:vAlign w:val="bottom"/>
            <w:tcBorders>
              <w:bottom w:val="single" w:sz="8" w:color="auto"/>
            </w:tcBorders>
            <w:vMerge w:val="continue"/>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spacing w:after="0"/>
              <w:rPr>
                <w:sz w:val="18"/>
                <w:szCs w:val="18"/>
                <w:color w:val="auto"/>
              </w:rPr>
            </w:pPr>
          </w:p>
        </w:tc>
        <w:tc>
          <w:tcPr>
            <w:tcW w:w="1040" w:type="dxa"/>
            <w:vAlign w:val="bottom"/>
            <w:tcBorders>
              <w:bottom w:val="single" w:sz="8" w:color="auto"/>
            </w:tcBorders>
            <w:vMerge w:val="continue"/>
            <w:shd w:val="clear" w:color="auto" w:fill="DCE2EF"/>
          </w:tcPr>
          <w:p>
            <w:pPr>
              <w:spacing w:after="0"/>
              <w:rPr>
                <w:sz w:val="18"/>
                <w:szCs w:val="18"/>
                <w:color w:val="auto"/>
              </w:rPr>
            </w:pPr>
          </w:p>
        </w:tc>
        <w:tc>
          <w:tcPr>
            <w:tcW w:w="1280" w:type="dxa"/>
            <w:vAlign w:val="bottom"/>
            <w:vMerge w:val="continue"/>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155.4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164.1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80" w:type="dxa"/>
            <w:vAlign w:val="bottom"/>
          </w:tcPr>
          <w:p>
            <w:pPr>
              <w:jc w:val="center"/>
              <w:ind w:left="3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
        </w:trPr>
        <w:tc>
          <w:tcPr>
            <w:tcW w:w="3700" w:type="dxa"/>
            <w:vAlign w:val="bottom"/>
            <w:gridSpan w:val="4"/>
            <w:vMerge w:val="restart"/>
          </w:tcPr>
          <w:p>
            <w:pPr>
              <w:spacing w:after="0"/>
              <w:rPr>
                <w:sz w:val="20"/>
                <w:szCs w:val="20"/>
                <w:color w:val="auto"/>
              </w:rPr>
            </w:pPr>
            <w:r>
              <w:rPr>
                <w:rFonts w:ascii="Arial" w:cs="Arial" w:eastAsia="Arial" w:hAnsi="Arial"/>
                <w:sz w:val="16"/>
                <w:szCs w:val="16"/>
                <w:color w:val="auto"/>
              </w:rPr>
              <w:t>*Not meaningful</w:t>
            </w: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370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3680" w:type="dxa"/>
            <w:vAlign w:val="bottom"/>
            <w:gridSpan w:val="3"/>
          </w:tcPr>
          <w:p>
            <w:pPr>
              <w:spacing w:after="0"/>
              <w:rPr>
                <w:sz w:val="20"/>
                <w:szCs w:val="20"/>
                <w:color w:val="auto"/>
              </w:rPr>
            </w:pPr>
            <w:r>
              <w:rPr>
                <w:rFonts w:ascii="Arial" w:cs="Arial" w:eastAsia="Arial" w:hAnsi="Arial"/>
                <w:sz w:val="16"/>
                <w:szCs w:val="16"/>
                <w:b w:val="1"/>
                <w:bCs w:val="1"/>
                <w:i w:val="1"/>
                <w:iCs w:val="1"/>
                <w:color w:val="0046AD"/>
              </w:rPr>
              <w:t>Business &amp; Industry</w:t>
            </w:r>
          </w:p>
        </w:tc>
        <w:tc>
          <w:tcPr>
            <w:tcW w:w="420" w:type="dxa"/>
            <w:vAlign w:val="bottom"/>
          </w:tcPr>
          <w:p>
            <w:pPr>
              <w:spacing w:after="0"/>
              <w:rPr>
                <w:sz w:val="24"/>
                <w:szCs w:val="24"/>
                <w:color w:val="auto"/>
              </w:rPr>
            </w:pPr>
          </w:p>
        </w:tc>
        <w:tc>
          <w:tcPr>
            <w:tcW w:w="2820" w:type="dxa"/>
            <w:vAlign w:val="bottom"/>
            <w:gridSpan w:val="5"/>
            <w:vMerge w:val="restart"/>
          </w:tcPr>
          <w:p>
            <w:pPr>
              <w:jc w:val="right"/>
              <w:ind w:right="201"/>
              <w:spacing w:after="0"/>
              <w:rPr>
                <w:sz w:val="20"/>
                <w:szCs w:val="20"/>
                <w:color w:val="auto"/>
              </w:rPr>
            </w:pPr>
            <w:r>
              <w:rPr>
                <w:rFonts w:ascii="Arial" w:cs="Arial" w:eastAsia="Arial" w:hAnsi="Arial"/>
                <w:sz w:val="16"/>
                <w:szCs w:val="16"/>
                <w:b w:val="1"/>
                <w:bCs w:val="1"/>
                <w:color w:val="auto"/>
              </w:rPr>
              <w:t>Six Months Ended April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Pr>
          <w:p>
            <w:pPr>
              <w:spacing w:after="0"/>
              <w:rPr>
                <w:sz w:val="13"/>
                <w:szCs w:val="13"/>
                <w:color w:val="auto"/>
              </w:rPr>
            </w:pPr>
          </w:p>
        </w:tc>
        <w:tc>
          <w:tcPr>
            <w:tcW w:w="1240" w:type="dxa"/>
            <w:vAlign w:val="bottom"/>
          </w:tcPr>
          <w:p>
            <w:pPr>
              <w:jc w:val="right"/>
              <w:ind w:right="460"/>
              <w:spacing w:after="0" w:line="142" w:lineRule="exact"/>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81"/>
              <w:spacing w:after="0" w:line="142" w:lineRule="exact"/>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0" w:type="dxa"/>
            <w:vAlign w:val="bottom"/>
            <w:gridSpan w:val="5"/>
          </w:tcPr>
          <w:p>
            <w:pPr>
              <w:jc w:val="right"/>
              <w:ind w:right="899"/>
              <w:spacing w:after="0" w:line="136" w:lineRule="exact"/>
              <w:rPr>
                <w:sz w:val="20"/>
                <w:szCs w:val="20"/>
                <w:color w:val="auto"/>
              </w:rPr>
            </w:pPr>
            <w:r>
              <w:rPr>
                <w:rFonts w:ascii="Arial" w:cs="Arial" w:eastAsia="Arial" w:hAnsi="Arial"/>
                <w:sz w:val="15"/>
                <w:szCs w:val="15"/>
                <w:b w:val="1"/>
                <w:bCs w:val="1"/>
                <w:color w:val="auto"/>
              </w:rPr>
              <w:t>(Decrease) / Increase</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720" w:type="dxa"/>
            <w:vAlign w:val="bottom"/>
            <w:tcBorders>
              <w:top w:val="single" w:sz="8" w:color="auto"/>
              <w:bottom w:val="single" w:sz="8" w:color="DCE2EF"/>
            </w:tcBorders>
          </w:tcPr>
          <w:p>
            <w:pPr>
              <w:spacing w:after="0"/>
              <w:rPr>
                <w:sz w:val="2"/>
                <w:szCs w:val="2"/>
                <w:color w:val="auto"/>
              </w:rPr>
            </w:pPr>
          </w:p>
        </w:tc>
        <w:tc>
          <w:tcPr>
            <w:tcW w:w="100" w:type="dxa"/>
            <w:vAlign w:val="bottom"/>
            <w:tcBorders>
              <w:top w:val="single" w:sz="8" w:color="auto"/>
              <w:bottom w:val="single" w:sz="8" w:color="DCE2EF"/>
            </w:tcBorders>
          </w:tcPr>
          <w:p>
            <w:pPr>
              <w:spacing w:after="0"/>
              <w:rPr>
                <w:sz w:val="2"/>
                <w:szCs w:val="2"/>
                <w:color w:val="auto"/>
              </w:rPr>
            </w:pPr>
          </w:p>
        </w:tc>
        <w:tc>
          <w:tcPr>
            <w:tcW w:w="286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DCE2EF"/>
          </w:tcPr>
          <w:p>
            <w:pPr>
              <w:jc w:val="right"/>
              <w:ind w:right="99"/>
              <w:spacing w:after="0"/>
              <w:rPr>
                <w:sz w:val="20"/>
                <w:szCs w:val="20"/>
                <w:color w:val="auto"/>
              </w:rPr>
            </w:pPr>
            <w:r>
              <w:rPr>
                <w:rFonts w:ascii="Arial" w:cs="Arial" w:eastAsia="Arial" w:hAnsi="Arial"/>
                <w:sz w:val="16"/>
                <w:szCs w:val="16"/>
                <w:color w:val="auto"/>
              </w:rPr>
              <w:t>2,022.8</w:t>
            </w: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gridSpan w:val="4"/>
            <w:shd w:val="clear" w:color="auto" w:fill="DCE2EF"/>
          </w:tcPr>
          <w:p>
            <w:pPr>
              <w:jc w:val="right"/>
              <w:ind w:right="119"/>
              <w:spacing w:after="0"/>
              <w:rPr>
                <w:sz w:val="20"/>
                <w:szCs w:val="20"/>
                <w:color w:val="auto"/>
              </w:rPr>
            </w:pPr>
            <w:r>
              <w:rPr>
                <w:rFonts w:ascii="Arial" w:cs="Arial" w:eastAsia="Arial" w:hAnsi="Arial"/>
                <w:sz w:val="16"/>
                <w:szCs w:val="16"/>
                <w:color w:val="auto"/>
              </w:rPr>
              <w:t>2,035.0</w:t>
            </w:r>
          </w:p>
        </w:tc>
        <w:tc>
          <w:tcPr>
            <w:tcW w:w="100" w:type="dxa"/>
            <w:vAlign w:val="bottom"/>
            <w:shd w:val="clear" w:color="auto" w:fill="DCE2EF"/>
          </w:tcPr>
          <w:p>
            <w:pPr>
              <w:spacing w:after="0"/>
              <w:rPr>
                <w:sz w:val="18"/>
                <w:szCs w:val="18"/>
                <w:color w:val="auto"/>
              </w:rPr>
            </w:pPr>
          </w:p>
        </w:tc>
        <w:tc>
          <w:tcPr>
            <w:tcW w:w="1020" w:type="dxa"/>
            <w:vAlign w:val="bottom"/>
            <w:shd w:val="clear" w:color="auto" w:fill="DCE2EF"/>
          </w:tcPr>
          <w:p>
            <w:pPr>
              <w:jc w:val="right"/>
              <w:ind w:right="821"/>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040" w:type="dxa"/>
            <w:vAlign w:val="bottom"/>
            <w:shd w:val="clear" w:color="auto" w:fill="DCE2EF"/>
          </w:tcPr>
          <w:p>
            <w:pPr>
              <w:ind w:left="40"/>
              <w:spacing w:after="0"/>
              <w:rPr>
                <w:sz w:val="20"/>
                <w:szCs w:val="20"/>
                <w:color w:val="auto"/>
              </w:rPr>
            </w:pPr>
            <w:r>
              <w:rPr>
                <w:rFonts w:ascii="Arial" w:cs="Arial" w:eastAsia="Arial" w:hAnsi="Arial"/>
                <w:sz w:val="16"/>
                <w:szCs w:val="16"/>
                <w:color w:val="auto"/>
              </w:rPr>
              <w:t>(12.2)</w:t>
            </w:r>
          </w:p>
        </w:tc>
        <w:tc>
          <w:tcPr>
            <w:tcW w:w="1280" w:type="dxa"/>
            <w:vAlign w:val="bottom"/>
            <w:shd w:val="clear" w:color="auto" w:fill="DCE2EF"/>
          </w:tcPr>
          <w:p>
            <w:pPr>
              <w:jc w:val="right"/>
              <w:ind w:right="53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18"/>
                <w:szCs w:val="18"/>
                <w:color w:val="auto"/>
              </w:rPr>
            </w:pPr>
          </w:p>
        </w:tc>
        <w:tc>
          <w:tcPr>
            <w:tcW w:w="1440" w:type="dxa"/>
            <w:vAlign w:val="bottom"/>
            <w:gridSpan w:val="2"/>
          </w:tcPr>
          <w:p>
            <w:pPr>
              <w:jc w:val="right"/>
              <w:ind w:right="99"/>
              <w:spacing w:after="0"/>
              <w:rPr>
                <w:sz w:val="20"/>
                <w:szCs w:val="20"/>
                <w:color w:val="auto"/>
              </w:rPr>
            </w:pPr>
            <w:r>
              <w:rPr>
                <w:rFonts w:ascii="Arial" w:cs="Arial" w:eastAsia="Arial" w:hAnsi="Arial"/>
                <w:sz w:val="16"/>
                <w:szCs w:val="16"/>
                <w:color w:val="auto"/>
              </w:rPr>
              <w:t>157.2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3"/>
          </w:tcPr>
          <w:p>
            <w:pPr>
              <w:jc w:val="right"/>
              <w:ind w:right="119"/>
              <w:spacing w:after="0"/>
              <w:rPr>
                <w:sz w:val="20"/>
                <w:szCs w:val="20"/>
                <w:color w:val="auto"/>
              </w:rPr>
            </w:pPr>
            <w:r>
              <w:rPr>
                <w:rFonts w:ascii="Arial" w:cs="Arial" w:eastAsia="Arial" w:hAnsi="Arial"/>
                <w:sz w:val="16"/>
                <w:szCs w:val="16"/>
                <w:color w:val="auto"/>
                <w:w w:val="94"/>
              </w:rPr>
              <w:t>152.2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541"/>
              <w:spacing w:after="0"/>
              <w:rPr>
                <w:sz w:val="20"/>
                <w:szCs w:val="20"/>
                <w:color w:val="auto"/>
              </w:rPr>
            </w:pPr>
            <w:r>
              <w:rPr>
                <w:rFonts w:ascii="Arial" w:cs="Arial" w:eastAsia="Arial" w:hAnsi="Arial"/>
                <w:sz w:val="16"/>
                <w:szCs w:val="16"/>
                <w:color w:val="auto"/>
              </w:rPr>
              <w:t>5.0</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3680" w:type="dxa"/>
            <w:vAlign w:val="bottom"/>
            <w:gridSpan w:val="3"/>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7"/>
                <w:szCs w:val="17"/>
                <w:color w:val="auto"/>
              </w:rPr>
            </w:pPr>
          </w:p>
        </w:tc>
        <w:tc>
          <w:tcPr>
            <w:tcW w:w="1440" w:type="dxa"/>
            <w:vAlign w:val="bottom"/>
            <w:gridSpan w:val="2"/>
            <w:shd w:val="clear" w:color="auto" w:fill="DCE2EF"/>
          </w:tcPr>
          <w:p>
            <w:pPr>
              <w:jc w:val="right"/>
              <w:spacing w:after="0"/>
              <w:rPr>
                <w:sz w:val="20"/>
                <w:szCs w:val="20"/>
                <w:color w:val="auto"/>
              </w:rPr>
            </w:pPr>
            <w:r>
              <w:rPr>
                <w:rFonts w:ascii="Arial" w:cs="Arial" w:eastAsia="Arial" w:hAnsi="Arial"/>
                <w:sz w:val="14"/>
                <w:szCs w:val="14"/>
                <w:i w:val="1"/>
                <w:iCs w:val="1"/>
                <w:color w:val="auto"/>
              </w:rPr>
              <w:t>7.8 %</w:t>
            </w:r>
          </w:p>
        </w:tc>
        <w:tc>
          <w:tcPr>
            <w:tcW w:w="120" w:type="dxa"/>
            <w:vAlign w:val="bottom"/>
            <w:shd w:val="clear" w:color="auto" w:fill="DCE2EF"/>
          </w:tcPr>
          <w:p>
            <w:pPr>
              <w:spacing w:after="0"/>
              <w:rPr>
                <w:sz w:val="17"/>
                <w:szCs w:val="17"/>
                <w:color w:val="auto"/>
              </w:rPr>
            </w:pPr>
          </w:p>
        </w:tc>
        <w:tc>
          <w:tcPr>
            <w:tcW w:w="20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600" w:type="dxa"/>
            <w:vAlign w:val="bottom"/>
            <w:gridSpan w:val="3"/>
            <w:shd w:val="clear" w:color="auto" w:fill="DCE2EF"/>
          </w:tcPr>
          <w:p>
            <w:pPr>
              <w:jc w:val="right"/>
              <w:spacing w:after="0"/>
              <w:rPr>
                <w:sz w:val="20"/>
                <w:szCs w:val="20"/>
                <w:color w:val="auto"/>
              </w:rPr>
            </w:pPr>
            <w:r>
              <w:rPr>
                <w:rFonts w:ascii="Arial" w:cs="Arial" w:eastAsia="Arial" w:hAnsi="Arial"/>
                <w:sz w:val="14"/>
                <w:szCs w:val="14"/>
                <w:i w:val="1"/>
                <w:iCs w:val="1"/>
                <w:color w:val="auto"/>
              </w:rPr>
              <w:t>7.5 %</w:t>
            </w:r>
          </w:p>
        </w:tc>
        <w:tc>
          <w:tcPr>
            <w:tcW w:w="100" w:type="dxa"/>
            <w:vAlign w:val="bottom"/>
            <w:shd w:val="clear" w:color="auto" w:fill="DCE2EF"/>
          </w:tcPr>
          <w:p>
            <w:pPr>
              <w:spacing w:after="0"/>
              <w:rPr>
                <w:sz w:val="17"/>
                <w:szCs w:val="17"/>
                <w:color w:val="auto"/>
              </w:rPr>
            </w:pPr>
          </w:p>
        </w:tc>
        <w:tc>
          <w:tcPr>
            <w:tcW w:w="10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040" w:type="dxa"/>
            <w:vAlign w:val="bottom"/>
            <w:shd w:val="clear" w:color="auto" w:fill="DCE2EF"/>
          </w:tcPr>
          <w:p>
            <w:pPr>
              <w:ind w:left="40"/>
              <w:spacing w:after="0"/>
              <w:rPr>
                <w:sz w:val="20"/>
                <w:szCs w:val="20"/>
                <w:color w:val="auto"/>
              </w:rPr>
            </w:pPr>
            <w:r>
              <w:rPr>
                <w:rFonts w:ascii="Arial" w:cs="Arial" w:eastAsia="Arial" w:hAnsi="Arial"/>
                <w:sz w:val="14"/>
                <w:szCs w:val="14"/>
                <w:i w:val="1"/>
                <w:iCs w:val="1"/>
                <w:color w:val="auto"/>
              </w:rPr>
              <w:t>29 bps</w:t>
            </w:r>
          </w:p>
        </w:tc>
        <w:tc>
          <w:tcPr>
            <w:tcW w:w="12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B&amp;I revenues decreased by $12.2 million, or 0.6%, to $2,022.8 million during the six months ended April 30, 2024, as compared to the prior year period. The revenue decrease was primarily driven by the soft commercial office market conditions, and attrition of certain engineering clients, partially offset by client expansions and increases in revenue in the sports sector and parking. Management reimbursement revenues for this segment totaled $139.1 million and $130.1 million for the six months ended April 30, 2024 and 2023, respectively.</w:t>
      </w:r>
    </w:p>
    <w:p>
      <w:pPr>
        <w:spacing w:after="0" w:line="1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Operating profit increased by $5.0 million, or 3.3%, to $157.2 million during the six months ended April 30, 2024, as compared to the prior year period. Operating profit margin increased by 29 bps to 7.8% in the six months ended April 30, 2024, from 7.5% in the six months ended April 30, 2023. The increase in operating profit margin was primarily driven by the contract and service mix and labor efficiencies.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Manufacturing &amp; Distribution</w:t>
            </w:r>
          </w:p>
        </w:tc>
        <w:tc>
          <w:tcPr>
            <w:tcW w:w="440" w:type="dxa"/>
            <w:vAlign w:val="bottom"/>
          </w:tcPr>
          <w:p>
            <w:pPr>
              <w:spacing w:after="0"/>
              <w:rPr>
                <w:sz w:val="19"/>
                <w:szCs w:val="19"/>
                <w:color w:val="auto"/>
              </w:rPr>
            </w:pPr>
          </w:p>
        </w:tc>
        <w:tc>
          <w:tcPr>
            <w:tcW w:w="3520" w:type="dxa"/>
            <w:vAlign w:val="bottom"/>
            <w:gridSpan w:val="5"/>
            <w:vMerge w:val="restart"/>
          </w:tcPr>
          <w:p>
            <w:pPr>
              <w:ind w:left="440"/>
              <w:spacing w:after="0"/>
              <w:rPr>
                <w:sz w:val="20"/>
                <w:szCs w:val="20"/>
                <w:color w:val="auto"/>
              </w:rPr>
            </w:pPr>
            <w:r>
              <w:rPr>
                <w:rFonts w:ascii="Arial" w:cs="Arial" w:eastAsia="Arial" w:hAnsi="Arial"/>
                <w:sz w:val="16"/>
                <w:szCs w:val="16"/>
                <w:b w:val="1"/>
                <w:bCs w:val="1"/>
                <w:color w:val="auto"/>
              </w:rPr>
              <w:t>Six Months Ended April 30,</w:t>
            </w:r>
          </w:p>
        </w:tc>
        <w:tc>
          <w:tcPr>
            <w:tcW w:w="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20" w:type="dxa"/>
            <w:vAlign w:val="bottom"/>
            <w:gridSpan w:val="5"/>
            <w:vMerge w:val="continue"/>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681"/>
              <w:spacing w:after="0" w:line="142" w:lineRule="exact"/>
              <w:rPr>
                <w:sz w:val="20"/>
                <w:szCs w:val="20"/>
                <w:color w:val="auto"/>
              </w:rPr>
            </w:pPr>
            <w:r>
              <w:rPr>
                <w:rFonts w:ascii="Arial" w:cs="Arial" w:eastAsia="Arial" w:hAnsi="Arial"/>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681"/>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40" w:type="dxa"/>
            <w:vAlign w:val="bottom"/>
            <w:gridSpan w:val="2"/>
          </w:tcPr>
          <w:p>
            <w:pPr>
              <w:jc w:val="right"/>
              <w:ind w:right="899"/>
              <w:spacing w:after="0" w:line="136" w:lineRule="exact"/>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86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36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44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789.5</w:t>
            </w:r>
          </w:p>
        </w:tc>
        <w:tc>
          <w:tcPr>
            <w:tcW w:w="12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753.7</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jc w:val="right"/>
              <w:ind w:right="3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DCE2EF"/>
          </w:tcPr>
          <w:p>
            <w:pPr>
              <w:jc w:val="right"/>
              <w:ind w:right="363"/>
              <w:spacing w:after="0"/>
              <w:rPr>
                <w:sz w:val="20"/>
                <w:szCs w:val="20"/>
                <w:color w:val="auto"/>
              </w:rPr>
            </w:pPr>
            <w:r>
              <w:rPr>
                <w:rFonts w:ascii="Arial" w:cs="Arial" w:eastAsia="Arial" w:hAnsi="Arial"/>
                <w:sz w:val="16"/>
                <w:szCs w:val="16"/>
                <w:color w:val="auto"/>
              </w:rPr>
              <w:t>35.8</w:t>
            </w:r>
          </w:p>
        </w:tc>
        <w:tc>
          <w:tcPr>
            <w:tcW w:w="1460" w:type="dxa"/>
            <w:vAlign w:val="bottom"/>
            <w:shd w:val="clear" w:color="auto" w:fill="DCE2EF"/>
          </w:tcPr>
          <w:p>
            <w:pPr>
              <w:jc w:val="right"/>
              <w:ind w:right="59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440" w:type="dxa"/>
            <w:vAlign w:val="bottom"/>
          </w:tcPr>
          <w:p>
            <w:pPr>
              <w:spacing w:after="0"/>
              <w:rPr>
                <w:sz w:val="18"/>
                <w:szCs w:val="18"/>
                <w:color w:val="auto"/>
              </w:rPr>
            </w:pPr>
          </w:p>
        </w:tc>
        <w:tc>
          <w:tcPr>
            <w:tcW w:w="1440" w:type="dxa"/>
            <w:vAlign w:val="bottom"/>
          </w:tcPr>
          <w:p>
            <w:pPr>
              <w:jc w:val="right"/>
              <w:ind w:right="101"/>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jc w:val="right"/>
              <w:ind w:right="363"/>
              <w:spacing w:after="0"/>
              <w:rPr>
                <w:sz w:val="20"/>
                <w:szCs w:val="20"/>
                <w:color w:val="auto"/>
              </w:rPr>
            </w:pPr>
            <w:r>
              <w:rPr>
                <w:rFonts w:ascii="Arial" w:cs="Arial" w:eastAsia="Arial" w:hAnsi="Arial"/>
                <w:sz w:val="16"/>
                <w:szCs w:val="16"/>
                <w:color w:val="auto"/>
              </w:rPr>
              <w:t>3.3</w:t>
            </w:r>
          </w:p>
        </w:tc>
        <w:tc>
          <w:tcPr>
            <w:tcW w:w="1460" w:type="dxa"/>
            <w:vAlign w:val="bottom"/>
          </w:tcPr>
          <w:p>
            <w:pPr>
              <w:jc w:val="right"/>
              <w:ind w:right="59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368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40" w:type="dxa"/>
            <w:vAlign w:val="bottom"/>
            <w:shd w:val="clear" w:color="auto" w:fill="DCE2EF"/>
          </w:tcPr>
          <w:p>
            <w:pPr>
              <w:spacing w:after="0"/>
              <w:rPr>
                <w:sz w:val="17"/>
                <w:szCs w:val="17"/>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10.8 %</w:t>
            </w:r>
          </w:p>
        </w:tc>
        <w:tc>
          <w:tcPr>
            <w:tcW w:w="12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10.8 %</w:t>
            </w:r>
          </w:p>
        </w:tc>
        <w:tc>
          <w:tcPr>
            <w:tcW w:w="100" w:type="dxa"/>
            <w:vAlign w:val="bottom"/>
            <w:shd w:val="clear" w:color="auto" w:fill="DCE2EF"/>
          </w:tcPr>
          <w:p>
            <w:pPr>
              <w:spacing w:after="0"/>
              <w:rPr>
                <w:sz w:val="17"/>
                <w:szCs w:val="17"/>
                <w:color w:val="auto"/>
              </w:rPr>
            </w:pPr>
          </w:p>
        </w:tc>
        <w:tc>
          <w:tcPr>
            <w:tcW w:w="540" w:type="dxa"/>
            <w:vAlign w:val="bottom"/>
            <w:shd w:val="clear" w:color="auto" w:fill="DCE2EF"/>
          </w:tcPr>
          <w:p>
            <w:pPr>
              <w:spacing w:after="0"/>
              <w:rPr>
                <w:sz w:val="17"/>
                <w:szCs w:val="17"/>
                <w:color w:val="auto"/>
              </w:rPr>
            </w:pPr>
          </w:p>
        </w:tc>
        <w:tc>
          <w:tcPr>
            <w:tcW w:w="1580" w:type="dxa"/>
            <w:vAlign w:val="bottom"/>
            <w:shd w:val="clear" w:color="auto" w:fill="DCE2EF"/>
          </w:tcPr>
          <w:p>
            <w:pPr>
              <w:jc w:val="right"/>
              <w:ind w:right="323"/>
              <w:spacing w:after="0"/>
              <w:rPr>
                <w:sz w:val="20"/>
                <w:szCs w:val="20"/>
                <w:color w:val="auto"/>
              </w:rPr>
            </w:pPr>
            <w:r>
              <w:rPr>
                <w:rFonts w:ascii="Arial" w:cs="Arial" w:eastAsia="Arial" w:hAnsi="Arial"/>
                <w:sz w:val="14"/>
                <w:szCs w:val="14"/>
                <w:i w:val="1"/>
                <w:iCs w:val="1"/>
                <w:color w:val="auto"/>
              </w:rPr>
              <w:t>(8) bps</w:t>
            </w:r>
          </w:p>
        </w:tc>
        <w:tc>
          <w:tcPr>
            <w:tcW w:w="14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M&amp;D revenues increased by $35.8 million, or 4.7%, to $789.5 million during the six months ended April 30, 2024, as compared to the prior year period. The increase was primarily attributable to the expansion of business with existing customers.</w:t>
      </w:r>
    </w:p>
    <w:p>
      <w:pPr>
        <w:spacing w:after="0" w:line="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Operating profit increased by $3.3 million, or 4.0%, to $ 85.0 million during the six months ended April 30, 2024, as compared to the prior year period. Operating profit margin decreased by 8 bps to 10.8% in the six months ended April 30, 2024, from 10.8% in the six months ended April 30, 2023. The decrease in operating profit margin was primarily attributable to the change in the contract mix.</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Education</w:t>
            </w:r>
          </w:p>
        </w:tc>
        <w:tc>
          <w:tcPr>
            <w:tcW w:w="420" w:type="dxa"/>
            <w:vAlign w:val="bottom"/>
          </w:tcPr>
          <w:p>
            <w:pPr>
              <w:spacing w:after="0"/>
              <w:rPr>
                <w:sz w:val="19"/>
                <w:szCs w:val="19"/>
                <w:color w:val="auto"/>
              </w:rPr>
            </w:pPr>
          </w:p>
        </w:tc>
        <w:tc>
          <w:tcPr>
            <w:tcW w:w="3520" w:type="dxa"/>
            <w:vAlign w:val="bottom"/>
            <w:gridSpan w:val="5"/>
            <w:vMerge w:val="restart"/>
          </w:tcPr>
          <w:p>
            <w:pPr>
              <w:ind w:left="460"/>
              <w:spacing w:after="0"/>
              <w:rPr>
                <w:sz w:val="20"/>
                <w:szCs w:val="20"/>
                <w:color w:val="auto"/>
              </w:rPr>
            </w:pPr>
            <w:r>
              <w:rPr>
                <w:rFonts w:ascii="Arial" w:cs="Arial" w:eastAsia="Arial" w:hAnsi="Arial"/>
                <w:sz w:val="16"/>
                <w:szCs w:val="16"/>
                <w:b w:val="1"/>
                <w:bCs w:val="1"/>
                <w:color w:val="auto"/>
              </w:rPr>
              <w:t>Six Months Ended April 30,</w:t>
            </w: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gridSpan w:val="5"/>
            <w:vMerge w:val="continue"/>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681"/>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40" w:type="dxa"/>
            <w:vAlign w:val="bottom"/>
            <w:gridSpan w:val="2"/>
          </w:tcPr>
          <w:p>
            <w:pPr>
              <w:jc w:val="right"/>
              <w:ind w:right="899"/>
              <w:spacing w:after="0" w:line="136" w:lineRule="exact"/>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3EF"/>
            </w:tcBorders>
          </w:tcPr>
          <w:p>
            <w:pPr>
              <w:spacing w:after="0"/>
              <w:rPr>
                <w:sz w:val="2"/>
                <w:szCs w:val="2"/>
                <w:color w:val="auto"/>
              </w:rPr>
            </w:pPr>
          </w:p>
        </w:tc>
        <w:tc>
          <w:tcPr>
            <w:tcW w:w="820" w:type="dxa"/>
            <w:vAlign w:val="bottom"/>
            <w:tcBorders>
              <w:top w:val="single" w:sz="8" w:color="auto"/>
              <w:bottom w:val="single" w:sz="8" w:color="DCE3EF"/>
            </w:tcBorders>
          </w:tcPr>
          <w:p>
            <w:pPr>
              <w:spacing w:after="0"/>
              <w:rPr>
                <w:sz w:val="2"/>
                <w:szCs w:val="2"/>
                <w:color w:val="auto"/>
              </w:rPr>
            </w:pPr>
          </w:p>
        </w:tc>
        <w:tc>
          <w:tcPr>
            <w:tcW w:w="2860" w:type="dxa"/>
            <w:vAlign w:val="bottom"/>
            <w:tcBorders>
              <w:bottom w:val="single" w:sz="8" w:color="DCE3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DCE3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CE3E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CE3EF"/>
          </w:tcPr>
          <w:p>
            <w:pPr>
              <w:spacing w:after="0"/>
              <w:rPr>
                <w:sz w:val="18"/>
                <w:szCs w:val="18"/>
                <w:color w:val="auto"/>
              </w:rPr>
            </w:pPr>
          </w:p>
        </w:tc>
        <w:tc>
          <w:tcPr>
            <w:tcW w:w="3680" w:type="dxa"/>
            <w:vAlign w:val="bottom"/>
            <w:gridSpan w:val="2"/>
            <w:shd w:val="clear" w:color="auto" w:fill="DCE3EF"/>
          </w:tcPr>
          <w:p>
            <w:pPr>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DCE3EF"/>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CE3EF"/>
          </w:tcPr>
          <w:p>
            <w:pPr>
              <w:jc w:val="right"/>
              <w:ind w:right="101"/>
              <w:spacing w:after="0"/>
              <w:rPr>
                <w:sz w:val="20"/>
                <w:szCs w:val="20"/>
                <w:color w:val="auto"/>
              </w:rPr>
            </w:pPr>
            <w:r>
              <w:rPr>
                <w:rFonts w:ascii="Arial" w:cs="Arial" w:eastAsia="Arial" w:hAnsi="Arial"/>
                <w:sz w:val="16"/>
                <w:szCs w:val="16"/>
                <w:color w:val="auto"/>
              </w:rPr>
              <w:t>445.7</w:t>
            </w:r>
          </w:p>
        </w:tc>
        <w:tc>
          <w:tcPr>
            <w:tcW w:w="120" w:type="dxa"/>
            <w:vAlign w:val="bottom"/>
            <w:shd w:val="clear" w:color="auto" w:fill="DCE3EF"/>
          </w:tcPr>
          <w:p>
            <w:pPr>
              <w:spacing w:after="0"/>
              <w:rPr>
                <w:sz w:val="18"/>
                <w:szCs w:val="18"/>
                <w:color w:val="auto"/>
              </w:rPr>
            </w:pPr>
          </w:p>
        </w:tc>
        <w:tc>
          <w:tcPr>
            <w:tcW w:w="420" w:type="dxa"/>
            <w:vAlign w:val="bottom"/>
            <w:shd w:val="clear" w:color="auto" w:fill="DCE3EF"/>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CE3EF"/>
          </w:tcPr>
          <w:p>
            <w:pPr>
              <w:jc w:val="right"/>
              <w:ind w:right="121"/>
              <w:spacing w:after="0"/>
              <w:rPr>
                <w:sz w:val="20"/>
                <w:szCs w:val="20"/>
                <w:color w:val="auto"/>
              </w:rPr>
            </w:pPr>
            <w:r>
              <w:rPr>
                <w:rFonts w:ascii="Arial" w:cs="Arial" w:eastAsia="Arial" w:hAnsi="Arial"/>
                <w:sz w:val="16"/>
                <w:szCs w:val="16"/>
                <w:color w:val="auto"/>
              </w:rPr>
              <w:t>431.6</w:t>
            </w:r>
          </w:p>
        </w:tc>
        <w:tc>
          <w:tcPr>
            <w:tcW w:w="100" w:type="dxa"/>
            <w:vAlign w:val="bottom"/>
            <w:shd w:val="clear" w:color="auto" w:fill="DCE3EF"/>
          </w:tcPr>
          <w:p>
            <w:pPr>
              <w:spacing w:after="0"/>
              <w:rPr>
                <w:sz w:val="18"/>
                <w:szCs w:val="18"/>
                <w:color w:val="auto"/>
              </w:rPr>
            </w:pPr>
          </w:p>
        </w:tc>
        <w:tc>
          <w:tcPr>
            <w:tcW w:w="560" w:type="dxa"/>
            <w:vAlign w:val="bottom"/>
            <w:shd w:val="clear" w:color="auto" w:fill="DCE2EF"/>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14.1</w:t>
            </w:r>
          </w:p>
        </w:tc>
        <w:tc>
          <w:tcPr>
            <w:tcW w:w="1840" w:type="dxa"/>
            <w:vAlign w:val="bottom"/>
            <w:shd w:val="clear" w:color="auto" w:fill="DCE3EF"/>
          </w:tcPr>
          <w:p>
            <w:pPr>
              <w:jc w:val="right"/>
              <w:ind w:right="59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18"/>
                <w:szCs w:val="18"/>
                <w:color w:val="auto"/>
              </w:rPr>
            </w:pPr>
          </w:p>
        </w:tc>
        <w:tc>
          <w:tcPr>
            <w:tcW w:w="1440" w:type="dxa"/>
            <w:vAlign w:val="bottom"/>
          </w:tcPr>
          <w:p>
            <w:pPr>
              <w:jc w:val="right"/>
              <w:ind w:right="101"/>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0.7</w:t>
            </w:r>
          </w:p>
        </w:tc>
        <w:tc>
          <w:tcPr>
            <w:tcW w:w="1840" w:type="dxa"/>
            <w:vAlign w:val="bottom"/>
          </w:tcPr>
          <w:p>
            <w:pPr>
              <w:jc w:val="right"/>
              <w:ind w:right="59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368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7"/>
                <w:szCs w:val="17"/>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5.4 %</w:t>
            </w:r>
          </w:p>
        </w:tc>
        <w:tc>
          <w:tcPr>
            <w:tcW w:w="12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5.5 %</w:t>
            </w:r>
          </w:p>
        </w:tc>
        <w:tc>
          <w:tcPr>
            <w:tcW w:w="100" w:type="dxa"/>
            <w:vAlign w:val="bottom"/>
            <w:shd w:val="clear" w:color="auto" w:fill="DCE2EF"/>
          </w:tcPr>
          <w:p>
            <w:pPr>
              <w:spacing w:after="0"/>
              <w:rPr>
                <w:sz w:val="17"/>
                <w:szCs w:val="17"/>
                <w:color w:val="auto"/>
              </w:rPr>
            </w:pPr>
          </w:p>
        </w:tc>
        <w:tc>
          <w:tcPr>
            <w:tcW w:w="560" w:type="dxa"/>
            <w:vAlign w:val="bottom"/>
            <w:shd w:val="clear" w:color="auto" w:fill="DCE2EF"/>
          </w:tcPr>
          <w:p>
            <w:pPr>
              <w:spacing w:after="0"/>
              <w:rPr>
                <w:sz w:val="17"/>
                <w:szCs w:val="17"/>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 bps</w:t>
            </w:r>
          </w:p>
        </w:tc>
        <w:tc>
          <w:tcPr>
            <w:tcW w:w="184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Education revenues increased by $14.1 million, or 3.3%, to $445.7 million during the six months ended April 30, 2024, as compared to the prior year period. The increase was primarily attributable to net new business, partially offset by a decrease in work orders.</w:t>
      </w:r>
    </w:p>
    <w:p>
      <w:pPr>
        <w:spacing w:after="0" w:line="9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Operating profit increased by $0.7 million, or 2.9%, during the six months ended April 30, 2024, as compared to the prior year period. Operating profit margin decreased by 2 bps to 5.4% in the six months ended April 30, 2024, from 5.5% in the six months ended April 30, 2023. The decrease in operating profit margin was primarily attributable to the decrease in disinfection-related work orders, which have higher margins. Operating profit margin was positively impacted by labor efficiencies and lower start-up supplies expenses.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Aviation</w:t>
            </w:r>
          </w:p>
        </w:tc>
        <w:tc>
          <w:tcPr>
            <w:tcW w:w="420" w:type="dxa"/>
            <w:vAlign w:val="bottom"/>
          </w:tcPr>
          <w:p>
            <w:pPr>
              <w:spacing w:after="0"/>
              <w:rPr>
                <w:sz w:val="19"/>
                <w:szCs w:val="19"/>
                <w:color w:val="auto"/>
              </w:rPr>
            </w:pPr>
          </w:p>
        </w:tc>
        <w:tc>
          <w:tcPr>
            <w:tcW w:w="3460" w:type="dxa"/>
            <w:vAlign w:val="bottom"/>
            <w:gridSpan w:val="5"/>
            <w:vMerge w:val="restart"/>
          </w:tcPr>
          <w:p>
            <w:pPr>
              <w:ind w:left="420"/>
              <w:spacing w:after="0"/>
              <w:rPr>
                <w:sz w:val="20"/>
                <w:szCs w:val="20"/>
                <w:color w:val="auto"/>
              </w:rPr>
            </w:pPr>
            <w:r>
              <w:rPr>
                <w:rFonts w:ascii="Arial" w:cs="Arial" w:eastAsia="Arial" w:hAnsi="Arial"/>
                <w:sz w:val="16"/>
                <w:szCs w:val="16"/>
                <w:b w:val="1"/>
                <w:bCs w:val="1"/>
                <w:color w:val="auto"/>
              </w:rPr>
              <w:t>Six Months Ended April 30,</w:t>
            </w: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60" w:type="dxa"/>
            <w:vAlign w:val="bottom"/>
            <w:gridSpan w:val="5"/>
            <w:vMerge w:val="continue"/>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40" w:type="dxa"/>
            <w:vAlign w:val="bottom"/>
            <w:gridSpan w:val="2"/>
          </w:tcPr>
          <w:p>
            <w:pPr>
              <w:jc w:val="right"/>
              <w:ind w:right="899"/>
              <w:spacing w:after="0" w:line="136" w:lineRule="exact"/>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4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37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487.8</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439.5</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jc w:val="right"/>
              <w:ind w:right="3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DCE2EF"/>
          </w:tcPr>
          <w:p>
            <w:pPr>
              <w:jc w:val="right"/>
              <w:ind w:right="323"/>
              <w:spacing w:after="0"/>
              <w:rPr>
                <w:sz w:val="20"/>
                <w:szCs w:val="20"/>
                <w:color w:val="auto"/>
              </w:rPr>
            </w:pPr>
            <w:r>
              <w:rPr>
                <w:rFonts w:ascii="Arial" w:cs="Arial" w:eastAsia="Arial" w:hAnsi="Arial"/>
                <w:sz w:val="16"/>
                <w:szCs w:val="16"/>
                <w:color w:val="auto"/>
              </w:rPr>
              <w:t>48.3</w:t>
            </w:r>
          </w:p>
        </w:tc>
        <w:tc>
          <w:tcPr>
            <w:tcW w:w="1500" w:type="dxa"/>
            <w:vAlign w:val="bottom"/>
            <w:shd w:val="clear" w:color="auto" w:fill="DCE2EF"/>
          </w:tcPr>
          <w:p>
            <w:pPr>
              <w:jc w:val="right"/>
              <w:ind w:right="55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jc w:val="right"/>
              <w:ind w:right="283"/>
              <w:spacing w:after="0"/>
              <w:rPr>
                <w:sz w:val="20"/>
                <w:szCs w:val="20"/>
                <w:color w:val="auto"/>
              </w:rPr>
            </w:pPr>
            <w:r>
              <w:rPr>
                <w:rFonts w:ascii="Arial" w:cs="Arial" w:eastAsia="Arial" w:hAnsi="Arial"/>
                <w:sz w:val="16"/>
                <w:szCs w:val="16"/>
                <w:color w:val="auto"/>
              </w:rPr>
              <w:t>(9.1)</w:t>
            </w:r>
          </w:p>
        </w:tc>
        <w:tc>
          <w:tcPr>
            <w:tcW w:w="1500" w:type="dxa"/>
            <w:vAlign w:val="bottom"/>
          </w:tcPr>
          <w:p>
            <w:pPr>
              <w:jc w:val="right"/>
              <w:ind w:right="49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376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4.7 %</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7.3 %</w:t>
            </w:r>
          </w:p>
        </w:tc>
        <w:tc>
          <w:tcPr>
            <w:tcW w:w="100" w:type="dxa"/>
            <w:vAlign w:val="bottom"/>
            <w:shd w:val="clear" w:color="auto" w:fill="DCE2EF"/>
          </w:tcPr>
          <w:p>
            <w:pPr>
              <w:spacing w:after="0"/>
              <w:rPr>
                <w:sz w:val="17"/>
                <w:szCs w:val="17"/>
                <w:color w:val="auto"/>
              </w:rPr>
            </w:pPr>
          </w:p>
        </w:tc>
        <w:tc>
          <w:tcPr>
            <w:tcW w:w="540" w:type="dxa"/>
            <w:vAlign w:val="bottom"/>
            <w:shd w:val="clear" w:color="auto" w:fill="DCE2EF"/>
          </w:tcPr>
          <w:p>
            <w:pPr>
              <w:spacing w:after="0"/>
              <w:rPr>
                <w:sz w:val="17"/>
                <w:szCs w:val="17"/>
                <w:color w:val="auto"/>
              </w:rPr>
            </w:pPr>
          </w:p>
        </w:tc>
        <w:tc>
          <w:tcPr>
            <w:tcW w:w="1540" w:type="dxa"/>
            <w:vAlign w:val="bottom"/>
            <w:shd w:val="clear" w:color="auto" w:fill="DCE2EF"/>
          </w:tcPr>
          <w:p>
            <w:pPr>
              <w:jc w:val="right"/>
              <w:ind w:right="283"/>
              <w:spacing w:after="0"/>
              <w:rPr>
                <w:sz w:val="20"/>
                <w:szCs w:val="20"/>
                <w:color w:val="auto"/>
              </w:rPr>
            </w:pPr>
            <w:r>
              <w:rPr>
                <w:rFonts w:ascii="Arial" w:cs="Arial" w:eastAsia="Arial" w:hAnsi="Arial"/>
                <w:sz w:val="14"/>
                <w:szCs w:val="14"/>
                <w:i w:val="1"/>
                <w:iCs w:val="1"/>
                <w:color w:val="auto"/>
              </w:rPr>
              <w:t>(259) bps</w:t>
            </w:r>
          </w:p>
        </w:tc>
        <w:tc>
          <w:tcPr>
            <w:tcW w:w="150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Aviation revenues increased by $48.3 million, or 11.0%, to $487.8 million during the six months ended April 30, 2024, as compared to the prior year period. The increase was primarily attributable to new business and scope expansions with the existing clients as well as continuing recovery in travel volume. In addition, during the six months ended April 30, 2023, we recognized $11.4 million in revenue from an Aviation parking project, whereby all the direct labor and related costs were recognized prior to October 31, 2022. Management reimbursement revenues for this segment totaled $17.7 million and $15.6 million for the six months ended April 30, 2024 and 2023, respectively.</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profit decreased by $9.1 million, or 28.6%, to $22.8 million during the six months ended April 30, 2024, as compared to the prior year period. Operating profit margin decreased by 259 bps to 4.7% in the six months ended April 30, 2024, from 7.3% in the six months ended April 30, 2023. The decrease was primarily attributable to $11.4 million in revenue from an Aviation parking project recognized during the six months ended April 30, 2023, whereby all the direct labor and related costs were recognized prior to October 31, 2022. In addition, operating profit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bookmarkStart w:id="36" w:name="page37"/>
    <w:bookmarkEnd w:id="36"/>
    <w:p>
      <w:pPr>
        <w:jc w:val="both"/>
        <w:spacing w:after="0" w:line="287" w:lineRule="auto"/>
        <w:rPr>
          <w:sz w:val="20"/>
          <w:szCs w:val="20"/>
          <w:color w:val="auto"/>
        </w:rPr>
      </w:pPr>
      <w:r>
        <w:rPr>
          <w:rFonts w:ascii="Arial" w:cs="Arial" w:eastAsia="Arial" w:hAnsi="Arial"/>
          <w:sz w:val="18"/>
          <w:szCs w:val="18"/>
          <w:color w:val="auto"/>
        </w:rPr>
        <w:t>margin was negatively impacted by certain costs related to reconciliations of funds due under long-term contracts, partially offset by labor efficiencies primarily due to an increase in travel volume.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Technical Solutions</w:t>
            </w:r>
          </w:p>
        </w:tc>
        <w:tc>
          <w:tcPr>
            <w:tcW w:w="420" w:type="dxa"/>
            <w:vAlign w:val="bottom"/>
          </w:tcPr>
          <w:p>
            <w:pPr>
              <w:spacing w:after="0"/>
              <w:rPr>
                <w:sz w:val="19"/>
                <w:szCs w:val="19"/>
                <w:color w:val="auto"/>
              </w:rPr>
            </w:pPr>
          </w:p>
        </w:tc>
        <w:tc>
          <w:tcPr>
            <w:tcW w:w="3520" w:type="dxa"/>
            <w:vAlign w:val="bottom"/>
            <w:gridSpan w:val="5"/>
            <w:vMerge w:val="restart"/>
          </w:tcPr>
          <w:p>
            <w:pPr>
              <w:ind w:left="460"/>
              <w:spacing w:after="0"/>
              <w:rPr>
                <w:sz w:val="20"/>
                <w:szCs w:val="20"/>
                <w:color w:val="auto"/>
              </w:rPr>
            </w:pPr>
            <w:r>
              <w:rPr>
                <w:rFonts w:ascii="Arial" w:cs="Arial" w:eastAsia="Arial" w:hAnsi="Arial"/>
                <w:sz w:val="16"/>
                <w:szCs w:val="16"/>
                <w:b w:val="1"/>
                <w:bCs w:val="1"/>
                <w:color w:val="auto"/>
              </w:rPr>
              <w:t>Six Months Ended April 30,</w:t>
            </w:r>
          </w:p>
        </w:tc>
        <w:tc>
          <w:tcPr>
            <w:tcW w:w="6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gridSpan w:val="5"/>
            <w:vMerge w:val="continue"/>
          </w:tcPr>
          <w:p>
            <w:pPr>
              <w:spacing w:after="0"/>
              <w:rPr>
                <w:sz w:val="18"/>
                <w:szCs w:val="18"/>
                <w:color w:val="auto"/>
              </w:rPr>
            </w:pPr>
          </w:p>
        </w:tc>
        <w:tc>
          <w:tcPr>
            <w:tcW w:w="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681"/>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40" w:type="dxa"/>
            <w:vAlign w:val="bottom"/>
          </w:tcPr>
          <w:p>
            <w:pPr>
              <w:jc w:val="right"/>
              <w:ind w:right="103"/>
              <w:spacing w:after="0" w:line="136" w:lineRule="exact"/>
              <w:rPr>
                <w:sz w:val="20"/>
                <w:szCs w:val="20"/>
                <w:color w:val="auto"/>
              </w:rPr>
            </w:pPr>
            <w:r>
              <w:rPr>
                <w:rFonts w:ascii="Arial" w:cs="Arial" w:eastAsia="Arial" w:hAnsi="Arial"/>
                <w:sz w:val="15"/>
                <w:szCs w:val="15"/>
                <w:b w:val="1"/>
                <w:bCs w:val="1"/>
                <w:color w:val="auto"/>
              </w:rPr>
              <w:t>Increase</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86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36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342.1</w:t>
            </w:r>
          </w:p>
        </w:tc>
        <w:tc>
          <w:tcPr>
            <w:tcW w:w="12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315.5</w:t>
            </w:r>
          </w:p>
        </w:tc>
        <w:tc>
          <w:tcPr>
            <w:tcW w:w="100" w:type="dxa"/>
            <w:vAlign w:val="bottom"/>
            <w:shd w:val="clear" w:color="auto" w:fill="DCE2EF"/>
          </w:tcPr>
          <w:p>
            <w:pPr>
              <w:spacing w:after="0"/>
              <w:rPr>
                <w:sz w:val="18"/>
                <w:szCs w:val="18"/>
                <w:color w:val="auto"/>
              </w:rPr>
            </w:pPr>
          </w:p>
        </w:tc>
        <w:tc>
          <w:tcPr>
            <w:tcW w:w="680" w:type="dxa"/>
            <w:vAlign w:val="bottom"/>
            <w:shd w:val="clear" w:color="auto" w:fill="DCE2EF"/>
          </w:tcPr>
          <w:p>
            <w:pPr>
              <w:jc w:val="right"/>
              <w:ind w:right="479"/>
              <w:spacing w:after="0"/>
              <w:rPr>
                <w:sz w:val="20"/>
                <w:szCs w:val="20"/>
                <w:color w:val="auto"/>
              </w:rPr>
            </w:pPr>
            <w:r>
              <w:rPr>
                <w:rFonts w:ascii="Arial" w:cs="Arial" w:eastAsia="Arial" w:hAnsi="Arial"/>
                <w:sz w:val="16"/>
                <w:szCs w:val="16"/>
                <w:color w:val="auto"/>
              </w:rPr>
              <w:t>$</w:t>
            </w:r>
          </w:p>
        </w:tc>
        <w:tc>
          <w:tcPr>
            <w:tcW w:w="1640" w:type="dxa"/>
            <w:vAlign w:val="bottom"/>
            <w:shd w:val="clear" w:color="auto" w:fill="DCE2EF"/>
          </w:tcPr>
          <w:p>
            <w:pPr>
              <w:jc w:val="right"/>
              <w:ind w:right="543"/>
              <w:spacing w:after="0"/>
              <w:rPr>
                <w:sz w:val="20"/>
                <w:szCs w:val="20"/>
                <w:color w:val="auto"/>
              </w:rPr>
            </w:pPr>
            <w:r>
              <w:rPr>
                <w:rFonts w:ascii="Arial" w:cs="Arial" w:eastAsia="Arial" w:hAnsi="Arial"/>
                <w:sz w:val="16"/>
                <w:szCs w:val="16"/>
                <w:color w:val="auto"/>
              </w:rPr>
              <w:t>26.6</w:t>
            </w:r>
          </w:p>
        </w:tc>
        <w:tc>
          <w:tcPr>
            <w:tcW w:w="1280" w:type="dxa"/>
            <w:vAlign w:val="bottom"/>
            <w:shd w:val="clear" w:color="auto" w:fill="DCE2EF"/>
          </w:tcPr>
          <w:p>
            <w:pPr>
              <w:jc w:val="right"/>
              <w:ind w:right="59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18"/>
                <w:szCs w:val="18"/>
                <w:color w:val="auto"/>
              </w:rPr>
            </w:pPr>
          </w:p>
        </w:tc>
        <w:tc>
          <w:tcPr>
            <w:tcW w:w="1440" w:type="dxa"/>
            <w:vAlign w:val="bottom"/>
          </w:tcPr>
          <w:p>
            <w:pPr>
              <w:jc w:val="right"/>
              <w:ind w:right="101"/>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40" w:type="dxa"/>
            <w:vAlign w:val="bottom"/>
          </w:tcPr>
          <w:p>
            <w:pPr>
              <w:jc w:val="right"/>
              <w:ind w:right="543"/>
              <w:spacing w:after="0"/>
              <w:rPr>
                <w:sz w:val="20"/>
                <w:szCs w:val="20"/>
                <w:color w:val="auto"/>
              </w:rPr>
            </w:pPr>
            <w:r>
              <w:rPr>
                <w:rFonts w:ascii="Arial" w:cs="Arial" w:eastAsia="Arial" w:hAnsi="Arial"/>
                <w:sz w:val="16"/>
                <w:szCs w:val="16"/>
                <w:color w:val="auto"/>
              </w:rPr>
              <w:t>6.1</w:t>
            </w:r>
          </w:p>
        </w:tc>
        <w:tc>
          <w:tcPr>
            <w:tcW w:w="1280" w:type="dxa"/>
            <w:vAlign w:val="bottom"/>
          </w:tcPr>
          <w:p>
            <w:pPr>
              <w:jc w:val="right"/>
              <w:ind w:right="559"/>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368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7"/>
                <w:szCs w:val="17"/>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6.9 %</w:t>
            </w:r>
          </w:p>
        </w:tc>
        <w:tc>
          <w:tcPr>
            <w:tcW w:w="12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5.5 %</w:t>
            </w:r>
          </w:p>
        </w:tc>
        <w:tc>
          <w:tcPr>
            <w:tcW w:w="10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1640" w:type="dxa"/>
            <w:vAlign w:val="bottom"/>
            <w:shd w:val="clear" w:color="auto" w:fill="DCE2EF"/>
          </w:tcPr>
          <w:p>
            <w:pPr>
              <w:jc w:val="right"/>
              <w:ind w:right="503"/>
              <w:spacing w:after="0"/>
              <w:rPr>
                <w:sz w:val="20"/>
                <w:szCs w:val="20"/>
                <w:color w:val="auto"/>
              </w:rPr>
            </w:pPr>
            <w:r>
              <w:rPr>
                <w:rFonts w:ascii="Arial" w:cs="Arial" w:eastAsia="Arial" w:hAnsi="Arial"/>
                <w:sz w:val="14"/>
                <w:szCs w:val="14"/>
                <w:i w:val="1"/>
                <w:iCs w:val="1"/>
                <w:color w:val="auto"/>
              </w:rPr>
              <w:t>137 bps</w:t>
            </w:r>
          </w:p>
        </w:tc>
        <w:tc>
          <w:tcPr>
            <w:tcW w:w="12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Technical Solutions revenues increased by $ 26.6 million, or 8.5%, to $342.1 million during the six months ended April 30, 2024, as compared to the prior year period. The increase was primarily driven by higher project revenues due to the timing of completions of certain energy solutions projects, including microgrid systems and generators installation, partially offset by a decrease in electric vehicle charging station installation sales.</w:t>
      </w:r>
    </w:p>
    <w:p>
      <w:pPr>
        <w:spacing w:after="0" w:line="1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Operating profit increased by $6.1 million, or 35.3%, to $23.5 million during the six months ended April 30, 2024, as compared to the prior year period. Operating profit margin increased by 137 bps to 6.9% in the six months ended April 30, 2024, from 5.5% in the six months ended April 30, 2023. The increase in operating profit margin was primarily attributable to the contract mix and lower amortization of intangible assets.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Corporate</w:t>
            </w:r>
          </w:p>
        </w:tc>
        <w:tc>
          <w:tcPr>
            <w:tcW w:w="420" w:type="dxa"/>
            <w:vAlign w:val="bottom"/>
          </w:tcPr>
          <w:p>
            <w:pPr>
              <w:spacing w:after="0"/>
              <w:rPr>
                <w:sz w:val="19"/>
                <w:szCs w:val="19"/>
                <w:color w:val="auto"/>
              </w:rPr>
            </w:pPr>
          </w:p>
        </w:tc>
        <w:tc>
          <w:tcPr>
            <w:tcW w:w="3360" w:type="dxa"/>
            <w:vAlign w:val="bottom"/>
            <w:gridSpan w:val="5"/>
            <w:vMerge w:val="restart"/>
          </w:tcPr>
          <w:p>
            <w:pPr>
              <w:ind w:left="380"/>
              <w:spacing w:after="0"/>
              <w:rPr>
                <w:sz w:val="20"/>
                <w:szCs w:val="20"/>
                <w:color w:val="auto"/>
              </w:rPr>
            </w:pPr>
            <w:r>
              <w:rPr>
                <w:rFonts w:ascii="Arial" w:cs="Arial" w:eastAsia="Arial" w:hAnsi="Arial"/>
                <w:sz w:val="16"/>
                <w:szCs w:val="16"/>
                <w:b w:val="1"/>
                <w:bCs w:val="1"/>
                <w:color w:val="auto"/>
              </w:rPr>
              <w:t>Six Months Ended April 30,</w:t>
            </w:r>
          </w:p>
        </w:tc>
        <w:tc>
          <w:tcPr>
            <w:tcW w:w="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gridSpan w:val="5"/>
            <w:vMerge w:val="continue"/>
          </w:tcPr>
          <w:p>
            <w:pPr>
              <w:spacing w:after="0"/>
              <w:rPr>
                <w:sz w:val="18"/>
                <w:szCs w:val="18"/>
                <w:color w:val="auto"/>
              </w:rPr>
            </w:pPr>
          </w:p>
        </w:tc>
        <w:tc>
          <w:tcPr>
            <w:tcW w:w="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619"/>
              <w:spacing w:after="0" w:line="142" w:lineRule="exact"/>
              <w:rPr>
                <w:sz w:val="20"/>
                <w:szCs w:val="20"/>
                <w:color w:val="auto"/>
              </w:rPr>
            </w:pPr>
            <w:r>
              <w:rPr>
                <w:rFonts w:ascii="Arial" w:cs="Arial" w:eastAsia="Arial" w:hAnsi="Arial"/>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3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20" w:type="dxa"/>
            <w:vAlign w:val="bottom"/>
          </w:tcPr>
          <w:p>
            <w:pPr>
              <w:jc w:val="right"/>
              <w:ind w:right="102"/>
              <w:spacing w:after="0" w:line="136" w:lineRule="exact"/>
              <w:rPr>
                <w:sz w:val="20"/>
                <w:szCs w:val="20"/>
                <w:color w:val="auto"/>
              </w:rPr>
            </w:pPr>
            <w:r>
              <w:rPr>
                <w:rFonts w:ascii="Arial" w:cs="Arial" w:eastAsia="Arial" w:hAnsi="Arial"/>
                <w:sz w:val="15"/>
                <w:szCs w:val="15"/>
                <w:b w:val="1"/>
                <w:bCs w:val="1"/>
                <w:color w:val="auto"/>
              </w:rPr>
              <w:t>Increase</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4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37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Corporate expenses</w:t>
            </w:r>
          </w:p>
        </w:tc>
        <w:tc>
          <w:tcPr>
            <w:tcW w:w="42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(154.4)</w:t>
            </w:r>
          </w:p>
        </w:tc>
        <w:tc>
          <w:tcPr>
            <w:tcW w:w="12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(140.8)</w:t>
            </w:r>
          </w:p>
        </w:tc>
        <w:tc>
          <w:tcPr>
            <w:tcW w:w="100" w:type="dxa"/>
            <w:vAlign w:val="bottom"/>
            <w:shd w:val="clear" w:color="auto" w:fill="DCE2EF"/>
          </w:tcPr>
          <w:p>
            <w:pPr>
              <w:spacing w:after="0"/>
              <w:rPr>
                <w:sz w:val="18"/>
                <w:szCs w:val="18"/>
                <w:color w:val="auto"/>
              </w:rPr>
            </w:pPr>
          </w:p>
        </w:tc>
        <w:tc>
          <w:tcPr>
            <w:tcW w:w="740" w:type="dxa"/>
            <w:vAlign w:val="bottom"/>
            <w:shd w:val="clear" w:color="auto" w:fill="DCE2EF"/>
          </w:tcPr>
          <w:p>
            <w:pPr>
              <w:jc w:val="right"/>
              <w:ind w:right="5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DCE2EF"/>
          </w:tcPr>
          <w:p>
            <w:pPr>
              <w:jc w:val="right"/>
              <w:ind w:right="502"/>
              <w:spacing w:after="0"/>
              <w:rPr>
                <w:sz w:val="20"/>
                <w:szCs w:val="20"/>
                <w:color w:val="auto"/>
              </w:rPr>
            </w:pPr>
            <w:r>
              <w:rPr>
                <w:rFonts w:ascii="Arial" w:cs="Arial" w:eastAsia="Arial" w:hAnsi="Arial"/>
                <w:sz w:val="16"/>
                <w:szCs w:val="16"/>
                <w:color w:val="auto"/>
              </w:rPr>
              <w:t>(13.6)</w:t>
            </w:r>
          </w:p>
        </w:tc>
        <w:tc>
          <w:tcPr>
            <w:tcW w:w="1320" w:type="dxa"/>
            <w:vAlign w:val="bottom"/>
            <w:shd w:val="clear" w:color="auto" w:fill="DCE2EF"/>
          </w:tcPr>
          <w:p>
            <w:pPr>
              <w:jc w:val="right"/>
              <w:ind w:right="55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20" w:firstLine="200"/>
        <w:spacing w:after="0" w:line="287" w:lineRule="auto"/>
        <w:rPr>
          <w:sz w:val="20"/>
          <w:szCs w:val="20"/>
          <w:color w:val="auto"/>
        </w:rPr>
      </w:pPr>
      <w:r>
        <w:rPr>
          <w:rFonts w:ascii="Arial" w:cs="Arial" w:eastAsia="Arial" w:hAnsi="Arial"/>
          <w:sz w:val="18"/>
          <w:szCs w:val="18"/>
          <w:color w:val="auto"/>
        </w:rPr>
        <w:t>Corporate expenses increased by $13.6 million, or 9.7%, to $154.4 million during the six months ended April 30, 2024, as compared to the prior year period. The increase in corporate expenses was primarily attributable to:</w:t>
      </w:r>
    </w:p>
    <w:p>
      <w:pPr>
        <w:spacing w:after="0" w:line="58" w:lineRule="exact"/>
        <w:rPr>
          <w:sz w:val="20"/>
          <w:szCs w:val="20"/>
          <w:color w:val="auto"/>
        </w:rPr>
      </w:pPr>
    </w:p>
    <w:p>
      <w:pPr>
        <w:ind w:left="640" w:hanging="308"/>
        <w:spacing w:after="0"/>
        <w:tabs>
          <w:tab w:leader="none" w:pos="640" w:val="left"/>
        </w:tabs>
        <w:numPr>
          <w:ilvl w:val="0"/>
          <w:numId w:val="23"/>
        </w:numPr>
        <w:rPr>
          <w:rFonts w:ascii="Calibri" w:cs="Calibri" w:eastAsia="Calibri" w:hAnsi="Calibri"/>
          <w:sz w:val="12"/>
          <w:szCs w:val="12"/>
          <w:b w:val="1"/>
          <w:bCs w:val="1"/>
          <w:i w:val="1"/>
          <w:iCs w:val="1"/>
          <w:color w:val="0046AD"/>
        </w:rPr>
      </w:pPr>
      <w:r>
        <w:rPr>
          <w:rFonts w:ascii="Arial" w:cs="Arial" w:eastAsia="Arial" w:hAnsi="Arial"/>
          <w:sz w:val="18"/>
          <w:szCs w:val="18"/>
          <w:color w:val="auto"/>
        </w:rPr>
        <w:t>an $11.5 million increase in costs associated with the systems’ go-live;</w:t>
      </w:r>
    </w:p>
    <w:p>
      <w:pPr>
        <w:spacing w:after="0" w:line="130" w:lineRule="exact"/>
        <w:rPr>
          <w:rFonts w:ascii="Calibri" w:cs="Calibri" w:eastAsia="Calibri" w:hAnsi="Calibri"/>
          <w:sz w:val="12"/>
          <w:szCs w:val="12"/>
          <w:b w:val="1"/>
          <w:bCs w:val="1"/>
          <w:i w:val="1"/>
          <w:iCs w:val="1"/>
          <w:color w:val="0046AD"/>
        </w:rPr>
      </w:pPr>
    </w:p>
    <w:p>
      <w:pPr>
        <w:ind w:left="660" w:right="2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$9.7 million unfavorable self-insurance reserve adjustment related to prior year claims from actuarial evaluations completed in the six months ended April 30, 2024; and</w:t>
      </w:r>
    </w:p>
    <w:p>
      <w:pPr>
        <w:spacing w:after="0" w:line="71" w:lineRule="exact"/>
        <w:rPr>
          <w:rFonts w:ascii="Arial" w:cs="Arial" w:eastAsia="Arial" w:hAnsi="Arial"/>
          <w:sz w:val="18"/>
          <w:szCs w:val="18"/>
          <w:color w:val="auto"/>
        </w:rPr>
      </w:pPr>
    </w:p>
    <w:p>
      <w:pPr>
        <w:ind w:right="300" w:firstLine="332"/>
        <w:spacing w:after="0" w:line="438" w:lineRule="auto"/>
        <w:tabs>
          <w:tab w:leader="none" w:pos="6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absence of an $8.4 million fair value adjustment to decrease the contingent consideration related to the RavenVolt Acquisition. This increase was partially offset by:</w:t>
      </w:r>
    </w:p>
    <w:p>
      <w:pPr>
        <w:ind w:left="6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 $13.8 million decrease in certain discrete transformational costs under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for developing the new ERP system, client-facing technology, workforce management tools, and data analytics.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primary sources of liquidity are operating cash flows and borrowing capacity under our Amended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addition to normal working capital requirements, we anticipate that our short- and long-term cash requirements will include funding legal settlements, insurance claims, dividend payments, capital expenditures, share repurchases, mandatory loan repayments, and systems and technology transformation initiatives under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We anticipate long-term cash uses may also include strategic acquisitions. On a long-term basis, we will continue to rely on our Amended Credit Facility for any long-term funding not provided by operating cash flows.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7" w:name="page38"/>
    <w:bookmarkEnd w:id="37"/>
    <w:p>
      <w:pPr>
        <w:jc w:val="both"/>
        <w:ind w:firstLine="648"/>
        <w:spacing w:after="0" w:line="262" w:lineRule="auto"/>
        <w:rPr>
          <w:sz w:val="20"/>
          <w:szCs w:val="20"/>
          <w:color w:val="auto"/>
        </w:rPr>
      </w:pPr>
      <w:r>
        <w:rPr>
          <w:rFonts w:ascii="Arial" w:cs="Arial" w:eastAsia="Arial" w:hAnsi="Arial"/>
          <w:sz w:val="18"/>
          <w:szCs w:val="18"/>
          <w:color w:val="auto"/>
        </w:rPr>
        <w:t>We believe that our operating cash flows and borrowing capacity under our Amended Credit Facility are sufficient to fund our cash requirements for the next 12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Credit Facility</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consisting of a $ 900.0 million revolver and an $800.0 million amortizing term loan. In accordance with terms of the Credit Facility, the revolver was reduced to $800.0 million on September 1, 2018.</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28, 2021, the Company amended and restated the Credit Facility, extending the maturity date to June 28, 2026, and increasing the capacity of the revolving credit facility from $800.0 million to $1.3 billion and the then-remaining term loan outstanding from $620.0 million to $650.0 million. The Amended Credit Facility provides for the issuance of up to $ 350.0 million for standby letters of credit and the issuance of up to $75.0 million in swingline advances. The obligations under the Amended Credit Facility are secured on a first-priority basis by a lien on substantially all of our assets and properties, subject to certain exceptions. Additionally, we may repay amounts borrowed under the Amended Credit Facility at any time without penalty.</w:t>
      </w:r>
    </w:p>
    <w:p>
      <w:pPr>
        <w:spacing w:after="0" w:line="1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November 1, 2022, we amended our Amended Credit Facility pursuant to the LIBOR Transition Amendment and the Fifth Amendment to replace the benchmark rate at which U.S.-dollar-denominated borrowings bear interest from LIBOR to the forward -looking SOFR term rate administered by CME Group Benchmark Administration Limited. As a result of these amendments, we can borrow at Term SOFR plus a credit spread adjustment of 0.10% subject to a floor of zero.</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April 30, 2024, we were in compliance with these covenants.</w:t>
      </w:r>
    </w:p>
    <w:p>
      <w:pPr>
        <w:spacing w:after="0" w:line="18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the six months ended April 30, 2024, we made principal payments of $16.3 million under the term loan. At April 30, 2024, the total outstanding borrowings under our Amended Credit Facility in the form of cash borrowings and standby letters of credit were $1.3 billion and $57.9 million, respectively, and our weighted average interest rate on all outstanding borrowings, excluding letters of credit, was 7.17%. At April 30, 2024, we had up to $501.1 million of borrowing capacity.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Reinvestment of Foreign Earnings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plan to reinvest our foreign earnings to fund future non-U.S. growth and expansion, and we do not anticipate remitting such earnings to the United States. While U.S. federal tax expense has been recognized as a result of the Tax Cuts and Jobs Act of 2017, no deferred tax liabilities with respect to federal and state income taxes or foreign withholding taxes have been recognized.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IFM Insurance Company</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IFM Assurance Company (“IFM”) is a wholly owned captive insurance company that we formed in 2015. IFM is part of our enterprise-wide, multiyear insurance strategy that is intended to better position our risk and safety programs and provide us with increased flexibility in the end-to-end management of our insurance programs. IFM began providing coverage to us as of January 1, 2015.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Share Repurchases</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repurchased shares under the share repurchase program during the three and six months ended April 30, 2024, as summarized below.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8" w:name="page39"/>
    <w:bookmarkEnd w:id="38"/>
    <w:p>
      <w:pPr>
        <w:jc w:val="both"/>
        <w:spacing w:after="0" w:line="268" w:lineRule="auto"/>
        <w:rPr>
          <w:sz w:val="20"/>
          <w:szCs w:val="20"/>
          <w:color w:val="auto"/>
        </w:rPr>
      </w:pPr>
      <w:r>
        <w:rPr>
          <w:rFonts w:ascii="Arial" w:cs="Arial" w:eastAsia="Arial" w:hAnsi="Arial"/>
          <w:sz w:val="18"/>
          <w:szCs w:val="18"/>
          <w:color w:val="auto"/>
        </w:rPr>
        <w:t>conditions, future cash flows, share price, share availability, and other factors. Repurchased shares are retired and returned to an authorized but unissued status. The share repurchase program may be suspended or discontinued at any time without prior notice. At April 30, 2024, authorization for $186.5 million of repurchases remained under our share repurchase program.</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40" w:type="dxa"/>
            <w:vAlign w:val="bottom"/>
          </w:tcPr>
          <w:p>
            <w:pPr>
              <w:spacing w:after="0"/>
              <w:rPr>
                <w:sz w:val="15"/>
                <w:szCs w:val="15"/>
                <w:color w:val="auto"/>
              </w:rPr>
            </w:pPr>
          </w:p>
        </w:tc>
        <w:tc>
          <w:tcPr>
            <w:tcW w:w="218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Three Months Ended April</w:t>
            </w:r>
          </w:p>
        </w:tc>
        <w:tc>
          <w:tcPr>
            <w:tcW w:w="120" w:type="dxa"/>
            <w:vAlign w:val="bottom"/>
          </w:tcPr>
          <w:p>
            <w:pPr>
              <w:spacing w:after="0"/>
              <w:rPr>
                <w:sz w:val="15"/>
                <w:szCs w:val="15"/>
                <w:color w:val="auto"/>
              </w:rPr>
            </w:pPr>
          </w:p>
        </w:tc>
        <w:tc>
          <w:tcPr>
            <w:tcW w:w="2160" w:type="dxa"/>
            <w:vAlign w:val="bottom"/>
            <w:tcBorders>
              <w:top w:val="single" w:sz="8" w:color="auto"/>
            </w:tcBorders>
            <w:gridSpan w:val="2"/>
          </w:tcPr>
          <w:p>
            <w:pPr>
              <w:ind w:left="40"/>
              <w:spacing w:after="0" w:line="175" w:lineRule="exact"/>
              <w:rPr>
                <w:sz w:val="20"/>
                <w:szCs w:val="20"/>
                <w:color w:val="auto"/>
              </w:rPr>
            </w:pPr>
            <w:r>
              <w:rPr>
                <w:rFonts w:ascii="Arial" w:cs="Arial" w:eastAsia="Arial" w:hAnsi="Arial"/>
                <w:sz w:val="16"/>
                <w:szCs w:val="16"/>
                <w:b w:val="1"/>
                <w:bCs w:val="1"/>
                <w:color w:val="auto"/>
              </w:rPr>
              <w:t>Six Months Ended April 30,</w:t>
            </w:r>
          </w:p>
        </w:tc>
      </w:tr>
      <w:tr>
        <w:trPr>
          <w:trHeight w:val="216"/>
        </w:trPr>
        <w:tc>
          <w:tcPr>
            <w:tcW w:w="614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440" w:type="dxa"/>
            <w:vAlign w:val="bottom"/>
          </w:tcPr>
          <w:p>
            <w:pPr>
              <w:spacing w:after="0"/>
              <w:rPr>
                <w:sz w:val="18"/>
                <w:szCs w:val="18"/>
                <w:color w:val="auto"/>
              </w:rPr>
            </w:pPr>
          </w:p>
        </w:tc>
        <w:tc>
          <w:tcPr>
            <w:tcW w:w="1740" w:type="dxa"/>
            <w:vAlign w:val="bottom"/>
          </w:tcPr>
          <w:p>
            <w:pPr>
              <w:jc w:val="right"/>
              <w:ind w:right="692"/>
              <w:spacing w:after="0"/>
              <w:rPr>
                <w:sz w:val="20"/>
                <w:szCs w:val="20"/>
                <w:color w:val="auto"/>
              </w:rPr>
            </w:pPr>
            <w:r>
              <w:rPr>
                <w:rFonts w:ascii="Arial" w:cs="Arial" w:eastAsia="Arial" w:hAnsi="Arial"/>
                <w:sz w:val="16"/>
                <w:szCs w:val="16"/>
                <w:b w:val="1"/>
                <w:bCs w:val="1"/>
                <w:color w:val="auto"/>
              </w:rPr>
              <w:t>30, 2024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ind w:right="812"/>
              <w:spacing w:after="0"/>
              <w:rPr>
                <w:sz w:val="20"/>
                <w:szCs w:val="20"/>
                <w:color w:val="auto"/>
              </w:rPr>
            </w:pPr>
            <w:r>
              <w:rPr>
                <w:rFonts w:ascii="Arial" w:cs="Arial" w:eastAsia="Arial" w:hAnsi="Arial"/>
                <w:sz w:val="16"/>
                <w:szCs w:val="16"/>
                <w:b w:val="1"/>
                <w:bCs w:val="1"/>
                <w:color w:val="auto"/>
              </w:rPr>
              <w:t>2024</w:t>
            </w:r>
          </w:p>
        </w:tc>
      </w:tr>
      <w:tr>
        <w:trPr>
          <w:trHeight w:val="229"/>
        </w:trPr>
        <w:tc>
          <w:tcPr>
            <w:tcW w:w="6140" w:type="dxa"/>
            <w:vAlign w:val="bottom"/>
            <w:shd w:val="clear" w:color="auto" w:fill="DCE2EF"/>
          </w:tcPr>
          <w:p>
            <w:pPr>
              <w:ind w:left="20"/>
              <w:spacing w:after="0"/>
              <w:rPr>
                <w:sz w:val="20"/>
                <w:szCs w:val="20"/>
                <w:color w:val="auto"/>
              </w:rPr>
            </w:pPr>
            <w:r>
              <w:rPr>
                <w:rFonts w:ascii="Arial" w:cs="Arial" w:eastAsia="Arial" w:hAnsi="Arial"/>
                <w:sz w:val="16"/>
                <w:szCs w:val="16"/>
                <w:color w:val="auto"/>
              </w:rPr>
              <w:t>Total number of shares purchased</w:t>
            </w:r>
          </w:p>
        </w:tc>
        <w:tc>
          <w:tcPr>
            <w:tcW w:w="440" w:type="dxa"/>
            <w:vAlign w:val="bottom"/>
            <w:shd w:val="clear" w:color="auto" w:fill="DCE2EF"/>
          </w:tcPr>
          <w:p>
            <w:pPr>
              <w:spacing w:after="0"/>
              <w:rPr>
                <w:sz w:val="19"/>
                <w:szCs w:val="19"/>
                <w:color w:val="auto"/>
              </w:rPr>
            </w:pPr>
          </w:p>
        </w:tc>
        <w:tc>
          <w:tcPr>
            <w:tcW w:w="17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0.56</w:t>
            </w:r>
          </w:p>
        </w:tc>
      </w:tr>
      <w:tr>
        <w:trPr>
          <w:trHeight w:val="230"/>
        </w:trPr>
        <w:tc>
          <w:tcPr>
            <w:tcW w:w="6140" w:type="dxa"/>
            <w:vAlign w:val="bottom"/>
          </w:tcPr>
          <w:p>
            <w:pPr>
              <w:ind w:left="20"/>
              <w:spacing w:after="0" w:line="230" w:lineRule="exact"/>
              <w:rPr>
                <w:sz w:val="20"/>
                <w:szCs w:val="20"/>
                <w:color w:val="auto"/>
              </w:rPr>
            </w:pPr>
            <w:r>
              <w:rPr>
                <w:rFonts w:ascii="Arial" w:cs="Arial" w:eastAsia="Arial" w:hAnsi="Arial"/>
                <w:sz w:val="16"/>
                <w:szCs w:val="16"/>
                <w:color w:val="auto"/>
              </w:rPr>
              <w:t>Average price paid per share</w:t>
            </w:r>
            <w:r>
              <w:rPr>
                <w:rFonts w:ascii="Arial" w:cs="Arial" w:eastAsia="Arial" w:hAnsi="Arial"/>
                <w:sz w:val="21"/>
                <w:szCs w:val="21"/>
                <w:color w:val="auto"/>
                <w:vertAlign w:val="superscript"/>
              </w:rPr>
              <w:t>(1)</w:t>
            </w:r>
          </w:p>
        </w:tc>
        <w:tc>
          <w:tcPr>
            <w:tcW w:w="440" w:type="dxa"/>
            <w:vAlign w:val="bottom"/>
          </w:tcPr>
          <w:p>
            <w:pPr>
              <w:jc w:val="right"/>
              <w:ind w:right="233"/>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42.84</w:t>
            </w:r>
          </w:p>
        </w:tc>
        <w:tc>
          <w:tcPr>
            <w:tcW w:w="1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42.84</w:t>
            </w:r>
          </w:p>
        </w:tc>
      </w:tr>
      <w:tr>
        <w:trPr>
          <w:trHeight w:val="229"/>
        </w:trPr>
        <w:tc>
          <w:tcPr>
            <w:tcW w:w="6140" w:type="dxa"/>
            <w:vAlign w:val="bottom"/>
            <w:shd w:val="clear" w:color="auto" w:fill="DCE2EF"/>
          </w:tcPr>
          <w:p>
            <w:pPr>
              <w:ind w:left="20"/>
              <w:spacing w:after="0" w:line="230" w:lineRule="exact"/>
              <w:rPr>
                <w:sz w:val="20"/>
                <w:szCs w:val="20"/>
                <w:color w:val="auto"/>
              </w:rPr>
            </w:pPr>
            <w:r>
              <w:rPr>
                <w:rFonts w:ascii="Arial" w:cs="Arial" w:eastAsia="Arial" w:hAnsi="Arial"/>
                <w:sz w:val="16"/>
                <w:szCs w:val="16"/>
                <w:color w:val="auto"/>
              </w:rPr>
              <w:t>Total cash paid for share repurchases</w:t>
            </w:r>
            <w:r>
              <w:rPr>
                <w:rFonts w:ascii="Arial" w:cs="Arial" w:eastAsia="Arial" w:hAnsi="Arial"/>
                <w:sz w:val="21"/>
                <w:szCs w:val="21"/>
                <w:color w:val="auto"/>
                <w:vertAlign w:val="superscript"/>
              </w:rPr>
              <w:t>(1)</w:t>
            </w:r>
          </w:p>
        </w:tc>
        <w:tc>
          <w:tcPr>
            <w:tcW w:w="440" w:type="dxa"/>
            <w:vAlign w:val="bottom"/>
            <w:shd w:val="clear" w:color="auto" w:fill="DCE2EF"/>
          </w:tcPr>
          <w:p>
            <w:pPr>
              <w:jc w:val="right"/>
              <w:ind w:right="233"/>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23.80</w:t>
            </w:r>
          </w:p>
        </w:tc>
        <w:tc>
          <w:tcPr>
            <w:tcW w:w="120" w:type="dxa"/>
            <w:vAlign w:val="bottom"/>
            <w:shd w:val="clear" w:color="auto" w:fill="DCE2EF"/>
          </w:tcPr>
          <w:p>
            <w:pPr>
              <w:spacing w:after="0"/>
              <w:rPr>
                <w:sz w:val="19"/>
                <w:szCs w:val="19"/>
                <w:color w:val="auto"/>
              </w:rPr>
            </w:pPr>
          </w:p>
        </w:tc>
        <w:tc>
          <w:tcPr>
            <w:tcW w:w="500" w:type="dxa"/>
            <w:vAlign w:val="bottom"/>
            <w:shd w:val="clear" w:color="auto" w:fill="DCE2EF"/>
          </w:tcPr>
          <w:p>
            <w:pPr>
              <w:ind w:lef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23.80</w:t>
            </w:r>
          </w:p>
        </w:tc>
      </w:tr>
    </w:tbl>
    <w:p>
      <w:pPr>
        <w:spacing w:after="0" w:line="200" w:lineRule="exact"/>
        <w:rPr>
          <w:sz w:val="20"/>
          <w:szCs w:val="20"/>
          <w:color w:val="auto"/>
        </w:rPr>
      </w:pPr>
    </w:p>
    <w:p>
      <w:pPr>
        <w:spacing w:after="0" w:line="285" w:lineRule="exact"/>
        <w:rPr>
          <w:sz w:val="20"/>
          <w:szCs w:val="20"/>
          <w:color w:val="auto"/>
        </w:rPr>
      </w:pPr>
    </w:p>
    <w:p>
      <w:pPr>
        <w:ind w:firstLine="8"/>
        <w:spacing w:after="0" w:line="227" w:lineRule="auto"/>
        <w:tabs>
          <w:tab w:leader="none" w:pos="191"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Average price paid per share and total cash paid for share repurchases does not include any excise tax for stock repurchases as part of the Inflation Reduction Act of 2022.</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Cash Flows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170"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Six Months Ended April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39"/>
              <w:spacing w:after="0" w:line="155" w:lineRule="exact"/>
              <w:rPr>
                <w:sz w:val="20"/>
                <w:szCs w:val="20"/>
                <w:color w:val="auto"/>
              </w:rPr>
            </w:pPr>
            <w:r>
              <w:rPr>
                <w:rFonts w:ascii="Arial" w:cs="Arial" w:eastAsia="Arial" w:hAnsi="Arial"/>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639"/>
              <w:spacing w:after="0" w:line="155" w:lineRule="exact"/>
              <w:rPr>
                <w:sz w:val="20"/>
                <w:szCs w:val="20"/>
                <w:color w:val="auto"/>
              </w:rPr>
            </w:pPr>
            <w:r>
              <w:rPr>
                <w:rFonts w:ascii="Arial" w:cs="Arial" w:eastAsia="Arial" w:hAnsi="Arial"/>
                <w:sz w:val="16"/>
                <w:szCs w:val="16"/>
                <w:b w:val="1"/>
                <w:bCs w:val="1"/>
                <w:color w:val="auto"/>
              </w:rPr>
              <w:t>2023</w:t>
            </w:r>
          </w:p>
        </w:tc>
      </w:tr>
      <w:tr>
        <w:trPr>
          <w:trHeight w:val="34"/>
        </w:trPr>
        <w:tc>
          <w:tcPr>
            <w:tcW w:w="20" w:type="dxa"/>
            <w:vAlign w:val="bottom"/>
            <w:tcBorders>
              <w:bottom w:val="single" w:sz="8" w:color="DCE2EF"/>
            </w:tcBorders>
          </w:tcPr>
          <w:p>
            <w:pPr>
              <w:spacing w:after="0"/>
              <w:rPr>
                <w:sz w:val="2"/>
                <w:szCs w:val="2"/>
                <w:color w:val="auto"/>
              </w:rPr>
            </w:pPr>
          </w:p>
        </w:tc>
        <w:tc>
          <w:tcPr>
            <w:tcW w:w="720" w:type="dxa"/>
            <w:vAlign w:val="bottom"/>
            <w:tcBorders>
              <w:top w:val="single" w:sz="8" w:color="auto"/>
              <w:bottom w:val="single" w:sz="8" w:color="DCE2EF"/>
            </w:tcBorders>
          </w:tcPr>
          <w:p>
            <w:pPr>
              <w:spacing w:after="0"/>
              <w:rPr>
                <w:sz w:val="2"/>
                <w:szCs w:val="2"/>
                <w:color w:val="auto"/>
              </w:rPr>
            </w:pPr>
          </w:p>
        </w:tc>
        <w:tc>
          <w:tcPr>
            <w:tcW w:w="678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DCE2EF"/>
          </w:tcPr>
          <w:p>
            <w:pPr>
              <w:spacing w:after="0"/>
              <w:rPr>
                <w:sz w:val="18"/>
                <w:szCs w:val="18"/>
                <w:color w:val="auto"/>
              </w:rPr>
            </w:pPr>
          </w:p>
        </w:tc>
        <w:tc>
          <w:tcPr>
            <w:tcW w:w="75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Net cash provided by (used in) operating activities</w:t>
            </w: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CE2EF"/>
          </w:tcPr>
          <w:p>
            <w:pPr>
              <w:ind w:left="920"/>
              <w:spacing w:after="0"/>
              <w:rPr>
                <w:sz w:val="20"/>
                <w:szCs w:val="20"/>
                <w:color w:val="auto"/>
              </w:rPr>
            </w:pPr>
            <w:r>
              <w:rPr>
                <w:rFonts w:ascii="Arial" w:cs="Arial" w:eastAsia="Arial" w:hAnsi="Arial"/>
                <w:sz w:val="16"/>
                <w:szCs w:val="16"/>
                <w:color w:val="auto"/>
              </w:rPr>
              <w:t>116.9</w:t>
            </w:r>
          </w:p>
        </w:tc>
        <w:tc>
          <w:tcPr>
            <w:tcW w:w="12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CE2EF"/>
          </w:tcPr>
          <w:p>
            <w:pPr>
              <w:jc w:val="center"/>
              <w:ind w:left="839"/>
              <w:spacing w:after="0"/>
              <w:rPr>
                <w:sz w:val="20"/>
                <w:szCs w:val="20"/>
                <w:color w:val="auto"/>
              </w:rPr>
            </w:pPr>
            <w:r>
              <w:rPr>
                <w:rFonts w:ascii="Arial" w:cs="Arial" w:eastAsia="Arial" w:hAnsi="Arial"/>
                <w:sz w:val="16"/>
                <w:szCs w:val="16"/>
                <w:color w:val="auto"/>
              </w:rPr>
              <w:t>(45.0)</w:t>
            </w:r>
          </w:p>
        </w:tc>
      </w:tr>
      <w:tr>
        <w:trPr>
          <w:trHeight w:val="215"/>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Pr>
          <w:p>
            <w:pPr>
              <w:spacing w:after="0"/>
              <w:rPr>
                <w:sz w:val="18"/>
                <w:szCs w:val="18"/>
                <w:color w:val="auto"/>
              </w:rPr>
            </w:pPr>
          </w:p>
        </w:tc>
        <w:tc>
          <w:tcPr>
            <w:tcW w:w="1380" w:type="dxa"/>
            <w:vAlign w:val="bottom"/>
          </w:tcPr>
          <w:p>
            <w:pPr>
              <w:ind w:left="940"/>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center"/>
              <w:ind w:left="839"/>
              <w:spacing w:after="0"/>
              <w:rPr>
                <w:sz w:val="20"/>
                <w:szCs w:val="20"/>
                <w:color w:val="auto"/>
              </w:rPr>
            </w:pPr>
            <w:r>
              <w:rPr>
                <w:rFonts w:ascii="Arial" w:cs="Arial" w:eastAsia="Arial" w:hAnsi="Arial"/>
                <w:sz w:val="16"/>
                <w:szCs w:val="16"/>
                <w:color w:val="auto"/>
              </w:rPr>
              <w:t>(22.2)</w:t>
            </w:r>
          </w:p>
        </w:tc>
      </w:tr>
      <w:tr>
        <w:trPr>
          <w:trHeight w:val="217"/>
        </w:trPr>
        <w:tc>
          <w:tcPr>
            <w:tcW w:w="20" w:type="dxa"/>
            <w:vAlign w:val="bottom"/>
            <w:shd w:val="clear" w:color="auto" w:fill="DCE2EF"/>
          </w:tcPr>
          <w:p>
            <w:pPr>
              <w:spacing w:after="0"/>
              <w:rPr>
                <w:sz w:val="18"/>
                <w:szCs w:val="18"/>
                <w:color w:val="auto"/>
              </w:rPr>
            </w:pPr>
          </w:p>
        </w:tc>
        <w:tc>
          <w:tcPr>
            <w:tcW w:w="75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Net cash (used in) provided by financing activities</w:t>
            </w:r>
          </w:p>
        </w:tc>
        <w:tc>
          <w:tcPr>
            <w:tcW w:w="420" w:type="dxa"/>
            <w:vAlign w:val="bottom"/>
            <w:shd w:val="clear" w:color="auto" w:fill="DCE2EF"/>
          </w:tcPr>
          <w:p>
            <w:pPr>
              <w:spacing w:after="0"/>
              <w:rPr>
                <w:sz w:val="18"/>
                <w:szCs w:val="18"/>
                <w:color w:val="auto"/>
              </w:rPr>
            </w:pPr>
          </w:p>
        </w:tc>
        <w:tc>
          <w:tcPr>
            <w:tcW w:w="1380" w:type="dxa"/>
            <w:vAlign w:val="bottom"/>
            <w:shd w:val="clear" w:color="auto" w:fill="DCE2EF"/>
          </w:tcPr>
          <w:p>
            <w:pPr>
              <w:ind w:left="940"/>
              <w:spacing w:after="0"/>
              <w:rPr>
                <w:sz w:val="20"/>
                <w:szCs w:val="20"/>
                <w:color w:val="auto"/>
              </w:rPr>
            </w:pPr>
            <w:r>
              <w:rPr>
                <w:rFonts w:ascii="Arial" w:cs="Arial" w:eastAsia="Arial" w:hAnsi="Arial"/>
                <w:sz w:val="16"/>
                <w:szCs w:val="16"/>
                <w:color w:val="auto"/>
              </w:rPr>
              <w:t>(98.0)</w:t>
            </w:r>
          </w:p>
        </w:tc>
        <w:tc>
          <w:tcPr>
            <w:tcW w:w="12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400" w:type="dxa"/>
            <w:vAlign w:val="bottom"/>
            <w:shd w:val="clear" w:color="auto" w:fill="DCE2EF"/>
          </w:tcPr>
          <w:p>
            <w:pPr>
              <w:jc w:val="center"/>
              <w:ind w:left="859"/>
              <w:spacing w:after="0"/>
              <w:rPr>
                <w:sz w:val="20"/>
                <w:szCs w:val="20"/>
                <w:color w:val="auto"/>
              </w:rPr>
            </w:pPr>
            <w:r>
              <w:rPr>
                <w:rFonts w:ascii="Arial" w:cs="Arial" w:eastAsia="Arial" w:hAnsi="Arial"/>
                <w:sz w:val="16"/>
                <w:szCs w:val="16"/>
                <w:color w:val="auto"/>
                <w:w w:val="96"/>
              </w:rPr>
              <w:t>62.8</w:t>
            </w:r>
          </w:p>
        </w:tc>
      </w:tr>
    </w:tbl>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Net cash provided by operating activities was $116.9 million during the six months ended April 30, 2024, as compared to net cash used by operating activities of $45.0 million during the prior year period. The change was primarily driven by the timing of working capital requirements, including customer payments and an absence of a $66.0 million payment for the deferred payroll taxes made during the three months ended January 31, 2023.</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Net cash used in investing activities increased by $6.4 million during the six months ended April 30, 2024, as compared to the prior year period. This quarter’s activity was primarily related to purchases of property, plant and equipment.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Net cash used in financing activities was $98.0 million during the six months ended April 30, 2024, as compared to net cash provided by financing activities of $62.8 million during the prior year period. The change was primarily related to a decrease in net borrowings from our Amended Credit Facility due to the $116.9 million cash provided by operating activities.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disclosures on contingencies, see Note 10, “Commitments and Contingencies,” of the Notes to unaudited Consolidated Financial Statements included in Part I, Item 1 of this Form 10-Q.</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Financial Statements are prepared in accordance with U.S. GAAP, which require us to make certain estimates in the application of our accounting policies based on the best assumptions, judgments, and opinions of our management. There have been no significant changes to our critical accounting policies and estimates. For a description of our critical accounting policies, see Item 7., “Management’s Discussion and Analysis of Financial Condition and Results of Operations,” in our Annual Report on Form 10-K for the year ended October 31,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Recently Issued Accounting Pronouncements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Accounting</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Effective Date/</w:t>
            </w:r>
          </w:p>
        </w:tc>
        <w:tc>
          <w:tcPr>
            <w:tcW w:w="0" w:type="dxa"/>
            <w:vAlign w:val="bottom"/>
          </w:tcPr>
          <w:p>
            <w:pPr>
              <w:spacing w:after="0"/>
              <w:rPr>
                <w:sz w:val="1"/>
                <w:szCs w:val="1"/>
                <w:color w:val="auto"/>
              </w:rPr>
            </w:pPr>
          </w:p>
        </w:tc>
      </w:tr>
      <w:tr>
        <w:trPr>
          <w:trHeight w:val="162"/>
        </w:trPr>
        <w:tc>
          <w:tcPr>
            <w:tcW w:w="13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Standard</w:t>
            </w:r>
          </w:p>
        </w:tc>
        <w:tc>
          <w:tcPr>
            <w:tcW w:w="2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Topic</w:t>
            </w:r>
          </w:p>
        </w:tc>
        <w:tc>
          <w:tcPr>
            <w:tcW w:w="120" w:type="dxa"/>
            <w:vAlign w:val="bottom"/>
            <w:vMerge w:val="restart"/>
          </w:tcPr>
          <w:p>
            <w:pPr>
              <w:spacing w:after="0"/>
              <w:rPr>
                <w:sz w:val="14"/>
                <w:szCs w:val="14"/>
                <w:color w:val="auto"/>
              </w:rPr>
            </w:pPr>
          </w:p>
        </w:tc>
        <w:tc>
          <w:tcPr>
            <w:tcW w:w="4980" w:type="dxa"/>
            <w:vAlign w:val="bottom"/>
            <w:vMerge w:val="restart"/>
          </w:tcPr>
          <w:p>
            <w:pPr>
              <w:ind w:left="2120"/>
              <w:spacing w:after="0"/>
              <w:rPr>
                <w:sz w:val="20"/>
                <w:szCs w:val="20"/>
                <w:color w:val="auto"/>
              </w:rPr>
            </w:pPr>
            <w:r>
              <w:rPr>
                <w:rFonts w:ascii="Arial" w:cs="Arial" w:eastAsia="Arial" w:hAnsi="Arial"/>
                <w:sz w:val="16"/>
                <w:szCs w:val="16"/>
                <w:b w:val="1"/>
                <w:bCs w:val="1"/>
                <w:color w:val="auto"/>
              </w:rPr>
              <w:t>Summary</w:t>
            </w:r>
          </w:p>
        </w:tc>
        <w:tc>
          <w:tcPr>
            <w:tcW w:w="100" w:type="dxa"/>
            <w:vAlign w:val="bottom"/>
            <w:vMerge w:val="restart"/>
          </w:tcPr>
          <w:p>
            <w:pPr>
              <w:spacing w:after="0"/>
              <w:rPr>
                <w:sz w:val="14"/>
                <w:szCs w:val="14"/>
                <w:color w:val="auto"/>
              </w:rPr>
            </w:pP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Update(s)</w:t>
            </w:r>
          </w:p>
        </w:tc>
        <w:tc>
          <w:tcPr>
            <w:tcW w:w="100" w:type="dxa"/>
            <w:vAlign w:val="bottom"/>
          </w:tcPr>
          <w:p>
            <w:pPr>
              <w:spacing w:after="0"/>
              <w:rPr>
                <w:sz w:val="18"/>
                <w:szCs w:val="18"/>
                <w:color w:val="auto"/>
              </w:rPr>
            </w:pPr>
          </w:p>
        </w:tc>
        <w:tc>
          <w:tcPr>
            <w:tcW w:w="23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49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38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Method of Adoption</w:t>
            </w:r>
          </w:p>
        </w:tc>
        <w:tc>
          <w:tcPr>
            <w:tcW w:w="0" w:type="dxa"/>
            <w:vAlign w:val="bottom"/>
          </w:tcPr>
          <w:p>
            <w:pPr>
              <w:spacing w:after="0"/>
              <w:rPr>
                <w:sz w:val="1"/>
                <w:szCs w:val="1"/>
                <w:color w:val="auto"/>
              </w:rPr>
            </w:pPr>
          </w:p>
        </w:tc>
      </w:tr>
      <w:tr>
        <w:trPr>
          <w:trHeight w:val="156"/>
        </w:trPr>
        <w:tc>
          <w:tcPr>
            <w:tcW w:w="1200" w:type="dxa"/>
            <w:vAlign w:val="bottom"/>
          </w:tcPr>
          <w:p>
            <w:pPr>
              <w:jc w:val="center"/>
              <w:spacing w:after="0" w:line="155" w:lineRule="exact"/>
              <w:rPr>
                <w:sz w:val="20"/>
                <w:szCs w:val="20"/>
                <w:color w:val="auto"/>
              </w:rPr>
            </w:pPr>
            <w:r>
              <w:rPr>
                <w:rFonts w:ascii="Arial" w:cs="Arial" w:eastAsia="Arial" w:hAnsi="Arial"/>
                <w:sz w:val="16"/>
                <w:szCs w:val="16"/>
                <w:color w:val="auto"/>
                <w:w w:val="98"/>
              </w:rPr>
              <w:t>2023-07</w:t>
            </w:r>
          </w:p>
        </w:tc>
        <w:tc>
          <w:tcPr>
            <w:tcW w:w="100" w:type="dxa"/>
            <w:vAlign w:val="bottom"/>
          </w:tcPr>
          <w:p>
            <w:pPr>
              <w:spacing w:after="0"/>
              <w:rPr>
                <w:sz w:val="13"/>
                <w:szCs w:val="13"/>
                <w:color w:val="auto"/>
              </w:rPr>
            </w:pPr>
          </w:p>
        </w:tc>
        <w:tc>
          <w:tcPr>
            <w:tcW w:w="2480" w:type="dxa"/>
            <w:vAlign w:val="bottom"/>
            <w:gridSpan w:val="2"/>
          </w:tcPr>
          <w:p>
            <w:pPr>
              <w:jc w:val="center"/>
              <w:ind w:right="120"/>
              <w:spacing w:after="0" w:line="155" w:lineRule="exact"/>
              <w:rPr>
                <w:sz w:val="20"/>
                <w:szCs w:val="20"/>
                <w:color w:val="auto"/>
              </w:rPr>
            </w:pPr>
            <w:r>
              <w:rPr>
                <w:rFonts w:ascii="Arial" w:cs="Arial" w:eastAsia="Arial" w:hAnsi="Arial"/>
                <w:sz w:val="16"/>
                <w:szCs w:val="16"/>
                <w:color w:val="auto"/>
                <w:w w:val="98"/>
              </w:rPr>
              <w:t>Segment Reporting (Topic 280):</w:t>
            </w:r>
          </w:p>
        </w:tc>
        <w:tc>
          <w:tcPr>
            <w:tcW w:w="508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This ASU, issued in November 2023, improves reportable segment</w:t>
            </w:r>
          </w:p>
        </w:tc>
        <w:tc>
          <w:tcPr>
            <w:tcW w:w="2380" w:type="dxa"/>
            <w:vAlign w:val="bottom"/>
          </w:tcPr>
          <w:p>
            <w:pPr>
              <w:ind w:left="20"/>
              <w:spacing w:after="0" w:line="155" w:lineRule="exact"/>
              <w:rPr>
                <w:sz w:val="20"/>
                <w:szCs w:val="20"/>
                <w:color w:val="auto"/>
              </w:rPr>
            </w:pPr>
            <w:r>
              <w:rPr>
                <w:rFonts w:ascii="Arial" w:cs="Arial" w:eastAsia="Arial" w:hAnsi="Arial"/>
                <w:sz w:val="16"/>
                <w:szCs w:val="16"/>
                <w:color w:val="auto"/>
              </w:rPr>
              <w:t>This ASU is effective for fiscal</w:t>
            </w: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2"/>
          </w:tcPr>
          <w:p>
            <w:pPr>
              <w:jc w:val="center"/>
              <w:ind w:right="120"/>
              <w:spacing w:after="0" w:line="153" w:lineRule="exact"/>
              <w:rPr>
                <w:sz w:val="20"/>
                <w:szCs w:val="20"/>
                <w:color w:val="auto"/>
              </w:rPr>
            </w:pPr>
            <w:r>
              <w:rPr>
                <w:rFonts w:ascii="Arial" w:cs="Arial" w:eastAsia="Arial" w:hAnsi="Arial"/>
                <w:sz w:val="16"/>
                <w:szCs w:val="16"/>
                <w:color w:val="auto"/>
                <w:w w:val="99"/>
              </w:rPr>
              <w:t>Improvements to Reportable</w:t>
            </w:r>
          </w:p>
        </w:tc>
        <w:tc>
          <w:tcPr>
            <w:tcW w:w="5080" w:type="dxa"/>
            <w:vAlign w:val="bottom"/>
            <w:gridSpan w:val="2"/>
          </w:tcPr>
          <w:p>
            <w:pPr>
              <w:ind w:left="20"/>
              <w:spacing w:after="0" w:line="153" w:lineRule="exact"/>
              <w:rPr>
                <w:sz w:val="20"/>
                <w:szCs w:val="20"/>
                <w:color w:val="auto"/>
              </w:rPr>
            </w:pPr>
            <w:r>
              <w:rPr>
                <w:rFonts w:ascii="Arial" w:cs="Arial" w:eastAsia="Arial" w:hAnsi="Arial"/>
                <w:sz w:val="16"/>
                <w:szCs w:val="16"/>
                <w:color w:val="auto"/>
              </w:rPr>
              <w:t>disclosure requirements, primarily through enhanced disclosures</w:t>
            </w:r>
          </w:p>
        </w:tc>
        <w:tc>
          <w:tcPr>
            <w:tcW w:w="2380" w:type="dxa"/>
            <w:vAlign w:val="bottom"/>
          </w:tcPr>
          <w:p>
            <w:pPr>
              <w:ind w:left="20"/>
              <w:spacing w:after="0" w:line="153" w:lineRule="exact"/>
              <w:rPr>
                <w:sz w:val="20"/>
                <w:szCs w:val="20"/>
                <w:color w:val="auto"/>
              </w:rPr>
            </w:pPr>
            <w:r>
              <w:rPr>
                <w:rFonts w:ascii="Arial" w:cs="Arial" w:eastAsia="Arial" w:hAnsi="Arial"/>
                <w:sz w:val="16"/>
                <w:szCs w:val="16"/>
                <w:color w:val="auto"/>
              </w:rPr>
              <w:t>years beginning after December</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9"/>
              </w:rPr>
              <w:t>Segment Disclosures</w:t>
            </w:r>
          </w:p>
        </w:tc>
        <w:tc>
          <w:tcPr>
            <w:tcW w:w="50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about significant segment expenses. This ASU requires disclosure, on</w:t>
            </w:r>
          </w:p>
        </w:tc>
        <w:tc>
          <w:tcPr>
            <w:tcW w:w="2380" w:type="dxa"/>
            <w:vAlign w:val="bottom"/>
          </w:tcPr>
          <w:p>
            <w:pPr>
              <w:ind w:left="20"/>
              <w:spacing w:after="0" w:line="162" w:lineRule="exact"/>
              <w:rPr>
                <w:sz w:val="20"/>
                <w:szCs w:val="20"/>
                <w:color w:val="auto"/>
              </w:rPr>
            </w:pPr>
            <w:r>
              <w:rPr>
                <w:rFonts w:ascii="Arial" w:cs="Arial" w:eastAsia="Arial" w:hAnsi="Arial"/>
                <w:sz w:val="16"/>
                <w:szCs w:val="16"/>
                <w:color w:val="auto"/>
              </w:rPr>
              <w:t>15, 2023, and interim periods</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an annual and interim basis, of significant segment expenses that are</w:t>
            </w:r>
          </w:p>
        </w:tc>
        <w:tc>
          <w:tcPr>
            <w:tcW w:w="2380" w:type="dxa"/>
            <w:vAlign w:val="bottom"/>
          </w:tcPr>
          <w:p>
            <w:pPr>
              <w:ind w:left="20"/>
              <w:spacing w:after="0" w:line="162" w:lineRule="exact"/>
              <w:rPr>
                <w:sz w:val="20"/>
                <w:szCs w:val="20"/>
                <w:color w:val="auto"/>
              </w:rPr>
            </w:pPr>
            <w:r>
              <w:rPr>
                <w:rFonts w:ascii="Arial" w:cs="Arial" w:eastAsia="Arial" w:hAnsi="Arial"/>
                <w:sz w:val="16"/>
                <w:szCs w:val="16"/>
                <w:color w:val="auto"/>
                <w:w w:val="99"/>
              </w:rPr>
              <w:t>within fiscal years beginning after</w:t>
            </w: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8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regularly provided to the chief operating decision maker, and an</w:t>
            </w:r>
          </w:p>
        </w:tc>
        <w:tc>
          <w:tcPr>
            <w:tcW w:w="2380" w:type="dxa"/>
            <w:vAlign w:val="bottom"/>
          </w:tcPr>
          <w:p>
            <w:pPr>
              <w:ind w:left="20"/>
              <w:spacing w:after="0" w:line="158" w:lineRule="exact"/>
              <w:rPr>
                <w:sz w:val="20"/>
                <w:szCs w:val="20"/>
                <w:color w:val="auto"/>
              </w:rPr>
            </w:pPr>
            <w:r>
              <w:rPr>
                <w:rFonts w:ascii="Arial" w:cs="Arial" w:eastAsia="Arial" w:hAnsi="Arial"/>
                <w:sz w:val="16"/>
                <w:szCs w:val="16"/>
                <w:color w:val="auto"/>
              </w:rPr>
              <w:t>December 15, 2024, with early</w:t>
            </w: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80" w:type="dxa"/>
            <w:vAlign w:val="bottom"/>
            <w:gridSpan w:val="2"/>
          </w:tcPr>
          <w:p>
            <w:pPr>
              <w:ind w:left="20"/>
              <w:spacing w:after="0" w:line="153" w:lineRule="exact"/>
              <w:rPr>
                <w:sz w:val="20"/>
                <w:szCs w:val="20"/>
                <w:color w:val="auto"/>
              </w:rPr>
            </w:pPr>
            <w:r>
              <w:rPr>
                <w:rFonts w:ascii="Arial" w:cs="Arial" w:eastAsia="Arial" w:hAnsi="Arial"/>
                <w:sz w:val="16"/>
                <w:szCs w:val="16"/>
                <w:color w:val="auto"/>
              </w:rPr>
              <w:t>amount for other segment items by reportable segment, with a</w:t>
            </w:r>
          </w:p>
        </w:tc>
        <w:tc>
          <w:tcPr>
            <w:tcW w:w="2380" w:type="dxa"/>
            <w:vAlign w:val="bottom"/>
          </w:tcPr>
          <w:p>
            <w:pPr>
              <w:ind w:left="20"/>
              <w:spacing w:after="0" w:line="153" w:lineRule="exact"/>
              <w:rPr>
                <w:sz w:val="20"/>
                <w:szCs w:val="20"/>
                <w:color w:val="auto"/>
              </w:rPr>
            </w:pPr>
            <w:r>
              <w:rPr>
                <w:rFonts w:ascii="Arial" w:cs="Arial" w:eastAsia="Arial" w:hAnsi="Arial"/>
                <w:sz w:val="16"/>
                <w:szCs w:val="16"/>
                <w:color w:val="auto"/>
              </w:rPr>
              <w:t>adoption permitted.</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description of its composition. We are currently evaluating the impact</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of implementing this guidance on our financial statements.</w:t>
            </w:r>
          </w:p>
        </w:tc>
        <w:tc>
          <w:tcPr>
            <w:tcW w:w="10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200" w:type="dxa"/>
            <w:vAlign w:val="bottom"/>
          </w:tcPr>
          <w:p>
            <w:pPr>
              <w:jc w:val="center"/>
              <w:spacing w:after="0" w:line="158" w:lineRule="exact"/>
              <w:rPr>
                <w:sz w:val="20"/>
                <w:szCs w:val="20"/>
                <w:color w:val="auto"/>
              </w:rPr>
            </w:pPr>
            <w:r>
              <w:rPr>
                <w:rFonts w:ascii="Arial" w:cs="Arial" w:eastAsia="Arial" w:hAnsi="Arial"/>
                <w:sz w:val="16"/>
                <w:szCs w:val="16"/>
                <w:color w:val="auto"/>
                <w:w w:val="98"/>
              </w:rPr>
              <w:t>2023-09</w:t>
            </w:r>
          </w:p>
        </w:tc>
        <w:tc>
          <w:tcPr>
            <w:tcW w:w="100" w:type="dxa"/>
            <w:vAlign w:val="bottom"/>
          </w:tcPr>
          <w:p>
            <w:pPr>
              <w:spacing w:after="0"/>
              <w:rPr>
                <w:sz w:val="13"/>
                <w:szCs w:val="13"/>
                <w:color w:val="auto"/>
              </w:rPr>
            </w:pPr>
          </w:p>
        </w:tc>
        <w:tc>
          <w:tcPr>
            <w:tcW w:w="2480" w:type="dxa"/>
            <w:vAlign w:val="bottom"/>
            <w:gridSpan w:val="2"/>
          </w:tcPr>
          <w:p>
            <w:pPr>
              <w:jc w:val="center"/>
              <w:ind w:right="120"/>
              <w:spacing w:after="0" w:line="158" w:lineRule="exact"/>
              <w:rPr>
                <w:sz w:val="20"/>
                <w:szCs w:val="20"/>
                <w:color w:val="auto"/>
              </w:rPr>
            </w:pPr>
            <w:r>
              <w:rPr>
                <w:rFonts w:ascii="Arial" w:cs="Arial" w:eastAsia="Arial" w:hAnsi="Arial"/>
                <w:sz w:val="16"/>
                <w:szCs w:val="16"/>
                <w:color w:val="auto"/>
                <w:w w:val="96"/>
              </w:rPr>
              <w:t>Income Taxes (Topic 740):</w:t>
            </w:r>
          </w:p>
        </w:tc>
        <w:tc>
          <w:tcPr>
            <w:tcW w:w="508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This ASU, issued in December 2023, is intended to enhance the</w:t>
            </w:r>
          </w:p>
        </w:tc>
        <w:tc>
          <w:tcPr>
            <w:tcW w:w="2380" w:type="dxa"/>
            <w:vAlign w:val="bottom"/>
          </w:tcPr>
          <w:p>
            <w:pPr>
              <w:ind w:left="20"/>
              <w:spacing w:after="0" w:line="158" w:lineRule="exact"/>
              <w:rPr>
                <w:sz w:val="20"/>
                <w:szCs w:val="20"/>
                <w:color w:val="auto"/>
              </w:rPr>
            </w:pPr>
            <w:r>
              <w:rPr>
                <w:rFonts w:ascii="Arial" w:cs="Arial" w:eastAsia="Arial" w:hAnsi="Arial"/>
                <w:sz w:val="16"/>
                <w:szCs w:val="16"/>
                <w:color w:val="auto"/>
              </w:rPr>
              <w:t>This ASU is effective for fiscal</w:t>
            </w: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2"/>
          </w:tcPr>
          <w:p>
            <w:pPr>
              <w:jc w:val="center"/>
              <w:ind w:right="120"/>
              <w:spacing w:after="0" w:line="153" w:lineRule="exact"/>
              <w:rPr>
                <w:sz w:val="20"/>
                <w:szCs w:val="20"/>
                <w:color w:val="auto"/>
              </w:rPr>
            </w:pPr>
            <w:r>
              <w:rPr>
                <w:rFonts w:ascii="Arial" w:cs="Arial" w:eastAsia="Arial" w:hAnsi="Arial"/>
                <w:sz w:val="16"/>
                <w:szCs w:val="16"/>
                <w:color w:val="auto"/>
                <w:w w:val="98"/>
              </w:rPr>
              <w:t>Improvements to Income Tax</w:t>
            </w:r>
          </w:p>
        </w:tc>
        <w:tc>
          <w:tcPr>
            <w:tcW w:w="5080" w:type="dxa"/>
            <w:vAlign w:val="bottom"/>
            <w:gridSpan w:val="2"/>
          </w:tcPr>
          <w:p>
            <w:pPr>
              <w:ind w:left="20"/>
              <w:spacing w:after="0" w:line="153" w:lineRule="exact"/>
              <w:rPr>
                <w:sz w:val="20"/>
                <w:szCs w:val="20"/>
                <w:color w:val="auto"/>
              </w:rPr>
            </w:pPr>
            <w:r>
              <w:rPr>
                <w:rFonts w:ascii="Arial" w:cs="Arial" w:eastAsia="Arial" w:hAnsi="Arial"/>
                <w:sz w:val="16"/>
                <w:szCs w:val="16"/>
                <w:color w:val="auto"/>
              </w:rPr>
              <w:t>transparency and decision usefulness of income tax disclosures. The</w:t>
            </w:r>
          </w:p>
        </w:tc>
        <w:tc>
          <w:tcPr>
            <w:tcW w:w="2380" w:type="dxa"/>
            <w:vAlign w:val="bottom"/>
          </w:tcPr>
          <w:p>
            <w:pPr>
              <w:ind w:left="20"/>
              <w:spacing w:after="0" w:line="153" w:lineRule="exact"/>
              <w:rPr>
                <w:sz w:val="20"/>
                <w:szCs w:val="20"/>
                <w:color w:val="auto"/>
              </w:rPr>
            </w:pPr>
            <w:r>
              <w:rPr>
                <w:rFonts w:ascii="Arial" w:cs="Arial" w:eastAsia="Arial" w:hAnsi="Arial"/>
                <w:sz w:val="16"/>
                <w:szCs w:val="16"/>
                <w:color w:val="auto"/>
              </w:rPr>
              <w:t>years beginning after December</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9"/>
              </w:rPr>
              <w:t>Disclosures</w:t>
            </w:r>
          </w:p>
        </w:tc>
        <w:tc>
          <w:tcPr>
            <w:tcW w:w="50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amendments in this ASU address investor requests for enhanced</w:t>
            </w:r>
          </w:p>
        </w:tc>
        <w:tc>
          <w:tcPr>
            <w:tcW w:w="2380" w:type="dxa"/>
            <w:vAlign w:val="bottom"/>
          </w:tcPr>
          <w:p>
            <w:pPr>
              <w:ind w:left="20"/>
              <w:spacing w:after="0" w:line="162" w:lineRule="exact"/>
              <w:rPr>
                <w:sz w:val="20"/>
                <w:szCs w:val="20"/>
                <w:color w:val="auto"/>
              </w:rPr>
            </w:pPr>
            <w:r>
              <w:rPr>
                <w:rFonts w:ascii="Arial" w:cs="Arial" w:eastAsia="Arial" w:hAnsi="Arial"/>
                <w:sz w:val="16"/>
                <w:szCs w:val="16"/>
                <w:color w:val="auto"/>
              </w:rPr>
              <w:t>15, 2024, with early adoption</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income tax information primarily through changes to the rate</w:t>
            </w:r>
          </w:p>
        </w:tc>
        <w:tc>
          <w:tcPr>
            <w:tcW w:w="2380" w:type="dxa"/>
            <w:vAlign w:val="bottom"/>
          </w:tcPr>
          <w:p>
            <w:pPr>
              <w:ind w:left="20"/>
              <w:spacing w:after="0" w:line="162" w:lineRule="exact"/>
              <w:rPr>
                <w:sz w:val="20"/>
                <w:szCs w:val="20"/>
                <w:color w:val="auto"/>
              </w:rPr>
            </w:pPr>
            <w:r>
              <w:rPr>
                <w:rFonts w:ascii="Arial" w:cs="Arial" w:eastAsia="Arial" w:hAnsi="Arial"/>
                <w:sz w:val="16"/>
                <w:szCs w:val="16"/>
                <w:color w:val="auto"/>
              </w:rPr>
              <w:t>permitted.</w:t>
            </w: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8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reconciliation and income taxes paid information. We are currently</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80" w:type="dxa"/>
            <w:vAlign w:val="bottom"/>
            <w:gridSpan w:val="2"/>
          </w:tcPr>
          <w:p>
            <w:pPr>
              <w:ind w:left="20"/>
              <w:spacing w:after="0" w:line="153" w:lineRule="exact"/>
              <w:rPr>
                <w:sz w:val="20"/>
                <w:szCs w:val="20"/>
                <w:color w:val="auto"/>
              </w:rPr>
            </w:pPr>
            <w:r>
              <w:rPr>
                <w:rFonts w:ascii="Arial" w:cs="Arial" w:eastAsia="Arial" w:hAnsi="Arial"/>
                <w:sz w:val="16"/>
                <w:szCs w:val="16"/>
                <w:color w:val="auto"/>
              </w:rPr>
              <w:t>evaluating the impact of implementing this guidance on our financial</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statements.</w:t>
            </w:r>
          </w:p>
        </w:tc>
        <w:tc>
          <w:tcPr>
            <w:tcW w:w="10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0046AD"/>
        </w:rPr>
        <w:t>ITEM 3. QUANTITATIVE AND QUALITATIVE DISCLOSURES ABOUT MARKET RISK.</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There are no material changes related to market risk from the disclosures in our Annual Report on Form 10-K for the year ended October 31,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 Disclosure Controls and Procedures.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 Changes in Internal Control Over Financial Reporting.</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To support the growth of our financial shared service capabilities and standardize our financial systems, we continue to update several key platforms, including our HR information systems, enterprise resource planning (“ERP”) system, and labor management system. The implementation of several key platforms involves changes in the systems that include internal controls. During the year ended October 31, 2023, we had a change in our internal control over financial reporting as a result of our implementation of a new ERP for the Education industry group that has materially affected, or is reasonably likely to materially affect, our internal control over financial reporting. The new ERP system for the Education industry group replaced our legacy system in which a significant portion of our business transactions originate, are processed, and recorded. The rest of our industry groups will transition to our new ERP system over the next several years. Our new ERP system is intended to provide us with enhanced transactional processing and management tools, as compared with our legacy system and is intended to enhance internal controls over financial reporting. We believe our new ERP system will facilitate better transactional reporting and oversight, enhance our internal control over financial reporting, and function as an important component of our disclosure controls and procedures. Although some of the transitions have proceeded to date without material adverse effects, the possibility exists that they could adversely affect our internal controls over financial reporting and procedures.</w:t>
      </w:r>
    </w:p>
    <w:p>
      <w:pPr>
        <w:spacing w:after="0" w:line="13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There were no other changes in our internal control over financial reporting during the second quarter of 2024 identified in connection with the evaluation required by Rules 13a-15(d) and 15d-15(d) of the Exchange Act that has materially affected, or is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LEGAL PROCEEDINGS.</w:t>
      </w:r>
    </w:p>
    <w:p>
      <w:pPr>
        <w:spacing w:after="0" w:line="17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A discussion of material developments in our litigation matters occurring in the period covered by this report is found in Note 10, “Commitments and Contingencies,” to the unaudited Consolidated Financial Statements in this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1A. RISK FACTORS.</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2023, in response to Item 1A., “Risk Factors,” of Part I of the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Common Stock Repurchases</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Effective December 13, 2023, our Board of Directors expanded our existing share repurchase program by an additional $150.0 million.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1" w:name="page42"/>
    <w:bookmarkEnd w:id="41"/>
    <w:p>
      <w:pPr>
        <w:ind w:right="20"/>
        <w:spacing w:after="0" w:line="287" w:lineRule="auto"/>
        <w:rPr>
          <w:sz w:val="20"/>
          <w:szCs w:val="20"/>
          <w:color w:val="auto"/>
        </w:rPr>
      </w:pPr>
      <w:r>
        <w:rPr>
          <w:rFonts w:ascii="Arial" w:cs="Arial" w:eastAsia="Arial" w:hAnsi="Arial"/>
          <w:sz w:val="18"/>
          <w:szCs w:val="18"/>
          <w:color w:val="auto"/>
        </w:rPr>
        <w:t>future cash flows, share price, share availability, and other factors. Repurchased shares are retired and returned to an authorized but unissued status. The repurchase program may be suspended or discontinued at any time without prior notice.</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months indicated, our purchases of common stock in the second quarter of fiscal year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2020" w:type="dxa"/>
            <w:vAlign w:val="bottom"/>
            <w:gridSpan w:val="2"/>
          </w:tcPr>
          <w:p>
            <w:pPr>
              <w:ind w:left="40"/>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Total Number of Shares</w:t>
            </w:r>
          </w:p>
        </w:tc>
        <w:tc>
          <w:tcPr>
            <w:tcW w:w="120" w:type="dxa"/>
            <w:vAlign w:val="bottom"/>
          </w:tcPr>
          <w:p>
            <w:pPr>
              <w:spacing w:after="0"/>
              <w:rPr>
                <w:sz w:val="14"/>
                <w:szCs w:val="14"/>
                <w:color w:val="auto"/>
              </w:rPr>
            </w:pPr>
          </w:p>
        </w:tc>
        <w:tc>
          <w:tcPr>
            <w:tcW w:w="19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Average Price Paid per</w:t>
            </w:r>
          </w:p>
        </w:tc>
        <w:tc>
          <w:tcPr>
            <w:tcW w:w="1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of Shares that May Yet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9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4"/>
                <w:szCs w:val="14"/>
                <w:color w:val="auto"/>
              </w:rPr>
            </w:pPr>
          </w:p>
        </w:tc>
        <w:tc>
          <w:tcPr>
            <w:tcW w:w="202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Be Purchased Under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080" w:type="dxa"/>
            <w:vAlign w:val="bottom"/>
            <w:gridSpan w:val="2"/>
          </w:tcPr>
          <w:p>
            <w:pPr>
              <w:jc w:val="center"/>
              <w:ind w:right="120"/>
              <w:spacing w:after="0" w:line="142" w:lineRule="exact"/>
              <w:rPr>
                <w:sz w:val="20"/>
                <w:szCs w:val="20"/>
                <w:color w:val="auto"/>
              </w:rPr>
            </w:pPr>
            <w:r>
              <w:rPr>
                <w:rFonts w:ascii="Arial" w:cs="Arial" w:eastAsia="Arial" w:hAnsi="Arial"/>
                <w:sz w:val="16"/>
                <w:szCs w:val="16"/>
                <w:b w:val="1"/>
                <w:bCs w:val="1"/>
                <w:color w:val="auto"/>
              </w:rPr>
              <w:t>Purchased</w:t>
            </w:r>
          </w:p>
        </w:tc>
        <w:tc>
          <w:tcPr>
            <w:tcW w:w="120" w:type="dxa"/>
            <w:vAlign w:val="bottom"/>
          </w:tcPr>
          <w:p>
            <w:pPr>
              <w:spacing w:after="0"/>
              <w:rPr>
                <w:sz w:val="14"/>
                <w:szCs w:val="14"/>
                <w:color w:val="auto"/>
              </w:rPr>
            </w:pPr>
          </w:p>
        </w:tc>
        <w:tc>
          <w:tcPr>
            <w:tcW w:w="1980" w:type="dxa"/>
            <w:vAlign w:val="bottom"/>
            <w:gridSpan w:val="2"/>
          </w:tcPr>
          <w:p>
            <w:pPr>
              <w:jc w:val="center"/>
              <w:ind w:right="200"/>
              <w:spacing w:after="0" w:line="142" w:lineRule="exact"/>
              <w:rPr>
                <w:sz w:val="20"/>
                <w:szCs w:val="20"/>
                <w:color w:val="auto"/>
              </w:rPr>
            </w:pPr>
            <w:r>
              <w:rPr>
                <w:rFonts w:ascii="Arial" w:cs="Arial" w:eastAsia="Arial" w:hAnsi="Arial"/>
                <w:sz w:val="13"/>
                <w:szCs w:val="13"/>
                <w:b w:val="1"/>
                <w:bCs w:val="1"/>
                <w:color w:val="auto"/>
              </w:rPr>
              <w:t>Share</w:t>
            </w:r>
            <w:r>
              <w:rPr>
                <w:rFonts w:ascii="Arial" w:cs="Arial" w:eastAsia="Arial" w:hAnsi="Arial"/>
                <w:sz w:val="16"/>
                <w:szCs w:val="16"/>
                <w:b w:val="1"/>
                <w:bCs w:val="1"/>
                <w:color w:val="auto"/>
                <w:vertAlign w:val="superscript"/>
              </w:rPr>
              <w:t>(1)</w:t>
            </w:r>
          </w:p>
        </w:tc>
        <w:tc>
          <w:tcPr>
            <w:tcW w:w="19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Publicly Announced Plan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jc w:val="right"/>
              <w:ind w:right="759"/>
              <w:spacing w:after="0" w:line="142" w:lineRule="exact"/>
              <w:rPr>
                <w:sz w:val="20"/>
                <w:szCs w:val="20"/>
                <w:color w:val="auto"/>
              </w:rPr>
            </w:pPr>
            <w:r>
              <w:rPr>
                <w:rFonts w:ascii="Arial" w:cs="Arial" w:eastAsia="Arial" w:hAnsi="Arial"/>
                <w:sz w:val="16"/>
                <w:szCs w:val="16"/>
                <w:b w:val="1"/>
                <w:bCs w:val="1"/>
                <w:color w:val="auto"/>
              </w:rPr>
              <w:t>Plan</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2260" w:type="dxa"/>
            <w:vAlign w:val="bottom"/>
            <w:tcBorders>
              <w:top w:val="single" w:sz="8" w:color="auto"/>
              <w:bottom w:val="single" w:sz="8" w:color="DCE2EF"/>
            </w:tcBorders>
          </w:tcPr>
          <w:p>
            <w:pPr>
              <w:spacing w:after="0"/>
              <w:rPr>
                <w:sz w:val="2"/>
                <w:szCs w:val="2"/>
                <w:color w:val="auto"/>
              </w:rPr>
            </w:pPr>
          </w:p>
        </w:tc>
        <w:tc>
          <w:tcPr>
            <w:tcW w:w="680" w:type="dxa"/>
            <w:vAlign w:val="bottom"/>
            <w:tcBorders>
              <w:bottom w:val="single" w:sz="8" w:color="DCE2E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DCE2EF"/>
          </w:tcPr>
          <w:p>
            <w:pPr>
              <w:spacing w:after="0"/>
              <w:rPr>
                <w:sz w:val="17"/>
                <w:szCs w:val="17"/>
                <w:color w:val="auto"/>
              </w:rPr>
            </w:pPr>
          </w:p>
        </w:tc>
        <w:tc>
          <w:tcPr>
            <w:tcW w:w="294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Period</w:t>
            </w:r>
          </w:p>
        </w:tc>
        <w:tc>
          <w:tcPr>
            <w:tcW w:w="19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8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9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18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2/01/2024-2/29/2024</w:t>
            </w:r>
          </w:p>
        </w:tc>
        <w:tc>
          <w:tcPr>
            <w:tcW w:w="680" w:type="dxa"/>
            <w:vAlign w:val="bottom"/>
          </w:tcPr>
          <w:p>
            <w:pPr>
              <w:spacing w:after="0"/>
              <w:rPr>
                <w:sz w:val="18"/>
                <w:szCs w:val="18"/>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210.3</w:t>
            </w:r>
          </w:p>
        </w:tc>
        <w:tc>
          <w:tcPr>
            <w:tcW w:w="0" w:type="dxa"/>
            <w:vAlign w:val="bottom"/>
          </w:tcPr>
          <w:p>
            <w:pPr>
              <w:spacing w:after="0"/>
              <w:rPr>
                <w:sz w:val="1"/>
                <w:szCs w:val="1"/>
                <w:color w:val="auto"/>
              </w:rPr>
            </w:pPr>
          </w:p>
        </w:tc>
      </w:tr>
      <w:tr>
        <w:trPr>
          <w:trHeight w:val="217"/>
        </w:trPr>
        <w:tc>
          <w:tcPr>
            <w:tcW w:w="228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3/01/2024-3/31/2024</w:t>
            </w:r>
          </w:p>
        </w:tc>
        <w:tc>
          <w:tcPr>
            <w:tcW w:w="680" w:type="dxa"/>
            <w:vAlign w:val="bottom"/>
            <w:shd w:val="clear" w:color="auto" w:fill="DCE2EF"/>
          </w:tcPr>
          <w:p>
            <w:pPr>
              <w:spacing w:after="0"/>
              <w:rPr>
                <w:sz w:val="18"/>
                <w:szCs w:val="18"/>
                <w:color w:val="auto"/>
              </w:rPr>
            </w:pPr>
          </w:p>
        </w:tc>
        <w:tc>
          <w:tcPr>
            <w:tcW w:w="1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DCE2EF"/>
          </w:tcPr>
          <w:p>
            <w:pPr>
              <w:jc w:val="right"/>
              <w:ind w:right="2"/>
              <w:spacing w:after="0"/>
              <w:rPr>
                <w:sz w:val="20"/>
                <w:szCs w:val="20"/>
                <w:color w:val="auto"/>
              </w:rPr>
            </w:pPr>
            <w:r>
              <w:rPr>
                <w:rFonts w:ascii="Arial" w:cs="Arial" w:eastAsia="Arial" w:hAnsi="Arial"/>
                <w:sz w:val="16"/>
                <w:szCs w:val="16"/>
                <w:color w:val="auto"/>
              </w:rPr>
              <w:t>42.84</w:t>
            </w:r>
          </w:p>
        </w:tc>
        <w:tc>
          <w:tcPr>
            <w:tcW w:w="100" w:type="dxa"/>
            <w:vAlign w:val="bottom"/>
            <w:shd w:val="clear" w:color="auto" w:fill="DCE2EF"/>
          </w:tcPr>
          <w:p>
            <w:pPr>
              <w:spacing w:after="0"/>
              <w:rPr>
                <w:sz w:val="18"/>
                <w:szCs w:val="18"/>
                <w:color w:val="auto"/>
              </w:rPr>
            </w:pPr>
          </w:p>
        </w:tc>
        <w:tc>
          <w:tcPr>
            <w:tcW w:w="1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0.6</w:t>
            </w:r>
          </w:p>
        </w:tc>
        <w:tc>
          <w:tcPr>
            <w:tcW w:w="24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w:t>
            </w:r>
          </w:p>
        </w:tc>
        <w:tc>
          <w:tcPr>
            <w:tcW w:w="1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186.5</w:t>
            </w:r>
          </w:p>
        </w:tc>
        <w:tc>
          <w:tcPr>
            <w:tcW w:w="0" w:type="dxa"/>
            <w:vAlign w:val="bottom"/>
          </w:tcPr>
          <w:p>
            <w:pPr>
              <w:spacing w:after="0"/>
              <w:rPr>
                <w:sz w:val="1"/>
                <w:szCs w:val="1"/>
                <w:color w:val="auto"/>
              </w:rPr>
            </w:pPr>
          </w:p>
        </w:tc>
      </w:tr>
      <w:tr>
        <w:trPr>
          <w:trHeight w:val="215"/>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4/01/2024-4/30/2024</w:t>
            </w:r>
          </w:p>
        </w:tc>
        <w:tc>
          <w:tcPr>
            <w:tcW w:w="680" w:type="dxa"/>
            <w:vAlign w:val="bottom"/>
          </w:tcPr>
          <w:p>
            <w:pPr>
              <w:spacing w:after="0"/>
              <w:rPr>
                <w:sz w:val="18"/>
                <w:szCs w:val="18"/>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186.5</w:t>
            </w:r>
          </w:p>
        </w:tc>
        <w:tc>
          <w:tcPr>
            <w:tcW w:w="0" w:type="dxa"/>
            <w:vAlign w:val="bottom"/>
          </w:tcPr>
          <w:p>
            <w:pPr>
              <w:spacing w:after="0"/>
              <w:rPr>
                <w:sz w:val="1"/>
                <w:szCs w:val="1"/>
                <w:color w:val="auto"/>
              </w:rPr>
            </w:pPr>
          </w:p>
        </w:tc>
      </w:tr>
      <w:tr>
        <w:trPr>
          <w:trHeight w:val="235"/>
        </w:trPr>
        <w:tc>
          <w:tcPr>
            <w:tcW w:w="20" w:type="dxa"/>
            <w:vAlign w:val="bottom"/>
            <w:tcBorders>
              <w:top w:val="single" w:sz="8" w:color="DCE2EF"/>
              <w:bottom w:val="single" w:sz="8" w:color="DCE2EF"/>
            </w:tcBorders>
            <w:shd w:val="clear" w:color="auto" w:fill="DCE2EF"/>
          </w:tcPr>
          <w:p>
            <w:pPr>
              <w:spacing w:after="0"/>
              <w:rPr>
                <w:sz w:val="20"/>
                <w:szCs w:val="20"/>
                <w:color w:val="auto"/>
              </w:rPr>
            </w:pPr>
          </w:p>
        </w:tc>
        <w:tc>
          <w:tcPr>
            <w:tcW w:w="2940" w:type="dxa"/>
            <w:vAlign w:val="bottom"/>
            <w:tcBorders>
              <w:top w:val="single" w:sz="8" w:color="DCE2EF"/>
              <w:bottom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Total</w:t>
            </w:r>
          </w:p>
        </w:tc>
        <w:tc>
          <w:tcPr>
            <w:tcW w:w="19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bottom w:val="single" w:sz="8" w:color="auto"/>
            </w:tcBorders>
            <w:shd w:val="clear" w:color="auto" w:fill="DCE2EF"/>
          </w:tcPr>
          <w:p>
            <w:pPr>
              <w:jc w:val="right"/>
              <w:ind w:right="2"/>
              <w:spacing w:after="0"/>
              <w:rPr>
                <w:sz w:val="20"/>
                <w:szCs w:val="20"/>
                <w:color w:val="auto"/>
              </w:rPr>
            </w:pPr>
            <w:r>
              <w:rPr>
                <w:rFonts w:ascii="Arial" w:cs="Arial" w:eastAsia="Arial" w:hAnsi="Arial"/>
                <w:sz w:val="16"/>
                <w:szCs w:val="16"/>
                <w:color w:val="auto"/>
              </w:rPr>
              <w:t>42.84</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9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40" w:type="dxa"/>
            <w:vAlign w:val="bottom"/>
            <w:tcBorders>
              <w:top w:val="single" w:sz="8" w:color="DCE2EF"/>
              <w:bottom w:val="single" w:sz="8" w:color="DCE2EF"/>
            </w:tcBorders>
            <w:shd w:val="clear" w:color="auto" w:fill="DCE2EF"/>
          </w:tcPr>
          <w:p>
            <w:pPr>
              <w:spacing w:after="0"/>
              <w:rPr>
                <w:sz w:val="20"/>
                <w:szCs w:val="20"/>
                <w:color w:val="auto"/>
              </w:rPr>
            </w:pPr>
          </w:p>
        </w:tc>
        <w:tc>
          <w:tcPr>
            <w:tcW w:w="1880" w:type="dxa"/>
            <w:vAlign w:val="bottom"/>
            <w:tcBorders>
              <w:top w:val="single" w:sz="8" w:color="DCE2EF"/>
              <w:bottom w:val="single" w:sz="8" w:color="DCE2EF"/>
            </w:tcBorders>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26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19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18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9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tcBorders>
          </w:tcPr>
          <w:p>
            <w:pPr>
              <w:spacing w:after="0" w:line="20" w:lineRule="exact"/>
              <w:rPr>
                <w:sz w:val="1"/>
                <w:szCs w:val="1"/>
                <w:color w:val="auto"/>
              </w:rPr>
            </w:pPr>
          </w:p>
        </w:tc>
        <w:tc>
          <w:tcPr>
            <w:tcW w:w="18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Average price paid per share does not include any excise tax for stock repurchases as part of the Inflation Reduction Act of 2022</w:t>
      </w:r>
      <w:r>
        <w:rPr>
          <w:rFonts w:ascii="Arial" w:cs="Arial" w:eastAsia="Arial" w:hAnsi="Arial"/>
          <w:sz w:val="17"/>
          <w:szCs w:val="17"/>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3. DEFAULTS UPON SENIOR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MINE SAFETY DISCLOSURES.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Trading Arrangements</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During the three months ended April 30, 2024, certain of our “officers,” as defined in Rule 16a-1(f) of the Exchange Act, and directors adopted, modified, or terminated a “Rule 10b5-1 trading arrangement” or a “non-Rule 10b5-1 trading arrangement,” as each term is defined in Item 408 of Regulation S-K,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40575" cy="16287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0575" cy="162877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Trading Arrangements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4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4"/>
                <w:szCs w:val="14"/>
                <w:color w:val="auto"/>
              </w:rPr>
              <w:t>Name and Title</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Action</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Date of Action</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Rule 10b5-1</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Non-Rule 10b5-1</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Aggregate Number</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Aggregate Number</w:t>
            </w:r>
          </w:p>
        </w:tc>
        <w:tc>
          <w:tcPr>
            <w:tcW w:w="1900" w:type="dxa"/>
            <w:vAlign w:val="bottom"/>
            <w:tcBorders>
              <w:top w:val="single" w:sz="8" w:color="auto"/>
            </w:tcBorders>
          </w:tcPr>
          <w:p>
            <w:pPr>
              <w:ind w:left="660"/>
              <w:spacing w:after="0"/>
              <w:rPr>
                <w:sz w:val="20"/>
                <w:szCs w:val="20"/>
                <w:color w:val="auto"/>
              </w:rPr>
            </w:pPr>
            <w:r>
              <w:rPr>
                <w:rFonts w:ascii="Arial" w:cs="Arial" w:eastAsia="Arial" w:hAnsi="Arial"/>
                <w:sz w:val="14"/>
                <w:szCs w:val="14"/>
                <w:color w:val="auto"/>
              </w:rPr>
              <w:t>Duration</w:t>
            </w:r>
          </w:p>
        </w:tc>
        <w:tc>
          <w:tcPr>
            <w:tcW w:w="0" w:type="dxa"/>
            <w:vAlign w:val="bottom"/>
          </w:tcPr>
          <w:p>
            <w:pPr>
              <w:spacing w:after="0"/>
              <w:rPr>
                <w:sz w:val="1"/>
                <w:szCs w:val="1"/>
                <w:color w:val="auto"/>
              </w:rPr>
            </w:pPr>
          </w:p>
        </w:tc>
      </w:tr>
      <w:tr>
        <w:trPr>
          <w:trHeight w:val="150"/>
        </w:trPr>
        <w:tc>
          <w:tcPr>
            <w:tcW w:w="194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Trading</w:t>
            </w:r>
          </w:p>
        </w:tc>
        <w:tc>
          <w:tcPr>
            <w:tcW w:w="13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Trading</w:t>
            </w:r>
          </w:p>
        </w:tc>
        <w:tc>
          <w:tcPr>
            <w:tcW w:w="13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of Securities to Be</w:t>
            </w:r>
          </w:p>
        </w:tc>
        <w:tc>
          <w:tcPr>
            <w:tcW w:w="13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of Securities to Be</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9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rPr>
              <w:t>Arrangement</w:t>
            </w:r>
            <w:r>
              <w:rPr>
                <w:rFonts w:ascii="Arial" w:cs="Arial" w:eastAsia="Arial" w:hAnsi="Arial"/>
                <w:sz w:val="23"/>
                <w:szCs w:val="23"/>
                <w:color w:val="auto"/>
                <w:vertAlign w:val="superscript"/>
              </w:rPr>
              <w:t>1</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Arrangement</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Sold</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Purchased</w:t>
            </w: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9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Scott Salmirs, President and</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Adoption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April 9, 2024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50,000 shares of</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900" w:type="dxa"/>
            <w:vAlign w:val="bottom"/>
          </w:tcPr>
          <w:p>
            <w:pPr>
              <w:spacing w:after="0"/>
              <w:rPr>
                <w:sz w:val="20"/>
                <w:szCs w:val="20"/>
                <w:color w:val="auto"/>
              </w:rPr>
            </w:pPr>
            <w:r>
              <w:rPr>
                <w:rFonts w:ascii="Arial" w:cs="Arial" w:eastAsia="Arial" w:hAnsi="Arial"/>
                <w:sz w:val="14"/>
                <w:szCs w:val="14"/>
                <w:color w:val="auto"/>
              </w:rPr>
              <w:t>From July 10, 2024, until the</w:t>
            </w:r>
          </w:p>
        </w:tc>
        <w:tc>
          <w:tcPr>
            <w:tcW w:w="0" w:type="dxa"/>
            <w:vAlign w:val="bottom"/>
          </w:tcPr>
          <w:p>
            <w:pPr>
              <w:spacing w:after="0"/>
              <w:rPr>
                <w:sz w:val="1"/>
                <w:szCs w:val="1"/>
                <w:color w:val="auto"/>
              </w:rPr>
            </w:pPr>
          </w:p>
        </w:tc>
      </w:tr>
      <w:tr>
        <w:trPr>
          <w:trHeight w:val="175"/>
        </w:trPr>
        <w:tc>
          <w:tcPr>
            <w:tcW w:w="19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Chief Executive Officer</w:t>
            </w:r>
          </w:p>
        </w:tc>
        <w:tc>
          <w:tcPr>
            <w:tcW w:w="9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common stock</w:t>
            </w:r>
          </w:p>
        </w:tc>
        <w:tc>
          <w:tcPr>
            <w:tcW w:w="1300" w:type="dxa"/>
            <w:vAlign w:val="bottom"/>
            <w:tcBorders>
              <w:right w:val="single" w:sz="8" w:color="auto"/>
            </w:tcBorders>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earlier of (i) the date when</w:t>
            </w:r>
          </w:p>
        </w:tc>
        <w:tc>
          <w:tcPr>
            <w:tcW w:w="0" w:type="dxa"/>
            <w:vAlign w:val="bottom"/>
          </w:tcPr>
          <w:p>
            <w:pPr>
              <w:spacing w:after="0"/>
              <w:rPr>
                <w:sz w:val="1"/>
                <w:szCs w:val="1"/>
                <w:color w:val="auto"/>
              </w:rPr>
            </w:pPr>
          </w:p>
        </w:tc>
      </w:tr>
      <w:tr>
        <w:trPr>
          <w:trHeight w:val="175"/>
        </w:trPr>
        <w:tc>
          <w:tcPr>
            <w:tcW w:w="194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all the shares under the plan</w:t>
            </w:r>
          </w:p>
        </w:tc>
        <w:tc>
          <w:tcPr>
            <w:tcW w:w="0" w:type="dxa"/>
            <w:vAlign w:val="bottom"/>
          </w:tcPr>
          <w:p>
            <w:pPr>
              <w:spacing w:after="0"/>
              <w:rPr>
                <w:sz w:val="1"/>
                <w:szCs w:val="1"/>
                <w:color w:val="auto"/>
              </w:rPr>
            </w:pPr>
          </w:p>
        </w:tc>
      </w:tr>
      <w:tr>
        <w:trPr>
          <w:trHeight w:val="175"/>
        </w:trPr>
        <w:tc>
          <w:tcPr>
            <w:tcW w:w="194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are sold and (ii) January 15,</w:t>
            </w:r>
          </w:p>
        </w:tc>
        <w:tc>
          <w:tcPr>
            <w:tcW w:w="0" w:type="dxa"/>
            <w:vAlign w:val="bottom"/>
          </w:tcPr>
          <w:p>
            <w:pPr>
              <w:spacing w:after="0"/>
              <w:rPr>
                <w:sz w:val="1"/>
                <w:szCs w:val="1"/>
                <w:color w:val="auto"/>
              </w:rPr>
            </w:pPr>
          </w:p>
        </w:tc>
      </w:tr>
      <w:tr>
        <w:trPr>
          <w:trHeight w:val="190"/>
        </w:trPr>
        <w:tc>
          <w:tcPr>
            <w:tcW w:w="19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2"/>
        </w:trPr>
        <w:tc>
          <w:tcPr>
            <w:tcW w:w="194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9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Rene Jacobsen, Executive</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Adoption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April 15, 2024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50,000 shares of</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900" w:type="dxa"/>
            <w:vAlign w:val="bottom"/>
          </w:tcPr>
          <w:p>
            <w:pPr>
              <w:spacing w:after="0"/>
              <w:rPr>
                <w:sz w:val="20"/>
                <w:szCs w:val="20"/>
                <w:color w:val="auto"/>
              </w:rPr>
            </w:pPr>
            <w:r>
              <w:rPr>
                <w:rFonts w:ascii="Arial" w:cs="Arial" w:eastAsia="Arial" w:hAnsi="Arial"/>
                <w:sz w:val="14"/>
                <w:szCs w:val="14"/>
                <w:color w:val="auto"/>
              </w:rPr>
              <w:t>From July 15, 2024, until the</w:t>
            </w:r>
          </w:p>
        </w:tc>
        <w:tc>
          <w:tcPr>
            <w:tcW w:w="0" w:type="dxa"/>
            <w:vAlign w:val="bottom"/>
          </w:tcPr>
          <w:p>
            <w:pPr>
              <w:spacing w:after="0"/>
              <w:rPr>
                <w:sz w:val="1"/>
                <w:szCs w:val="1"/>
                <w:color w:val="auto"/>
              </w:rPr>
            </w:pPr>
          </w:p>
        </w:tc>
      </w:tr>
      <w:tr>
        <w:trPr>
          <w:trHeight w:val="166"/>
        </w:trPr>
        <w:tc>
          <w:tcPr>
            <w:tcW w:w="1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Vice President and Chief</w:t>
            </w:r>
          </w:p>
        </w:tc>
        <w:tc>
          <w:tcPr>
            <w:tcW w:w="98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common stock</w:t>
            </w:r>
          </w:p>
        </w:tc>
        <w:tc>
          <w:tcPr>
            <w:tcW w:w="1300" w:type="dxa"/>
            <w:vAlign w:val="bottom"/>
            <w:tcBorders>
              <w:right w:val="single" w:sz="8" w:color="auto"/>
            </w:tcBorders>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earlier of (i) the date when</w:t>
            </w:r>
          </w:p>
        </w:tc>
        <w:tc>
          <w:tcPr>
            <w:tcW w:w="0" w:type="dxa"/>
            <w:vAlign w:val="bottom"/>
          </w:tcPr>
          <w:p>
            <w:pPr>
              <w:spacing w:after="0"/>
              <w:rPr>
                <w:sz w:val="1"/>
                <w:szCs w:val="1"/>
                <w:color w:val="auto"/>
              </w:rPr>
            </w:pPr>
          </w:p>
        </w:tc>
      </w:tr>
      <w:tr>
        <w:trPr>
          <w:trHeight w:val="40"/>
        </w:trPr>
        <w:tc>
          <w:tcPr>
            <w:tcW w:w="1940" w:type="dxa"/>
            <w:vAlign w:val="bottom"/>
            <w:tcBorders>
              <w:right w:val="single" w:sz="8" w:color="auto"/>
            </w:tcBorders>
            <w:vMerge w:val="continue"/>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1260" w:type="dxa"/>
            <w:vAlign w:val="bottom"/>
            <w:tcBorders>
              <w:right w:val="single" w:sz="8" w:color="auto"/>
            </w:tcBorders>
          </w:tcPr>
          <w:p>
            <w:pPr>
              <w:spacing w:after="0"/>
              <w:rPr>
                <w:sz w:val="3"/>
                <w:szCs w:val="3"/>
                <w:color w:val="auto"/>
              </w:rPr>
            </w:pPr>
          </w:p>
        </w:tc>
        <w:tc>
          <w:tcPr>
            <w:tcW w:w="1280" w:type="dxa"/>
            <w:vAlign w:val="bottom"/>
            <w:tcBorders>
              <w:right w:val="single" w:sz="8" w:color="auto"/>
            </w:tcBorders>
          </w:tcPr>
          <w:p>
            <w:pPr>
              <w:spacing w:after="0"/>
              <w:rPr>
                <w:sz w:val="3"/>
                <w:szCs w:val="3"/>
                <w:color w:val="auto"/>
              </w:rPr>
            </w:pPr>
          </w:p>
        </w:tc>
        <w:tc>
          <w:tcPr>
            <w:tcW w:w="1300" w:type="dxa"/>
            <w:vAlign w:val="bottom"/>
            <w:tcBorders>
              <w:right w:val="single" w:sz="8" w:color="auto"/>
            </w:tcBorders>
          </w:tcPr>
          <w:p>
            <w:pPr>
              <w:spacing w:after="0"/>
              <w:rPr>
                <w:sz w:val="3"/>
                <w:szCs w:val="3"/>
                <w:color w:val="auto"/>
              </w:rPr>
            </w:pPr>
          </w:p>
        </w:tc>
        <w:tc>
          <w:tcPr>
            <w:tcW w:w="1300" w:type="dxa"/>
            <w:vAlign w:val="bottom"/>
            <w:tcBorders>
              <w:right w:val="single" w:sz="8" w:color="auto"/>
            </w:tcBorders>
          </w:tcPr>
          <w:p>
            <w:pPr>
              <w:spacing w:after="0"/>
              <w:rPr>
                <w:sz w:val="3"/>
                <w:szCs w:val="3"/>
                <w:color w:val="auto"/>
              </w:rPr>
            </w:pPr>
          </w:p>
        </w:tc>
        <w:tc>
          <w:tcPr>
            <w:tcW w:w="1300" w:type="dxa"/>
            <w:vAlign w:val="bottom"/>
            <w:tcBorders>
              <w:right w:val="single" w:sz="8" w:color="auto"/>
            </w:tcBorders>
          </w:tcPr>
          <w:p>
            <w:pPr>
              <w:spacing w:after="0"/>
              <w:rPr>
                <w:sz w:val="3"/>
                <w:szCs w:val="3"/>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all shares under the plan are</w:t>
            </w:r>
          </w:p>
        </w:tc>
        <w:tc>
          <w:tcPr>
            <w:tcW w:w="0" w:type="dxa"/>
            <w:vAlign w:val="bottom"/>
          </w:tcPr>
          <w:p>
            <w:pPr>
              <w:spacing w:after="0"/>
              <w:rPr>
                <w:sz w:val="1"/>
                <w:szCs w:val="1"/>
                <w:color w:val="auto"/>
              </w:rPr>
            </w:pPr>
          </w:p>
        </w:tc>
      </w:tr>
      <w:tr>
        <w:trPr>
          <w:trHeight w:val="144"/>
        </w:trPr>
        <w:tc>
          <w:tcPr>
            <w:tcW w:w="1940" w:type="dxa"/>
            <w:vAlign w:val="bottom"/>
            <w:tcBorders>
              <w:right w:val="single" w:sz="8" w:color="auto"/>
            </w:tcBorders>
          </w:tcPr>
          <w:p>
            <w:pPr>
              <w:ind w:left="40"/>
              <w:spacing w:after="0" w:line="145" w:lineRule="exact"/>
              <w:rPr>
                <w:sz w:val="20"/>
                <w:szCs w:val="20"/>
                <w:color w:val="auto"/>
              </w:rPr>
            </w:pPr>
            <w:r>
              <w:rPr>
                <w:rFonts w:ascii="Arial" w:cs="Arial" w:eastAsia="Arial" w:hAnsi="Arial"/>
                <w:sz w:val="14"/>
                <w:szCs w:val="14"/>
                <w:color w:val="auto"/>
              </w:rPr>
              <w:t>Operating Officer</w:t>
            </w:r>
          </w:p>
        </w:tc>
        <w:tc>
          <w:tcPr>
            <w:tcW w:w="9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sold and (ii) July 15, 2025</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Intended to satisfy the affirmative defense conditions of Rule 10b5-1(c).</w:t>
      </w: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5"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47"/>
        </w:trPr>
        <w:tc>
          <w:tcPr>
            <w:tcW w:w="11240" w:type="dxa"/>
            <w:vAlign w:val="bottom"/>
            <w:gridSpan w:val="7"/>
          </w:tcPr>
          <w:p>
            <w:pPr>
              <w:spacing w:after="0"/>
              <w:rPr>
                <w:sz w:val="20"/>
                <w:szCs w:val="20"/>
                <w:color w:val="auto"/>
              </w:rPr>
            </w:pPr>
            <w:r>
              <w:rPr>
                <w:rFonts w:ascii="Arial" w:cs="Arial" w:eastAsia="Arial" w:hAnsi="Arial"/>
                <w:sz w:val="18"/>
                <w:szCs w:val="18"/>
                <w:b w:val="1"/>
                <w:bCs w:val="1"/>
                <w:color w:val="0046AD"/>
              </w:rPr>
              <w:t>ITEM 6. EXHIBITS.</w:t>
            </w:r>
          </w:p>
        </w:tc>
      </w:tr>
      <w:tr>
        <w:trPr>
          <w:trHeight w:val="370"/>
        </w:trPr>
        <w:tc>
          <w:tcPr>
            <w:tcW w:w="11240" w:type="dxa"/>
            <w:vAlign w:val="bottom"/>
            <w:gridSpan w:val="7"/>
          </w:tcPr>
          <w:p>
            <w:pPr>
              <w:ind w:left="660"/>
              <w:spacing w:after="0"/>
              <w:rPr>
                <w:sz w:val="20"/>
                <w:szCs w:val="20"/>
                <w:color w:val="auto"/>
              </w:rPr>
            </w:pPr>
            <w:r>
              <w:rPr>
                <w:rFonts w:ascii="Arial" w:cs="Arial" w:eastAsia="Arial" w:hAnsi="Arial"/>
                <w:sz w:val="18"/>
                <w:szCs w:val="18"/>
                <w:color w:val="auto"/>
              </w:rPr>
              <w:t>(a) Exhibits</w:t>
            </w:r>
          </w:p>
        </w:tc>
      </w:tr>
      <w:tr>
        <w:trPr>
          <w:trHeight w:val="185"/>
        </w:trPr>
        <w:tc>
          <w:tcPr>
            <w:tcW w:w="13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16"/>
        </w:trPr>
        <w:tc>
          <w:tcPr>
            <w:tcW w:w="1380" w:type="dxa"/>
            <w:vAlign w:val="bottom"/>
            <w:shd w:val="clear" w:color="auto" w:fill="DCE2EF"/>
          </w:tcPr>
          <w:p>
            <w:pPr>
              <w:ind w:left="20"/>
              <w:spacing w:after="0"/>
              <w:rPr>
                <w:sz w:val="20"/>
                <w:szCs w:val="20"/>
                <w:color w:val="auto"/>
              </w:rPr>
            </w:pPr>
            <w:r>
              <w:rPr>
                <w:rFonts w:ascii="Arial" w:cs="Arial" w:eastAsia="Arial" w:hAnsi="Arial"/>
                <w:sz w:val="16"/>
                <w:szCs w:val="16"/>
                <w:b w:val="1"/>
                <w:bCs w:val="1"/>
                <w:color w:val="auto"/>
              </w:rPr>
              <w:t>Exhibit No.</w:t>
            </w:r>
          </w:p>
        </w:tc>
        <w:tc>
          <w:tcPr>
            <w:tcW w:w="9860" w:type="dxa"/>
            <w:vAlign w:val="bottom"/>
            <w:gridSpan w:val="6"/>
            <w:shd w:val="clear" w:color="auto" w:fill="DCE2EF"/>
          </w:tcPr>
          <w:p>
            <w:pPr>
              <w:ind w:left="4180"/>
              <w:spacing w:after="0"/>
              <w:rPr>
                <w:sz w:val="20"/>
                <w:szCs w:val="20"/>
                <w:color w:val="auto"/>
              </w:rPr>
            </w:pPr>
            <w:r>
              <w:rPr>
                <w:rFonts w:ascii="Arial" w:cs="Arial" w:eastAsia="Arial" w:hAnsi="Arial"/>
                <w:sz w:val="16"/>
                <w:szCs w:val="16"/>
                <w:b w:val="1"/>
                <w:bCs w:val="1"/>
                <w:color w:val="auto"/>
              </w:rPr>
              <w:t>Exhibit Description</w:t>
            </w:r>
          </w:p>
        </w:tc>
      </w:tr>
      <w:tr>
        <w:trPr>
          <w:trHeight w:val="175"/>
        </w:trPr>
        <w:tc>
          <w:tcPr>
            <w:tcW w:w="1380" w:type="dxa"/>
            <w:vAlign w:val="bottom"/>
          </w:tcPr>
          <w:p>
            <w:pPr>
              <w:ind w:left="20"/>
              <w:spacing w:after="0" w:line="175" w:lineRule="exact"/>
              <w:rPr>
                <w:sz w:val="20"/>
                <w:szCs w:val="20"/>
                <w:color w:val="auto"/>
              </w:rPr>
            </w:pPr>
            <w:r>
              <w:rPr>
                <w:rFonts w:ascii="Arial" w:cs="Arial" w:eastAsia="Arial" w:hAnsi="Arial"/>
                <w:sz w:val="16"/>
                <w:szCs w:val="16"/>
                <w:color w:val="auto"/>
              </w:rPr>
              <w:t>3.1</w:t>
            </w:r>
          </w:p>
        </w:tc>
        <w:tc>
          <w:tcPr>
            <w:tcW w:w="9860" w:type="dxa"/>
            <w:vAlign w:val="bottom"/>
            <w:gridSpan w:val="6"/>
          </w:tcPr>
          <w:p>
            <w:pPr>
              <w:spacing w:after="0" w:line="175" w:lineRule="exact"/>
              <w:rPr>
                <w:rFonts w:ascii="Arial" w:cs="Arial" w:eastAsia="Arial" w:hAnsi="Arial"/>
                <w:sz w:val="16"/>
                <w:szCs w:val="16"/>
                <w:color w:val="0000FF"/>
              </w:rPr>
            </w:pPr>
            <w:hyperlink r:id="rId80">
              <w:r>
                <w:rPr>
                  <w:rFonts w:ascii="Arial" w:cs="Arial" w:eastAsia="Arial" w:hAnsi="Arial"/>
                  <w:sz w:val="16"/>
                  <w:szCs w:val="16"/>
                  <w:color w:val="0000FF"/>
                </w:rPr>
                <w:t>ABM Industries Incorporated Amended and Restated Bylaws effective March 27, 2024 (incorporated by reference to Exhibit 3.1 to the</w:t>
              </w:r>
            </w:hyperlink>
          </w:p>
        </w:tc>
      </w:tr>
      <w:tr>
        <w:trPr>
          <w:trHeight w:val="142"/>
        </w:trPr>
        <w:tc>
          <w:tcPr>
            <w:tcW w:w="1380" w:type="dxa"/>
            <w:vAlign w:val="bottom"/>
          </w:tcPr>
          <w:p>
            <w:pPr>
              <w:spacing w:after="0"/>
              <w:rPr>
                <w:sz w:val="12"/>
                <w:szCs w:val="12"/>
                <w:color w:val="auto"/>
              </w:rPr>
            </w:pPr>
          </w:p>
        </w:tc>
        <w:tc>
          <w:tcPr>
            <w:tcW w:w="956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r:id="rId80">
              <w:r>
                <w:rPr>
                  <w:rFonts w:ascii="Arial" w:cs="Arial" w:eastAsia="Arial" w:hAnsi="Arial"/>
                  <w:sz w:val="16"/>
                  <w:szCs w:val="16"/>
                  <w:color w:val="0000FF"/>
                </w:rPr>
                <w:t>Company’s Current Report on Form 8-K, filed on March 27, 2024)</w:t>
              </w:r>
            </w:hyperlink>
          </w:p>
        </w:tc>
        <w:tc>
          <w:tcPr>
            <w:tcW w:w="30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4720" w:type="dxa"/>
            <w:vAlign w:val="bottom"/>
            <w:tcBorders>
              <w:top w:val="single" w:sz="8" w:color="0000FF"/>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1380" w:type="dxa"/>
            <w:vAlign w:val="bottom"/>
            <w:tcBorders>
              <w:bottom w:val="single" w:sz="8" w:color="DCE2EF"/>
            </w:tcBorders>
            <w:shd w:val="clear" w:color="auto" w:fill="DCE2EF"/>
          </w:tcPr>
          <w:p>
            <w:pPr>
              <w:ind w:left="20"/>
              <w:spacing w:after="0" w:line="175" w:lineRule="exact"/>
              <w:rPr>
                <w:sz w:val="20"/>
                <w:szCs w:val="20"/>
                <w:color w:val="auto"/>
              </w:rPr>
            </w:pPr>
            <w:r>
              <w:rPr>
                <w:rFonts w:ascii="Arial" w:cs="Arial" w:eastAsia="Arial" w:hAnsi="Arial"/>
                <w:sz w:val="16"/>
                <w:szCs w:val="16"/>
                <w:color w:val="auto"/>
              </w:rPr>
              <w:t>31.1†</w:t>
            </w:r>
          </w:p>
        </w:tc>
        <w:tc>
          <w:tcPr>
            <w:tcW w:w="7260" w:type="dxa"/>
            <w:vAlign w:val="bottom"/>
            <w:tcBorders>
              <w:bottom w:val="single" w:sz="8" w:color="0000FF"/>
            </w:tcBorders>
            <w:gridSpan w:val="3"/>
            <w:shd w:val="clear" w:color="auto" w:fill="DCE2EF"/>
          </w:tcPr>
          <w:p>
            <w:pPr>
              <w:spacing w:after="0" w:line="175" w:lineRule="exact"/>
              <w:rPr>
                <w:sz w:val="20"/>
                <w:szCs w:val="20"/>
                <w:color w:val="auto"/>
              </w:rPr>
            </w:pPr>
            <w:r>
              <w:rPr>
                <w:rFonts w:ascii="Arial" w:cs="Arial" w:eastAsia="Arial" w:hAnsi="Arial"/>
                <w:sz w:val="16"/>
                <w:szCs w:val="16"/>
                <w:color w:val="0000FF"/>
              </w:rPr>
              <w:t>Certification of Principal Executive Officer pursuant to Section 302 of the Sarbanes-Oxley Act of 2002</w:t>
            </w:r>
          </w:p>
        </w:tc>
        <w:tc>
          <w:tcPr>
            <w:tcW w:w="2600" w:type="dxa"/>
            <w:vAlign w:val="bottom"/>
            <w:tcBorders>
              <w:bottom w:val="single" w:sz="8" w:color="DCE2EF"/>
            </w:tcBorders>
            <w:gridSpan w:val="3"/>
            <w:shd w:val="clear" w:color="auto" w:fill="DCE2EF"/>
          </w:tcPr>
          <w:p>
            <w:pPr>
              <w:spacing w:after="0"/>
              <w:rPr>
                <w:sz w:val="19"/>
                <w:szCs w:val="19"/>
                <w:color w:val="auto"/>
              </w:rPr>
            </w:pPr>
          </w:p>
        </w:tc>
      </w:tr>
      <w:tr>
        <w:trPr>
          <w:trHeight w:val="175"/>
        </w:trPr>
        <w:tc>
          <w:tcPr>
            <w:tcW w:w="138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9860" w:type="dxa"/>
            <w:vAlign w:val="bottom"/>
            <w:gridSpan w:val="6"/>
          </w:tcPr>
          <w:p>
            <w:pPr>
              <w:spacing w:after="0" w:line="175" w:lineRule="exact"/>
              <w:rPr>
                <w:sz w:val="20"/>
                <w:szCs w:val="20"/>
                <w:color w:val="auto"/>
              </w:rPr>
            </w:pPr>
            <w:r>
              <w:rPr>
                <w:rFonts w:ascii="Arial" w:cs="Arial" w:eastAsia="Arial" w:hAnsi="Arial"/>
                <w:sz w:val="16"/>
                <w:szCs w:val="16"/>
                <w:color w:val="0000FF"/>
              </w:rPr>
              <w:t>Certification of Principal Financial Officer pursuant to Section 302 of the Sarbanes-Oxley Act of 2002</w:t>
            </w:r>
          </w:p>
        </w:tc>
      </w:tr>
      <w:tr>
        <w:trPr>
          <w:trHeight w:val="21"/>
        </w:trPr>
        <w:tc>
          <w:tcPr>
            <w:tcW w:w="1380" w:type="dxa"/>
            <w:vAlign w:val="bottom"/>
          </w:tcPr>
          <w:p>
            <w:pPr>
              <w:spacing w:after="0" w:line="20" w:lineRule="exact"/>
              <w:rPr>
                <w:sz w:val="1"/>
                <w:szCs w:val="1"/>
                <w:color w:val="auto"/>
              </w:rPr>
            </w:pPr>
          </w:p>
        </w:tc>
        <w:tc>
          <w:tcPr>
            <w:tcW w:w="4720" w:type="dxa"/>
            <w:vAlign w:val="bottom"/>
            <w:tcBorders>
              <w:top w:val="single" w:sz="8" w:color="0000FF"/>
            </w:tcBorders>
          </w:tcPr>
          <w:p>
            <w:pPr>
              <w:spacing w:after="0" w:line="20" w:lineRule="exact"/>
              <w:rPr>
                <w:sz w:val="1"/>
                <w:szCs w:val="1"/>
                <w:color w:val="auto"/>
              </w:rPr>
            </w:pPr>
          </w:p>
        </w:tc>
        <w:tc>
          <w:tcPr>
            <w:tcW w:w="24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80" w:type="dxa"/>
            <w:vAlign w:val="bottom"/>
            <w:shd w:val="clear" w:color="auto" w:fill="DCE2EF"/>
          </w:tcPr>
          <w:p>
            <w:pPr>
              <w:ind w:left="20"/>
              <w:spacing w:after="0" w:line="175" w:lineRule="exact"/>
              <w:rPr>
                <w:sz w:val="20"/>
                <w:szCs w:val="20"/>
                <w:color w:val="auto"/>
              </w:rPr>
            </w:pPr>
            <w:r>
              <w:rPr>
                <w:rFonts w:ascii="Arial" w:cs="Arial" w:eastAsia="Arial" w:hAnsi="Arial"/>
                <w:sz w:val="16"/>
                <w:szCs w:val="16"/>
                <w:color w:val="auto"/>
              </w:rPr>
              <w:t>32‡</w:t>
            </w:r>
          </w:p>
        </w:tc>
        <w:tc>
          <w:tcPr>
            <w:tcW w:w="9860" w:type="dxa"/>
            <w:vAlign w:val="bottom"/>
            <w:gridSpan w:val="6"/>
            <w:shd w:val="clear" w:color="auto" w:fill="DCE2EF"/>
          </w:tcPr>
          <w:p>
            <w:pPr>
              <w:spacing w:after="0" w:line="175" w:lineRule="exact"/>
              <w:rPr>
                <w:sz w:val="20"/>
                <w:szCs w:val="20"/>
                <w:color w:val="auto"/>
              </w:rPr>
            </w:pPr>
            <w:r>
              <w:rPr>
                <w:rFonts w:ascii="Arial" w:cs="Arial" w:eastAsia="Arial" w:hAnsi="Arial"/>
                <w:sz w:val="16"/>
                <w:szCs w:val="16"/>
                <w:color w:val="0000FF"/>
              </w:rPr>
              <w:t>Certification pursuant to 18 U.S.C. Section 1350, as adopted pursuant to Section 906 of the Sarbanes-Oxley Act of 2002</w:t>
            </w:r>
          </w:p>
        </w:tc>
      </w:tr>
      <w:tr>
        <w:trPr>
          <w:trHeight w:val="20"/>
        </w:trPr>
        <w:tc>
          <w:tcPr>
            <w:tcW w:w="1380" w:type="dxa"/>
            <w:vAlign w:val="bottom"/>
            <w:tcBorders>
              <w:top w:val="single" w:sz="8" w:color="DCE2EF"/>
            </w:tcBorders>
            <w:shd w:val="clear" w:color="auto" w:fill="DCE2EF"/>
          </w:tcPr>
          <w:p>
            <w:pPr>
              <w:spacing w:after="0" w:line="20" w:lineRule="exact"/>
              <w:rPr>
                <w:sz w:val="1"/>
                <w:szCs w:val="1"/>
                <w:color w:val="auto"/>
              </w:rPr>
            </w:pPr>
          </w:p>
        </w:tc>
        <w:tc>
          <w:tcPr>
            <w:tcW w:w="4720" w:type="dxa"/>
            <w:vAlign w:val="bottom"/>
            <w:tcBorders>
              <w:top w:val="single" w:sz="8" w:color="0000FF"/>
            </w:tcBorders>
            <w:shd w:val="clear" w:color="auto" w:fill="DCE2EF"/>
          </w:tcPr>
          <w:p>
            <w:pPr>
              <w:spacing w:after="0" w:line="20" w:lineRule="exact"/>
              <w:rPr>
                <w:sz w:val="1"/>
                <w:szCs w:val="1"/>
                <w:color w:val="auto"/>
              </w:rPr>
            </w:pPr>
          </w:p>
        </w:tc>
        <w:tc>
          <w:tcPr>
            <w:tcW w:w="2480" w:type="dxa"/>
            <w:vAlign w:val="bottom"/>
            <w:tcBorders>
              <w:top w:val="single" w:sz="8" w:color="0000FF"/>
            </w:tcBorders>
            <w:shd w:val="clear" w:color="auto" w:fill="DCE2EF"/>
          </w:tcPr>
          <w:p>
            <w:pPr>
              <w:spacing w:after="0" w:line="20" w:lineRule="exact"/>
              <w:rPr>
                <w:sz w:val="1"/>
                <w:szCs w:val="1"/>
                <w:color w:val="auto"/>
              </w:rPr>
            </w:pPr>
          </w:p>
        </w:tc>
        <w:tc>
          <w:tcPr>
            <w:tcW w:w="60" w:type="dxa"/>
            <w:vAlign w:val="bottom"/>
            <w:tcBorders>
              <w:top w:val="single" w:sz="8" w:color="0000FF"/>
            </w:tcBorders>
            <w:shd w:val="clear" w:color="auto" w:fill="DCE2EF"/>
          </w:tcPr>
          <w:p>
            <w:pPr>
              <w:spacing w:after="0" w:line="20" w:lineRule="exact"/>
              <w:rPr>
                <w:sz w:val="1"/>
                <w:szCs w:val="1"/>
                <w:color w:val="auto"/>
              </w:rPr>
            </w:pPr>
          </w:p>
        </w:tc>
        <w:tc>
          <w:tcPr>
            <w:tcW w:w="1360" w:type="dxa"/>
            <w:vAlign w:val="bottom"/>
            <w:tcBorders>
              <w:top w:val="single" w:sz="8" w:color="0000FF"/>
            </w:tcBorders>
            <w:shd w:val="clear" w:color="auto" w:fill="DCE2EF"/>
          </w:tcPr>
          <w:p>
            <w:pPr>
              <w:spacing w:after="0" w:line="20" w:lineRule="exact"/>
              <w:rPr>
                <w:sz w:val="1"/>
                <w:szCs w:val="1"/>
                <w:color w:val="auto"/>
              </w:rPr>
            </w:pPr>
          </w:p>
        </w:tc>
        <w:tc>
          <w:tcPr>
            <w:tcW w:w="940" w:type="dxa"/>
            <w:vAlign w:val="bottom"/>
            <w:tcBorders>
              <w:top w:val="single" w:sz="8" w:color="DCE2EF"/>
            </w:tcBorders>
            <w:shd w:val="clear" w:color="auto" w:fill="DCE2EF"/>
          </w:tcPr>
          <w:p>
            <w:pPr>
              <w:spacing w:after="0" w:line="20" w:lineRule="exact"/>
              <w:rPr>
                <w:sz w:val="1"/>
                <w:szCs w:val="1"/>
                <w:color w:val="auto"/>
              </w:rPr>
            </w:pPr>
          </w:p>
        </w:tc>
        <w:tc>
          <w:tcPr>
            <w:tcW w:w="300" w:type="dxa"/>
            <w:vAlign w:val="bottom"/>
            <w:tcBorders>
              <w:top w:val="single" w:sz="8" w:color="DCE2EF"/>
            </w:tcBorders>
            <w:shd w:val="clear" w:color="auto" w:fill="DCE2EF"/>
          </w:tcPr>
          <w:p>
            <w:pPr>
              <w:spacing w:after="0" w:line="20" w:lineRule="exact"/>
              <w:rPr>
                <w:sz w:val="1"/>
                <w:szCs w:val="1"/>
                <w:color w:val="auto"/>
              </w:rPr>
            </w:pPr>
          </w:p>
        </w:tc>
      </w:tr>
      <w:tr>
        <w:trPr>
          <w:trHeight w:val="162"/>
        </w:trPr>
        <w:tc>
          <w:tcPr>
            <w:tcW w:w="1380" w:type="dxa"/>
            <w:vAlign w:val="bottom"/>
          </w:tcPr>
          <w:p>
            <w:pPr>
              <w:ind w:left="20"/>
              <w:spacing w:after="0" w:line="162" w:lineRule="exact"/>
              <w:rPr>
                <w:sz w:val="20"/>
                <w:szCs w:val="20"/>
                <w:color w:val="auto"/>
              </w:rPr>
            </w:pPr>
            <w:r>
              <w:rPr>
                <w:rFonts w:ascii="Arial" w:cs="Arial" w:eastAsia="Arial" w:hAnsi="Arial"/>
                <w:sz w:val="16"/>
                <w:szCs w:val="16"/>
                <w:color w:val="auto"/>
              </w:rPr>
              <w:t>101.INS†</w:t>
            </w:r>
          </w:p>
        </w:tc>
        <w:tc>
          <w:tcPr>
            <w:tcW w:w="9860" w:type="dxa"/>
            <w:vAlign w:val="bottom"/>
            <w:gridSpan w:val="6"/>
          </w:tcPr>
          <w:p>
            <w:pPr>
              <w:spacing w:after="0" w:line="162" w:lineRule="exact"/>
              <w:rPr>
                <w:sz w:val="20"/>
                <w:szCs w:val="20"/>
                <w:color w:val="auto"/>
              </w:rPr>
            </w:pPr>
            <w:r>
              <w:rPr>
                <w:rFonts w:ascii="Arial" w:cs="Arial" w:eastAsia="Arial" w:hAnsi="Arial"/>
                <w:sz w:val="16"/>
                <w:szCs w:val="16"/>
                <w:color w:val="auto"/>
              </w:rPr>
              <w:t>Inline XBRL Instance Document (the instance document does not appear in the Interactive Data File because its XBRL tags are</w:t>
            </w:r>
          </w:p>
        </w:tc>
      </w:tr>
      <w:tr>
        <w:trPr>
          <w:trHeight w:val="215"/>
        </w:trPr>
        <w:tc>
          <w:tcPr>
            <w:tcW w:w="1380" w:type="dxa"/>
            <w:vAlign w:val="bottom"/>
          </w:tcPr>
          <w:p>
            <w:pPr>
              <w:spacing w:after="0"/>
              <w:rPr>
                <w:sz w:val="18"/>
                <w:szCs w:val="18"/>
                <w:color w:val="auto"/>
              </w:rPr>
            </w:pPr>
          </w:p>
        </w:tc>
        <w:tc>
          <w:tcPr>
            <w:tcW w:w="9860" w:type="dxa"/>
            <w:vAlign w:val="bottom"/>
            <w:gridSpan w:val="6"/>
          </w:tcPr>
          <w:p>
            <w:pPr>
              <w:spacing w:after="0"/>
              <w:rPr>
                <w:sz w:val="20"/>
                <w:szCs w:val="20"/>
                <w:color w:val="auto"/>
              </w:rPr>
            </w:pPr>
            <w:r>
              <w:rPr>
                <w:rFonts w:ascii="Arial" w:cs="Arial" w:eastAsia="Arial" w:hAnsi="Arial"/>
                <w:sz w:val="16"/>
                <w:szCs w:val="16"/>
                <w:color w:val="auto"/>
              </w:rPr>
              <w:t>embedded within the Inline XBRL document)</w:t>
            </w:r>
          </w:p>
        </w:tc>
      </w:tr>
      <w:tr>
        <w:trPr>
          <w:trHeight w:val="217"/>
        </w:trPr>
        <w:tc>
          <w:tcPr>
            <w:tcW w:w="1380" w:type="dxa"/>
            <w:vAlign w:val="bottom"/>
            <w:shd w:val="clear" w:color="auto" w:fill="DCE2EF"/>
          </w:tcPr>
          <w:p>
            <w:pPr>
              <w:ind w:left="20"/>
              <w:spacing w:after="0"/>
              <w:rPr>
                <w:sz w:val="20"/>
                <w:szCs w:val="20"/>
                <w:color w:val="auto"/>
              </w:rPr>
            </w:pPr>
            <w:r>
              <w:rPr>
                <w:rFonts w:ascii="Arial" w:cs="Arial" w:eastAsia="Arial" w:hAnsi="Arial"/>
                <w:sz w:val="16"/>
                <w:szCs w:val="16"/>
                <w:color w:val="auto"/>
              </w:rPr>
              <w:t>101.SCH†</w:t>
            </w:r>
          </w:p>
        </w:tc>
        <w:tc>
          <w:tcPr>
            <w:tcW w:w="9860" w:type="dxa"/>
            <w:vAlign w:val="bottom"/>
            <w:gridSpan w:val="6"/>
            <w:shd w:val="clear" w:color="auto" w:fill="DCE2EF"/>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15"/>
        </w:trPr>
        <w:tc>
          <w:tcPr>
            <w:tcW w:w="1380" w:type="dxa"/>
            <w:vAlign w:val="bottom"/>
          </w:tcPr>
          <w:p>
            <w:pPr>
              <w:ind w:left="20"/>
              <w:spacing w:after="0"/>
              <w:rPr>
                <w:sz w:val="20"/>
                <w:szCs w:val="20"/>
                <w:color w:val="auto"/>
              </w:rPr>
            </w:pPr>
            <w:r>
              <w:rPr>
                <w:rFonts w:ascii="Arial" w:cs="Arial" w:eastAsia="Arial" w:hAnsi="Arial"/>
                <w:sz w:val="16"/>
                <w:szCs w:val="16"/>
                <w:color w:val="auto"/>
              </w:rPr>
              <w:t>101.CAL†</w:t>
            </w:r>
          </w:p>
        </w:tc>
        <w:tc>
          <w:tcPr>
            <w:tcW w:w="9860" w:type="dxa"/>
            <w:vAlign w:val="bottom"/>
            <w:gridSpan w:val="6"/>
          </w:tcPr>
          <w:p>
            <w:pPr>
              <w:spacing w:after="0"/>
              <w:rPr>
                <w:sz w:val="20"/>
                <w:szCs w:val="20"/>
                <w:color w:val="auto"/>
              </w:rPr>
            </w:pPr>
            <w:r>
              <w:rPr>
                <w:rFonts w:ascii="Arial" w:cs="Arial" w:eastAsia="Arial" w:hAnsi="Arial"/>
                <w:sz w:val="16"/>
                <w:szCs w:val="16"/>
                <w:color w:val="auto"/>
              </w:rPr>
              <w:t>Inline XBRL Taxonomy Calculation Linkbase Document</w:t>
            </w:r>
          </w:p>
        </w:tc>
      </w:tr>
      <w:tr>
        <w:trPr>
          <w:trHeight w:val="217"/>
        </w:trPr>
        <w:tc>
          <w:tcPr>
            <w:tcW w:w="1380" w:type="dxa"/>
            <w:vAlign w:val="bottom"/>
            <w:shd w:val="clear" w:color="auto" w:fill="DCE2EF"/>
          </w:tcPr>
          <w:p>
            <w:pPr>
              <w:ind w:left="20"/>
              <w:spacing w:after="0"/>
              <w:rPr>
                <w:sz w:val="20"/>
                <w:szCs w:val="20"/>
                <w:color w:val="auto"/>
              </w:rPr>
            </w:pPr>
            <w:r>
              <w:rPr>
                <w:rFonts w:ascii="Arial" w:cs="Arial" w:eastAsia="Arial" w:hAnsi="Arial"/>
                <w:sz w:val="16"/>
                <w:szCs w:val="16"/>
                <w:color w:val="auto"/>
              </w:rPr>
              <w:t>101.DEF†</w:t>
            </w:r>
          </w:p>
        </w:tc>
        <w:tc>
          <w:tcPr>
            <w:tcW w:w="9860" w:type="dxa"/>
            <w:vAlign w:val="bottom"/>
            <w:gridSpan w:val="6"/>
            <w:shd w:val="clear" w:color="auto" w:fill="DCE2EF"/>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5"/>
        </w:trPr>
        <w:tc>
          <w:tcPr>
            <w:tcW w:w="1380" w:type="dxa"/>
            <w:vAlign w:val="bottom"/>
          </w:tcPr>
          <w:p>
            <w:pPr>
              <w:ind w:left="20"/>
              <w:spacing w:after="0"/>
              <w:rPr>
                <w:sz w:val="20"/>
                <w:szCs w:val="20"/>
                <w:color w:val="auto"/>
              </w:rPr>
            </w:pPr>
            <w:r>
              <w:rPr>
                <w:rFonts w:ascii="Arial" w:cs="Arial" w:eastAsia="Arial" w:hAnsi="Arial"/>
                <w:sz w:val="16"/>
                <w:szCs w:val="16"/>
                <w:color w:val="auto"/>
              </w:rPr>
              <w:t>101.LAB†</w:t>
            </w:r>
          </w:p>
        </w:tc>
        <w:tc>
          <w:tcPr>
            <w:tcW w:w="9860" w:type="dxa"/>
            <w:vAlign w:val="bottom"/>
            <w:gridSpan w:val="6"/>
          </w:tcPr>
          <w:p>
            <w:pPr>
              <w:spacing w:after="0"/>
              <w:rPr>
                <w:sz w:val="20"/>
                <w:szCs w:val="20"/>
                <w:color w:val="auto"/>
              </w:rPr>
            </w:pPr>
            <w:r>
              <w:rPr>
                <w:rFonts w:ascii="Arial" w:cs="Arial" w:eastAsia="Arial" w:hAnsi="Arial"/>
                <w:sz w:val="16"/>
                <w:szCs w:val="16"/>
                <w:color w:val="auto"/>
              </w:rPr>
              <w:t>Inline XBRL Taxonomy Label Linkbase Document</w:t>
            </w:r>
          </w:p>
        </w:tc>
      </w:tr>
      <w:tr>
        <w:trPr>
          <w:trHeight w:val="217"/>
        </w:trPr>
        <w:tc>
          <w:tcPr>
            <w:tcW w:w="1380" w:type="dxa"/>
            <w:vAlign w:val="bottom"/>
            <w:shd w:val="clear" w:color="auto" w:fill="DCE2EF"/>
          </w:tcPr>
          <w:p>
            <w:pPr>
              <w:ind w:left="20"/>
              <w:spacing w:after="0"/>
              <w:rPr>
                <w:sz w:val="20"/>
                <w:szCs w:val="20"/>
                <w:color w:val="auto"/>
              </w:rPr>
            </w:pPr>
            <w:r>
              <w:rPr>
                <w:rFonts w:ascii="Arial" w:cs="Arial" w:eastAsia="Arial" w:hAnsi="Arial"/>
                <w:sz w:val="16"/>
                <w:szCs w:val="16"/>
                <w:color w:val="auto"/>
              </w:rPr>
              <w:t>101.PRE†</w:t>
            </w:r>
          </w:p>
        </w:tc>
        <w:tc>
          <w:tcPr>
            <w:tcW w:w="9860" w:type="dxa"/>
            <w:vAlign w:val="bottom"/>
            <w:gridSpan w:val="6"/>
            <w:shd w:val="clear" w:color="auto" w:fill="DCE2EF"/>
          </w:tcPr>
          <w:p>
            <w:pPr>
              <w:spacing w:after="0"/>
              <w:rPr>
                <w:sz w:val="20"/>
                <w:szCs w:val="20"/>
                <w:color w:val="auto"/>
              </w:rPr>
            </w:pPr>
            <w:r>
              <w:rPr>
                <w:rFonts w:ascii="Arial" w:cs="Arial" w:eastAsia="Arial" w:hAnsi="Arial"/>
                <w:sz w:val="16"/>
                <w:szCs w:val="16"/>
                <w:color w:val="auto"/>
              </w:rPr>
              <w:t>Inline XBRL Presentation Linkbase Document</w:t>
            </w:r>
          </w:p>
        </w:tc>
      </w:tr>
      <w:tr>
        <w:trPr>
          <w:trHeight w:val="215"/>
        </w:trPr>
        <w:tc>
          <w:tcPr>
            <w:tcW w:w="1380" w:type="dxa"/>
            <w:vAlign w:val="bottom"/>
          </w:tcPr>
          <w:p>
            <w:pPr>
              <w:ind w:left="20"/>
              <w:spacing w:after="0"/>
              <w:rPr>
                <w:sz w:val="20"/>
                <w:szCs w:val="20"/>
                <w:color w:val="auto"/>
              </w:rPr>
            </w:pPr>
            <w:r>
              <w:rPr>
                <w:rFonts w:ascii="Arial" w:cs="Arial" w:eastAsia="Arial" w:hAnsi="Arial"/>
                <w:sz w:val="16"/>
                <w:szCs w:val="16"/>
                <w:color w:val="auto"/>
              </w:rPr>
              <w:t>104†</w:t>
            </w:r>
          </w:p>
        </w:tc>
        <w:tc>
          <w:tcPr>
            <w:tcW w:w="9860" w:type="dxa"/>
            <w:vAlign w:val="bottom"/>
            <w:gridSpan w:val="6"/>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284" w:lineRule="exact"/>
        <w:rPr>
          <w:sz w:val="20"/>
          <w:szCs w:val="20"/>
          <w:color w:val="auto"/>
        </w:rPr>
      </w:pPr>
    </w:p>
    <w:p>
      <w:pPr>
        <w:ind w:left="720" w:hanging="640"/>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contract, or arrangement.</w:t>
      </w:r>
    </w:p>
    <w:p>
      <w:pPr>
        <w:spacing w:after="0" w:line="45"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6"/>
          <w:szCs w:val="16"/>
          <w:color w:val="auto"/>
        </w:rPr>
        <w:t>†Indicates filed herewith.</w:t>
      </w:r>
    </w:p>
    <w:p>
      <w:pPr>
        <w:spacing w:after="0" w:line="86"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6"/>
          <w:szCs w:val="16"/>
          <w:color w:val="auto"/>
        </w:rPr>
        <w:t>‡Indicates furnished herewith.</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ABM Industries Incorporated</w:t>
      </w: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6420" w:val="left"/>
        </w:tabs>
        <w:rPr>
          <w:sz w:val="20"/>
          <w:szCs w:val="20"/>
          <w:color w:val="auto"/>
        </w:rPr>
      </w:pPr>
      <w:r>
        <w:rPr>
          <w:rFonts w:ascii="Arial" w:cs="Arial" w:eastAsia="Arial" w:hAnsi="Arial"/>
          <w:sz w:val="16"/>
          <w:szCs w:val="16"/>
          <w:u w:val="single" w:color="auto"/>
          <w:color w:val="auto"/>
        </w:rPr>
        <w:t>June 6, 2024</w:t>
      </w:r>
      <w:r>
        <w:rPr>
          <w:sz w:val="20"/>
          <w:szCs w:val="20"/>
          <w:color w:val="auto"/>
        </w:rPr>
        <w:tab/>
      </w:r>
      <w:r>
        <w:rPr>
          <w:rFonts w:ascii="Arial" w:cs="Arial" w:eastAsia="Arial" w:hAnsi="Arial"/>
          <w:sz w:val="16"/>
          <w:szCs w:val="16"/>
          <w:u w:val="single" w:color="auto"/>
          <w:color w:val="auto"/>
        </w:rPr>
        <w:t>/s/ Earl R. Ellis</w:t>
      </w:r>
    </w:p>
    <w:p>
      <w:pPr>
        <w:spacing w:after="0" w:line="2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Earl R. Ellis</w:t>
      </w:r>
    </w:p>
    <w:p>
      <w:pPr>
        <w:ind w:left="6440"/>
        <w:spacing w:after="0" w:line="211" w:lineRule="auto"/>
        <w:rPr>
          <w:sz w:val="20"/>
          <w:szCs w:val="20"/>
          <w:color w:val="auto"/>
        </w:rPr>
      </w:pPr>
      <w:r>
        <w:rPr>
          <w:rFonts w:ascii="Arial" w:cs="Arial" w:eastAsia="Arial" w:hAnsi="Arial"/>
          <w:sz w:val="16"/>
          <w:szCs w:val="16"/>
          <w:color w:val="auto"/>
        </w:rPr>
        <w:t>Executive Vice President and Chief Financial Officer</w:t>
      </w:r>
    </w:p>
    <w:p>
      <w:pPr>
        <w:ind w:left="6440"/>
        <w:spacing w:after="0"/>
        <w:rPr>
          <w:sz w:val="20"/>
          <w:szCs w:val="20"/>
          <w:color w:val="auto"/>
        </w:rPr>
      </w:pPr>
      <w:r>
        <w:rPr>
          <w:rFonts w:ascii="Arial" w:cs="Arial" w:eastAsia="Arial" w:hAnsi="Arial"/>
          <w:sz w:val="16"/>
          <w:szCs w:val="16"/>
          <w:color w:val="auto"/>
        </w:rPr>
        <w:t>(Duly Authorized Officer)</w:t>
      </w:r>
    </w:p>
    <w:p>
      <w:pPr>
        <w:spacing w:after="0" w:line="200" w:lineRule="exact"/>
        <w:rPr>
          <w:sz w:val="20"/>
          <w:szCs w:val="20"/>
          <w:color w:val="auto"/>
        </w:rPr>
      </w:pPr>
    </w:p>
    <w:p>
      <w:pPr>
        <w:spacing w:after="0" w:line="370" w:lineRule="exact"/>
        <w:rPr>
          <w:sz w:val="20"/>
          <w:szCs w:val="20"/>
          <w:color w:val="auto"/>
        </w:rPr>
      </w:pPr>
    </w:p>
    <w:p>
      <w:pPr>
        <w:ind w:left="20"/>
        <w:spacing w:after="0"/>
        <w:tabs>
          <w:tab w:leader="none" w:pos="6420" w:val="left"/>
        </w:tabs>
        <w:rPr>
          <w:sz w:val="20"/>
          <w:szCs w:val="20"/>
          <w:color w:val="auto"/>
        </w:rPr>
      </w:pPr>
      <w:r>
        <w:rPr>
          <w:rFonts w:ascii="Arial" w:cs="Arial" w:eastAsia="Arial" w:hAnsi="Arial"/>
          <w:sz w:val="16"/>
          <w:szCs w:val="16"/>
          <w:u w:val="single" w:color="auto"/>
          <w:color w:val="auto"/>
        </w:rPr>
        <w:t>June 6, 2024</w:t>
      </w:r>
      <w:r>
        <w:rPr>
          <w:sz w:val="20"/>
          <w:szCs w:val="20"/>
          <w:color w:val="auto"/>
        </w:rPr>
        <w:tab/>
      </w:r>
      <w:r>
        <w:rPr>
          <w:rFonts w:ascii="Arial" w:cs="Arial" w:eastAsia="Arial" w:hAnsi="Arial"/>
          <w:sz w:val="16"/>
          <w:szCs w:val="16"/>
          <w:u w:val="single" w:color="auto"/>
          <w:color w:val="auto"/>
        </w:rPr>
        <w:t>/s/ Dean A. Chin</w:t>
      </w:r>
    </w:p>
    <w:p>
      <w:pPr>
        <w:spacing w:after="0" w:line="2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Dean A. Chin</w:t>
      </w:r>
    </w:p>
    <w:p>
      <w:pPr>
        <w:ind w:left="6440"/>
        <w:spacing w:after="0" w:line="211" w:lineRule="auto"/>
        <w:rPr>
          <w:sz w:val="20"/>
          <w:szCs w:val="20"/>
          <w:color w:val="auto"/>
        </w:rPr>
      </w:pPr>
      <w:r>
        <w:rPr>
          <w:rFonts w:ascii="Arial" w:cs="Arial" w:eastAsia="Arial" w:hAnsi="Arial"/>
          <w:sz w:val="16"/>
          <w:szCs w:val="16"/>
          <w:color w:val="auto"/>
        </w:rPr>
        <w:t>Senior Vice President, Chief Accounting Officer, Corporate</w:t>
      </w:r>
    </w:p>
    <w:p>
      <w:pPr>
        <w:ind w:left="6440"/>
        <w:spacing w:after="0" w:line="211" w:lineRule="auto"/>
        <w:rPr>
          <w:sz w:val="20"/>
          <w:szCs w:val="20"/>
          <w:color w:val="auto"/>
        </w:rPr>
      </w:pPr>
      <w:r>
        <w:rPr>
          <w:rFonts w:ascii="Arial" w:cs="Arial" w:eastAsia="Arial" w:hAnsi="Arial"/>
          <w:sz w:val="16"/>
          <w:szCs w:val="16"/>
          <w:color w:val="auto"/>
        </w:rPr>
        <w:t>Controller and Treasurer</w:t>
      </w:r>
    </w:p>
    <w:p>
      <w:pPr>
        <w:ind w:left="644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255"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EXHIBIT 31.1</w:t>
      </w:r>
    </w:p>
    <w:p>
      <w:pPr>
        <w:jc w:val="center"/>
        <w:spacing w:after="0" w:line="234" w:lineRule="auto"/>
        <w:rPr>
          <w:sz w:val="20"/>
          <w:szCs w:val="20"/>
          <w:color w:val="auto"/>
        </w:rPr>
      </w:pPr>
      <w:r>
        <w:rPr>
          <w:rFonts w:ascii="Arial" w:cs="Arial" w:eastAsia="Arial" w:hAnsi="Arial"/>
          <w:sz w:val="18"/>
          <w:szCs w:val="18"/>
          <w:b w:val="1"/>
          <w:bCs w:val="1"/>
          <w:color w:val="auto"/>
        </w:rPr>
        <w:t>CERTIFICATION OF CHIEF EXECUTIVE OFFICER</w:t>
      </w:r>
    </w:p>
    <w:p>
      <w:pPr>
        <w:jc w:val="center"/>
        <w:spacing w:after="0" w:line="219" w:lineRule="auto"/>
        <w:rPr>
          <w:sz w:val="20"/>
          <w:szCs w:val="20"/>
          <w:color w:val="auto"/>
        </w:rPr>
      </w:pPr>
      <w:r>
        <w:rPr>
          <w:rFonts w:ascii="Arial" w:cs="Arial" w:eastAsia="Arial" w:hAnsi="Arial"/>
          <w:sz w:val="18"/>
          <w:szCs w:val="18"/>
          <w:b w:val="1"/>
          <w:bCs w:val="1"/>
          <w:color w:val="auto"/>
        </w:rPr>
        <w:t>PURSUANT TO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18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98" w:lineRule="exact"/>
        <w:rPr>
          <w:rFonts w:ascii="Arial" w:cs="Arial" w:eastAsia="Arial" w:hAnsi="Arial"/>
          <w:sz w:val="18"/>
          <w:szCs w:val="18"/>
          <w:color w:val="auto"/>
        </w:rPr>
      </w:pPr>
    </w:p>
    <w:p>
      <w:pPr>
        <w:jc w:val="both"/>
        <w:ind w:left="340" w:hanging="332"/>
        <w:spacing w:after="0" w:line="227" w:lineRule="auto"/>
        <w:tabs>
          <w:tab w:leader="none" w:pos="3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40" w:hanging="332"/>
        <w:spacing w:after="0"/>
        <w:tabs>
          <w:tab w:leader="none" w:pos="4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8"/>
          <w:szCs w:val="18"/>
          <w:color w:val="auto"/>
        </w:rPr>
      </w:pPr>
    </w:p>
    <w:p>
      <w:pPr>
        <w:jc w:val="both"/>
        <w:ind w:left="340" w:hanging="332"/>
        <w:spacing w:after="0" w:line="221" w:lineRule="auto"/>
        <w:tabs>
          <w:tab w:leader="none" w:pos="3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66" w:lineRule="exact"/>
        <w:rPr>
          <w:rFonts w:ascii="Arial" w:cs="Arial" w:eastAsia="Arial" w:hAnsi="Arial"/>
          <w:sz w:val="18"/>
          <w:szCs w:val="18"/>
          <w:color w:val="auto"/>
        </w:rPr>
      </w:pPr>
    </w:p>
    <w:p>
      <w:pPr>
        <w:jc w:val="both"/>
        <w:ind w:left="660" w:hanging="328"/>
        <w:spacing w:after="0" w:line="233" w:lineRule="auto"/>
        <w:tabs>
          <w:tab w:leader="none" w:pos="73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660" w:hanging="328"/>
        <w:spacing w:after="0" w:line="233" w:lineRule="auto"/>
        <w:tabs>
          <w:tab w:leader="none" w:pos="68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jc w:val="both"/>
        <w:ind w:left="660" w:hanging="328"/>
        <w:spacing w:after="0" w:line="233" w:lineRule="auto"/>
        <w:tabs>
          <w:tab w:leader="none" w:pos="679"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8"/>
          <w:szCs w:val="18"/>
          <w:color w:val="auto"/>
        </w:rPr>
      </w:pPr>
    </w:p>
    <w:p>
      <w:pPr>
        <w:jc w:val="both"/>
        <w:ind w:left="660" w:hanging="328"/>
        <w:spacing w:after="0" w:line="233" w:lineRule="auto"/>
        <w:tabs>
          <w:tab w:leader="none" w:pos="743"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jc w:val="both"/>
        <w:ind w:left="340" w:hanging="332"/>
        <w:spacing w:after="0" w:line="233" w:lineRule="auto"/>
        <w:tabs>
          <w:tab w:leader="none" w:pos="4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8"/>
          <w:szCs w:val="18"/>
          <w:color w:val="auto"/>
        </w:rPr>
      </w:pPr>
    </w:p>
    <w:p>
      <w:pPr>
        <w:ind w:left="660" w:hanging="328"/>
        <w:spacing w:after="0" w:line="256" w:lineRule="auto"/>
        <w:tabs>
          <w:tab w:leader="none" w:pos="716"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Arial" w:cs="Arial" w:eastAsia="Arial" w:hAnsi="Arial"/>
          <w:sz w:val="18"/>
          <w:szCs w:val="18"/>
          <w:color w:val="auto"/>
        </w:rPr>
      </w:pPr>
    </w:p>
    <w:p>
      <w:pPr>
        <w:ind w:left="660" w:hanging="328"/>
        <w:spacing w:after="0"/>
        <w:tabs>
          <w:tab w:leader="none" w:pos="75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June 6, 2024</w:t>
      </w:r>
    </w:p>
    <w:p>
      <w:pPr>
        <w:ind w:left="4220"/>
        <w:spacing w:after="0" w:line="203" w:lineRule="auto"/>
        <w:rPr>
          <w:sz w:val="20"/>
          <w:szCs w:val="20"/>
          <w:color w:val="auto"/>
        </w:rPr>
      </w:pPr>
      <w:r>
        <w:rPr>
          <w:rFonts w:ascii="Arial" w:cs="Arial" w:eastAsia="Arial" w:hAnsi="Arial"/>
          <w:sz w:val="18"/>
          <w:szCs w:val="18"/>
          <w:color w:val="auto"/>
        </w:rPr>
        <w:t>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-109855</wp:posOffset>
            </wp:positionV>
            <wp:extent cx="7620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ind w:left="4220"/>
        <w:spacing w:after="0" w:line="219"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1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EXHIBIT 31.2</w:t>
      </w:r>
    </w:p>
    <w:p>
      <w:pPr>
        <w:jc w:val="center"/>
        <w:spacing w:after="0" w:line="203" w:lineRule="auto"/>
        <w:rPr>
          <w:sz w:val="20"/>
          <w:szCs w:val="20"/>
          <w:color w:val="auto"/>
        </w:rPr>
      </w:pPr>
      <w:r>
        <w:rPr>
          <w:rFonts w:ascii="Arial" w:cs="Arial" w:eastAsia="Arial" w:hAnsi="Arial"/>
          <w:sz w:val="18"/>
          <w:szCs w:val="18"/>
          <w:b w:val="1"/>
          <w:bCs w:val="1"/>
          <w:color w:val="auto"/>
        </w:rPr>
        <w:t>CERTIFICATION OF CHIEF FINANCIAL OFFICER</w:t>
      </w:r>
    </w:p>
    <w:p>
      <w:pPr>
        <w:jc w:val="center"/>
        <w:spacing w:after="0" w:line="219" w:lineRule="auto"/>
        <w:rPr>
          <w:sz w:val="20"/>
          <w:szCs w:val="20"/>
          <w:color w:val="auto"/>
        </w:rPr>
      </w:pPr>
      <w:r>
        <w:rPr>
          <w:rFonts w:ascii="Arial" w:cs="Arial" w:eastAsia="Arial" w:hAnsi="Arial"/>
          <w:sz w:val="18"/>
          <w:szCs w:val="18"/>
          <w:b w:val="1"/>
          <w:bCs w:val="1"/>
          <w:color w:val="auto"/>
        </w:rPr>
        <w:t>PURSUANT TO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Earl R. Ellis, certify that:</w:t>
      </w:r>
    </w:p>
    <w:p>
      <w:pPr>
        <w:spacing w:after="0" w:line="18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98" w:lineRule="exact"/>
        <w:rPr>
          <w:rFonts w:ascii="Arial" w:cs="Arial" w:eastAsia="Arial" w:hAnsi="Arial"/>
          <w:sz w:val="18"/>
          <w:szCs w:val="18"/>
          <w:color w:val="auto"/>
        </w:rPr>
      </w:pPr>
    </w:p>
    <w:p>
      <w:pPr>
        <w:jc w:val="both"/>
        <w:ind w:left="340" w:hanging="332"/>
        <w:spacing w:after="0" w:line="227" w:lineRule="auto"/>
        <w:tabs>
          <w:tab w:leader="none" w:pos="3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40" w:hanging="332"/>
        <w:spacing w:after="0"/>
        <w:tabs>
          <w:tab w:leader="none" w:pos="413"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8"/>
          <w:szCs w:val="18"/>
          <w:color w:val="auto"/>
        </w:rPr>
      </w:pPr>
    </w:p>
    <w:p>
      <w:pPr>
        <w:jc w:val="both"/>
        <w:ind w:left="340" w:hanging="332"/>
        <w:spacing w:after="0" w:line="221" w:lineRule="auto"/>
        <w:tabs>
          <w:tab w:leader="none" w:pos="38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66" w:lineRule="exact"/>
        <w:rPr>
          <w:rFonts w:ascii="Arial" w:cs="Arial" w:eastAsia="Arial" w:hAnsi="Arial"/>
          <w:sz w:val="18"/>
          <w:szCs w:val="18"/>
          <w:color w:val="auto"/>
        </w:rPr>
      </w:pPr>
    </w:p>
    <w:p>
      <w:pPr>
        <w:jc w:val="both"/>
        <w:ind w:left="660" w:hanging="328"/>
        <w:spacing w:after="0" w:line="233" w:lineRule="auto"/>
        <w:tabs>
          <w:tab w:leader="none" w:pos="73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660" w:hanging="328"/>
        <w:spacing w:after="0" w:line="233" w:lineRule="auto"/>
        <w:tabs>
          <w:tab w:leader="none" w:pos="68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jc w:val="both"/>
        <w:ind w:left="660" w:hanging="328"/>
        <w:spacing w:after="0" w:line="233" w:lineRule="auto"/>
        <w:tabs>
          <w:tab w:leader="none" w:pos="679"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8"/>
          <w:szCs w:val="18"/>
          <w:color w:val="auto"/>
        </w:rPr>
      </w:pPr>
    </w:p>
    <w:p>
      <w:pPr>
        <w:jc w:val="both"/>
        <w:ind w:left="660" w:hanging="328"/>
        <w:spacing w:after="0" w:line="233" w:lineRule="auto"/>
        <w:tabs>
          <w:tab w:leader="none" w:pos="743"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jc w:val="both"/>
        <w:ind w:left="340" w:hanging="332"/>
        <w:spacing w:after="0" w:line="233" w:lineRule="auto"/>
        <w:tabs>
          <w:tab w:leader="none" w:pos="41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8"/>
          <w:szCs w:val="18"/>
          <w:color w:val="auto"/>
        </w:rPr>
      </w:pPr>
    </w:p>
    <w:p>
      <w:pPr>
        <w:ind w:left="660" w:hanging="328"/>
        <w:spacing w:after="0"/>
        <w:tabs>
          <w:tab w:leader="none" w:pos="71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8"/>
          <w:szCs w:val="18"/>
          <w:color w:val="auto"/>
        </w:rPr>
      </w:pPr>
    </w:p>
    <w:p>
      <w:pPr>
        <w:ind w:left="660" w:hanging="328"/>
        <w:spacing w:after="0"/>
        <w:tabs>
          <w:tab w:leader="none" w:pos="75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June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1294130</wp:posOffset>
            </wp:positionH>
            <wp:positionV relativeFrom="paragraph">
              <wp:posOffset>-7620</wp:posOffset>
            </wp:positionV>
            <wp:extent cx="7620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ind w:left="4220"/>
        <w:spacing w:after="0" w:line="203" w:lineRule="auto"/>
        <w:rPr>
          <w:sz w:val="20"/>
          <w:szCs w:val="20"/>
          <w:color w:val="auto"/>
        </w:rPr>
      </w:pPr>
      <w:r>
        <w:rPr>
          <w:rFonts w:ascii="Arial" w:cs="Arial" w:eastAsia="Arial" w:hAnsi="Arial"/>
          <w:sz w:val="18"/>
          <w:szCs w:val="18"/>
          <w:color w:val="auto"/>
        </w:rPr>
        <w:t>Earl R. Ellis</w:t>
      </w:r>
    </w:p>
    <w:p>
      <w:pPr>
        <w:ind w:left="4220"/>
        <w:spacing w:after="0" w:line="204" w:lineRule="auto"/>
        <w:rPr>
          <w:sz w:val="20"/>
          <w:szCs w:val="20"/>
          <w:color w:val="auto"/>
        </w:rPr>
      </w:pPr>
      <w:r>
        <w:rPr>
          <w:rFonts w:ascii="Arial" w:cs="Arial" w:eastAsia="Arial" w:hAnsi="Arial"/>
          <w:sz w:val="18"/>
          <w:szCs w:val="18"/>
          <w:color w:val="auto"/>
        </w:rPr>
        <w:t>Chief Financial Officer</w:t>
      </w:r>
    </w:p>
    <w:p>
      <w:pPr>
        <w:ind w:left="42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12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jc w:val="center"/>
        <w:ind w:right="-19"/>
        <w:spacing w:after="0" w:line="219" w:lineRule="auto"/>
        <w:rPr>
          <w:sz w:val="20"/>
          <w:szCs w:val="20"/>
          <w:color w:val="auto"/>
        </w:rPr>
      </w:pPr>
      <w:r>
        <w:rPr>
          <w:rFonts w:ascii="Arial" w:cs="Arial" w:eastAsia="Arial" w:hAnsi="Arial"/>
          <w:sz w:val="18"/>
          <w:szCs w:val="18"/>
          <w:b w:val="1"/>
          <w:bCs w:val="1"/>
          <w:color w:val="auto"/>
        </w:rPr>
        <w:t>RULE 13a-14(b) OR 15d-14(b) AND</w:t>
      </w:r>
    </w:p>
    <w:p>
      <w:pPr>
        <w:jc w:val="center"/>
        <w:ind w:right="-19"/>
        <w:spacing w:after="0" w:line="203" w:lineRule="auto"/>
        <w:rPr>
          <w:sz w:val="20"/>
          <w:szCs w:val="20"/>
          <w:color w:val="auto"/>
        </w:rPr>
      </w:pPr>
      <w:r>
        <w:rPr>
          <w:rFonts w:ascii="Arial" w:cs="Arial" w:eastAsia="Arial" w:hAnsi="Arial"/>
          <w:sz w:val="18"/>
          <w:szCs w:val="18"/>
          <w:b w:val="1"/>
          <w:bCs w:val="1"/>
          <w:color w:val="auto"/>
        </w:rPr>
        <w:t>18 U.S.C. SECTION 1350,</w:t>
      </w:r>
    </w:p>
    <w:p>
      <w:pPr>
        <w:jc w:val="center"/>
        <w:ind w:right="-19"/>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January 31, 2024, as filed with the Securities and Exchange Commission on the date hereof (the “Report”), Scott Salmirs, Chief Executive Officer of the Company, and Earl R. Ellis, Chief Financial Officer of the Company, each certifies for the purpose of complying with Rule 13a-14(b) or Rule 15d-14(b) of the</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Securities Exchange Act of 1934, as amended (the “Exchange Act”), and Section 1350 of Chapter 63 of Title 18 of the United States Code, that:</w:t>
      </w:r>
    </w:p>
    <w:p>
      <w:pPr>
        <w:spacing w:after="0" w:line="100" w:lineRule="exact"/>
        <w:rPr>
          <w:sz w:val="20"/>
          <w:szCs w:val="20"/>
          <w:color w:val="auto"/>
        </w:rPr>
      </w:pPr>
    </w:p>
    <w:p>
      <w:pPr>
        <w:ind w:left="1060" w:hanging="40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44" w:lineRule="exact"/>
        <w:rPr>
          <w:rFonts w:ascii="Arial" w:cs="Arial" w:eastAsia="Arial" w:hAnsi="Arial"/>
          <w:sz w:val="18"/>
          <w:szCs w:val="18"/>
          <w:color w:val="auto"/>
        </w:rPr>
      </w:pPr>
    </w:p>
    <w:p>
      <w:pPr>
        <w:ind w:left="1300" w:right="20" w:hanging="644"/>
        <w:spacing w:after="0"/>
        <w:tabs>
          <w:tab w:leader="none" w:pos="107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June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-7620</wp:posOffset>
            </wp:positionV>
            <wp:extent cx="7620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ind w:left="4220"/>
        <w:spacing w:after="0" w:line="203" w:lineRule="auto"/>
        <w:rPr>
          <w:sz w:val="20"/>
          <w:szCs w:val="20"/>
          <w:color w:val="auto"/>
        </w:rPr>
      </w:pPr>
      <w:r>
        <w:rPr>
          <w:rFonts w:ascii="Arial" w:cs="Arial" w:eastAsia="Arial" w:hAnsi="Arial"/>
          <w:sz w:val="18"/>
          <w:szCs w:val="18"/>
          <w:color w:val="auto"/>
        </w:rPr>
        <w:t>Scott Salmirs</w:t>
      </w:r>
    </w:p>
    <w:p>
      <w:pPr>
        <w:ind w:left="4220"/>
        <w:spacing w:after="0" w:line="204" w:lineRule="auto"/>
        <w:rPr>
          <w:sz w:val="20"/>
          <w:szCs w:val="20"/>
          <w:color w:val="auto"/>
        </w:rPr>
      </w:pPr>
      <w:r>
        <w:rPr>
          <w:rFonts w:ascii="Arial" w:cs="Arial" w:eastAsia="Arial" w:hAnsi="Arial"/>
          <w:sz w:val="18"/>
          <w:szCs w:val="18"/>
          <w:color w:val="auto"/>
        </w:rPr>
        <w:t>Chief Executive Officer</w:t>
      </w:r>
    </w:p>
    <w:p>
      <w:pPr>
        <w:ind w:left="42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June 6, 2024</w:t>
      </w:r>
    </w:p>
    <w:p>
      <w:pPr>
        <w:ind w:left="4220"/>
        <w:spacing w:after="0" w:line="203" w:lineRule="auto"/>
        <w:rPr>
          <w:sz w:val="20"/>
          <w:szCs w:val="20"/>
          <w:color w:val="auto"/>
        </w:rPr>
      </w:pPr>
      <w:r>
        <w:rPr>
          <w:rFonts w:ascii="Arial" w:cs="Arial" w:eastAsia="Arial" w:hAnsi="Arial"/>
          <w:sz w:val="18"/>
          <w:szCs w:val="18"/>
          <w:color w:val="auto"/>
        </w:rPr>
        <w:t>Earl 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1294130</wp:posOffset>
            </wp:positionH>
            <wp:positionV relativeFrom="paragraph">
              <wp:posOffset>-109855</wp:posOffset>
            </wp:positionV>
            <wp:extent cx="7620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ind w:left="422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5"/>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7"/>
    </w:lvl>
  </w:abstractNum>
  <w:abstractNum w:abstractNumId="11">
    <w:nsid w:val="628C895D"/>
    <w:multiLevelType w:val="hybridMultilevel"/>
    <w:lvl w:ilvl="0">
      <w:lvlJc w:val="left"/>
      <w:lvlText w:val="(%1)"/>
      <w:numFmt w:val="decimal"/>
      <w:start w:val="3"/>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lvl w:ilvl="1">
      <w:lvlJc w:val="left"/>
      <w:lvlText w:val="◦"/>
      <w:numFmt w:val="bullet"/>
      <w:start w:val="1"/>
    </w:lvl>
  </w:abstractNum>
  <w:abstractNum w:abstractNumId="16">
    <w:nsid w:val="6763845E"/>
    <w:multiLevelType w:val="hybridMultilevel"/>
    <w:lvl w:ilvl="0">
      <w:lvlJc w:val="left"/>
      <w:lvlText w:val="•"/>
      <w:numFmt w:val="bullet"/>
      <w:start w:val="1"/>
    </w:lvl>
    <w:lvl w:ilvl="1">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0" Type="http://schemas.openxmlformats.org/officeDocument/2006/relationships/hyperlink" Target="https://www.sec.gov/Archives/edgar/data/771497/000095017024037283/abm-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2024-06-06T11:03:16Z</dcterms:created>
  <dcterms:modified xsi:type="dcterms:W3CDTF">2024-06-06T11:03:16Z</dcterms:modified>
</cp:coreProperties>
</file>